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8.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drawings/drawing3.xml" ContentType="application/vnd.openxmlformats-officedocument.drawingml.chartshapes+xml"/>
  <Override PartName="/word/charts/chart31.xml" ContentType="application/vnd.openxmlformats-officedocument.drawingml.chart+xml"/>
  <Override PartName="/word/drawings/drawing4.xml" ContentType="application/vnd.openxmlformats-officedocument.drawingml.chartshapes+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990" w:rsidRPr="001B37C7" w:rsidRDefault="003D0990" w:rsidP="00DA35BE">
      <w:pPr>
        <w:ind w:firstLine="0"/>
        <w:jc w:val="center"/>
        <w:rPr>
          <w:rFonts w:ascii="Lato" w:hAnsi="Lato"/>
        </w:rPr>
      </w:pPr>
    </w:p>
    <w:tbl>
      <w:tblPr>
        <w:tblpPr w:leftFromText="141" w:rightFromText="141" w:horzAnchor="margin" w:tblpY="1350"/>
        <w:tblW w:w="18566" w:type="dxa"/>
        <w:tblCellMar>
          <w:left w:w="70" w:type="dxa"/>
          <w:right w:w="70" w:type="dxa"/>
        </w:tblCellMar>
        <w:tblLook w:val="0000" w:firstRow="0" w:lastRow="0" w:firstColumn="0" w:lastColumn="0" w:noHBand="0" w:noVBand="0"/>
      </w:tblPr>
      <w:tblGrid>
        <w:gridCol w:w="9283"/>
        <w:gridCol w:w="9283"/>
      </w:tblGrid>
      <w:tr w:rsidR="00F7005A" w:rsidRPr="001B37C7" w:rsidTr="00F7005A">
        <w:trPr>
          <w:trHeight w:val="2986"/>
        </w:trPr>
        <w:tc>
          <w:tcPr>
            <w:tcW w:w="9283" w:type="dxa"/>
          </w:tcPr>
          <w:p w:rsidR="00F7005A" w:rsidRPr="001B37C7" w:rsidRDefault="00F7005A" w:rsidP="00F7005A">
            <w:pPr>
              <w:jc w:val="both"/>
              <w:rPr>
                <w:rFonts w:ascii="Lato" w:hAnsi="Lato"/>
                <w:snapToGrid w:val="0"/>
              </w:rPr>
            </w:pPr>
            <w:bookmarkStart w:id="0" w:name="_Toc5957001"/>
            <w:bookmarkStart w:id="1" w:name="_Toc5957231"/>
            <w:bookmarkStart w:id="2" w:name="_Toc5957432"/>
            <w:bookmarkStart w:id="3" w:name="_Toc6216579"/>
            <w:bookmarkStart w:id="4" w:name="_Toc6281592"/>
          </w:p>
          <w:p w:rsidR="005F4E95" w:rsidRPr="001B37C7" w:rsidRDefault="005F4E95" w:rsidP="00F7005A">
            <w:pPr>
              <w:jc w:val="both"/>
              <w:rPr>
                <w:rFonts w:ascii="Lato" w:hAnsi="Lato"/>
                <w:snapToGrid w:val="0"/>
              </w:rPr>
            </w:pPr>
          </w:p>
          <w:p w:rsidR="005F4E95" w:rsidRPr="001B37C7" w:rsidRDefault="005F4E95" w:rsidP="00F7005A">
            <w:pPr>
              <w:jc w:val="both"/>
              <w:rPr>
                <w:rFonts w:ascii="Lato" w:hAnsi="Lato"/>
                <w:snapToGrid w:val="0"/>
              </w:rPr>
            </w:pPr>
          </w:p>
        </w:tc>
        <w:tc>
          <w:tcPr>
            <w:tcW w:w="9283" w:type="dxa"/>
          </w:tcPr>
          <w:p w:rsidR="00F7005A" w:rsidRPr="001B37C7" w:rsidRDefault="00F7005A" w:rsidP="00F7005A">
            <w:pPr>
              <w:ind w:firstLine="0"/>
              <w:jc w:val="both"/>
              <w:rPr>
                <w:rFonts w:ascii="Lato" w:hAnsi="Lato"/>
                <w:snapToGrid w:val="0"/>
                <w:lang w:eastAsia="en-US"/>
              </w:rPr>
            </w:pPr>
          </w:p>
        </w:tc>
      </w:tr>
    </w:tbl>
    <w:p w:rsidR="009C2B1D" w:rsidRPr="001B37C7" w:rsidRDefault="009C2B1D" w:rsidP="0050013E">
      <w:pPr>
        <w:spacing w:line="288" w:lineRule="auto"/>
        <w:ind w:firstLine="0"/>
        <w:jc w:val="center"/>
        <w:rPr>
          <w:rFonts w:ascii="Lato" w:hAnsi="Lato"/>
          <w:b/>
          <w:color w:val="000000"/>
          <w:sz w:val="44"/>
          <w:szCs w:val="44"/>
        </w:rPr>
      </w:pPr>
    </w:p>
    <w:p w:rsidR="0050013E" w:rsidRPr="00D352C4" w:rsidRDefault="0006260E" w:rsidP="004A163A">
      <w:pPr>
        <w:spacing w:line="288" w:lineRule="auto"/>
        <w:ind w:firstLine="0"/>
        <w:jc w:val="center"/>
        <w:rPr>
          <w:rFonts w:ascii="Lato" w:hAnsi="Lato"/>
          <w:b/>
          <w:snapToGrid w:val="0"/>
          <w:sz w:val="24"/>
          <w:szCs w:val="44"/>
          <w:lang w:eastAsia="en-US"/>
        </w:rPr>
      </w:pPr>
      <w:r>
        <w:rPr>
          <w:rFonts w:ascii="Lato" w:hAnsi="Lato"/>
          <w:noProof/>
          <w:color w:val="FFFFFF"/>
          <w:sz w:val="26"/>
        </w:rPr>
        <mc:AlternateContent>
          <mc:Choice Requires="wps">
            <w:drawing>
              <wp:anchor distT="0" distB="0" distL="114300" distR="114300" simplePos="0" relativeHeight="251659264" behindDoc="1" locked="0" layoutInCell="1" allowOverlap="1" wp14:anchorId="5980AF44" wp14:editId="38D0A137">
                <wp:simplePos x="0" y="0"/>
                <wp:positionH relativeFrom="column">
                  <wp:posOffset>-467995</wp:posOffset>
                </wp:positionH>
                <wp:positionV relativeFrom="paragraph">
                  <wp:posOffset>2080895</wp:posOffset>
                </wp:positionV>
                <wp:extent cx="6867525" cy="1915795"/>
                <wp:effectExtent l="0" t="4445" r="1270" b="3810"/>
                <wp:wrapNone/>
                <wp:docPr id="112"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7525" cy="19157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D4DF2C" id="Prostokąt 20" o:spid="_x0000_s1026" style="position:absolute;margin-left:-36.85pt;margin-top:163.85pt;width:540.75pt;height:150.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" fillcolor="#4f81bd" stroked="f" strokeweight="2pt">
                <v:path arrowok="t"/>
              </v:rect>
            </w:pict>
          </mc:Fallback>
        </mc:AlternateContent>
      </w:r>
      <w:r w:rsidR="004A163A" w:rsidRPr="00D352C4">
        <w:rPr>
          <w:rFonts w:ascii="Lato" w:hAnsi="Lato"/>
          <w:b/>
          <w:color w:val="FFFFFF"/>
          <w:sz w:val="48"/>
          <w:szCs w:val="44"/>
        </w:rPr>
        <w:t>Projekt aktualizacji</w:t>
      </w:r>
      <w:r w:rsidR="0050013E" w:rsidRPr="00D352C4">
        <w:rPr>
          <w:rFonts w:ascii="Lato" w:hAnsi="Lato"/>
          <w:b/>
          <w:color w:val="FFFFFF"/>
          <w:sz w:val="48"/>
          <w:szCs w:val="44"/>
        </w:rPr>
        <w:t xml:space="preserve"> założeń </w:t>
      </w:r>
      <w:r w:rsidR="0050013E" w:rsidRPr="00D352C4">
        <w:rPr>
          <w:rFonts w:ascii="Lato" w:hAnsi="Lato"/>
          <w:b/>
          <w:color w:val="FFFFFF"/>
          <w:sz w:val="48"/>
          <w:szCs w:val="44"/>
        </w:rPr>
        <w:br/>
        <w:t xml:space="preserve">do planu zaopatrzenia w ciepło, </w:t>
      </w:r>
      <w:r w:rsidR="0050013E" w:rsidRPr="00D352C4">
        <w:rPr>
          <w:rFonts w:ascii="Lato" w:hAnsi="Lato"/>
          <w:b/>
          <w:color w:val="FFFFFF"/>
          <w:sz w:val="48"/>
          <w:szCs w:val="44"/>
        </w:rPr>
        <w:br/>
        <w:t xml:space="preserve">energię elektryczną i paliwa gazowe </w:t>
      </w:r>
      <w:r w:rsidR="0050013E" w:rsidRPr="00D352C4">
        <w:rPr>
          <w:rFonts w:ascii="Lato" w:hAnsi="Lato"/>
          <w:b/>
          <w:color w:val="FFFFFF"/>
          <w:sz w:val="48"/>
          <w:szCs w:val="44"/>
        </w:rPr>
        <w:br/>
      </w:r>
      <w:r w:rsidR="0069768A" w:rsidRPr="00D352C4">
        <w:rPr>
          <w:rFonts w:ascii="Lato" w:hAnsi="Lato"/>
          <w:b/>
          <w:color w:val="FFFFFF"/>
          <w:sz w:val="48"/>
          <w:szCs w:val="44"/>
        </w:rPr>
        <w:t>dla Gminy Pabianice</w:t>
      </w:r>
    </w:p>
    <w:tbl>
      <w:tblPr>
        <w:tblW w:w="0" w:type="auto"/>
        <w:tblCellMar>
          <w:left w:w="70" w:type="dxa"/>
          <w:right w:w="70" w:type="dxa"/>
        </w:tblCellMar>
        <w:tblLook w:val="0000" w:firstRow="0" w:lastRow="0" w:firstColumn="0" w:lastColumn="0" w:noHBand="0" w:noVBand="0"/>
      </w:tblPr>
      <w:tblGrid>
        <w:gridCol w:w="9553"/>
      </w:tblGrid>
      <w:tr w:rsidR="0050013E" w:rsidRPr="00D352C4" w:rsidTr="0050013E">
        <w:trPr>
          <w:trHeight w:val="3024"/>
        </w:trPr>
        <w:tc>
          <w:tcPr>
            <w:tcW w:w="9779" w:type="dxa"/>
          </w:tcPr>
          <w:p w:rsidR="0050013E" w:rsidRPr="00D352C4" w:rsidRDefault="0050013E" w:rsidP="0050013E">
            <w:pPr>
              <w:spacing w:line="288" w:lineRule="auto"/>
              <w:ind w:firstLine="0"/>
              <w:jc w:val="center"/>
              <w:rPr>
                <w:rFonts w:ascii="Lato" w:hAnsi="Lato"/>
                <w:b/>
                <w:snapToGrid w:val="0"/>
                <w:sz w:val="24"/>
                <w:szCs w:val="44"/>
                <w:lang w:eastAsia="en-US"/>
              </w:rPr>
            </w:pPr>
          </w:p>
        </w:tc>
      </w:tr>
    </w:tbl>
    <w:p w:rsidR="0050013E" w:rsidRPr="00D352C4" w:rsidRDefault="0050013E" w:rsidP="0050013E">
      <w:pPr>
        <w:spacing w:line="288" w:lineRule="auto"/>
        <w:ind w:firstLine="0"/>
        <w:jc w:val="both"/>
        <w:rPr>
          <w:rFonts w:ascii="Lato" w:hAnsi="Lato"/>
          <w:snapToGrid w:val="0"/>
          <w:sz w:val="24"/>
          <w:szCs w:val="44"/>
          <w:lang w:eastAsia="en-US"/>
        </w:rPr>
      </w:pPr>
    </w:p>
    <w:p w:rsidR="009C2B1D" w:rsidRPr="00D352C4" w:rsidRDefault="009C2B1D" w:rsidP="0050013E">
      <w:pPr>
        <w:spacing w:line="360" w:lineRule="auto"/>
        <w:ind w:firstLine="0"/>
        <w:jc w:val="center"/>
        <w:rPr>
          <w:rFonts w:ascii="Lato" w:hAnsi="Lato"/>
          <w:b/>
        </w:rPr>
      </w:pPr>
    </w:p>
    <w:p w:rsidR="009C2B1D" w:rsidRPr="00D352C4" w:rsidRDefault="009C2B1D" w:rsidP="0050013E">
      <w:pPr>
        <w:ind w:firstLine="0"/>
        <w:jc w:val="center"/>
        <w:rPr>
          <w:rFonts w:ascii="Lato" w:hAnsi="Lato"/>
          <w:b/>
        </w:rPr>
      </w:pPr>
    </w:p>
    <w:p w:rsidR="00BF18AC" w:rsidRPr="00D352C4" w:rsidRDefault="00BF18AC" w:rsidP="0050013E">
      <w:pPr>
        <w:ind w:firstLine="0"/>
        <w:jc w:val="center"/>
        <w:rPr>
          <w:rFonts w:ascii="Lato" w:hAnsi="Lato"/>
          <w:bCs/>
          <w:iCs/>
          <w:snapToGrid w:val="0"/>
          <w:lang w:eastAsia="en-US"/>
        </w:rPr>
      </w:pPr>
    </w:p>
    <w:p w:rsidR="00CF1880" w:rsidRPr="00D352C4" w:rsidRDefault="00CF1880" w:rsidP="0050013E">
      <w:pPr>
        <w:ind w:firstLine="0"/>
        <w:jc w:val="center"/>
        <w:rPr>
          <w:rFonts w:ascii="Lato" w:hAnsi="Lato"/>
          <w:bCs/>
          <w:iCs/>
          <w:snapToGrid w:val="0"/>
          <w:lang w:eastAsia="en-US"/>
        </w:rPr>
      </w:pPr>
    </w:p>
    <w:p w:rsidR="00CF1880" w:rsidRPr="00D352C4" w:rsidRDefault="00CF1880" w:rsidP="0050013E">
      <w:pPr>
        <w:ind w:firstLine="0"/>
        <w:jc w:val="center"/>
        <w:rPr>
          <w:rFonts w:ascii="Lato" w:hAnsi="Lato"/>
          <w:bCs/>
          <w:iCs/>
          <w:snapToGrid w:val="0"/>
          <w:lang w:eastAsia="en-US"/>
        </w:rPr>
      </w:pPr>
    </w:p>
    <w:p w:rsidR="00CF1880" w:rsidRPr="00D352C4" w:rsidRDefault="00CF1880" w:rsidP="0050013E">
      <w:pPr>
        <w:ind w:firstLine="0"/>
        <w:jc w:val="center"/>
        <w:rPr>
          <w:rFonts w:ascii="Lato" w:hAnsi="Lato"/>
          <w:bCs/>
          <w:iCs/>
          <w:snapToGrid w:val="0"/>
          <w:lang w:eastAsia="en-US"/>
        </w:rPr>
      </w:pPr>
    </w:p>
    <w:p w:rsidR="00CF1880" w:rsidRPr="00D352C4" w:rsidRDefault="00CF1880" w:rsidP="0050013E">
      <w:pPr>
        <w:ind w:firstLine="0"/>
        <w:jc w:val="center"/>
        <w:rPr>
          <w:rFonts w:ascii="Lato" w:hAnsi="Lato"/>
          <w:bCs/>
          <w:iCs/>
          <w:snapToGrid w:val="0"/>
          <w:lang w:eastAsia="en-US"/>
        </w:rPr>
      </w:pPr>
    </w:p>
    <w:p w:rsidR="00B81B48" w:rsidRPr="00D352C4" w:rsidRDefault="00B81B48" w:rsidP="0050013E">
      <w:pPr>
        <w:ind w:firstLine="0"/>
        <w:jc w:val="center"/>
        <w:rPr>
          <w:rFonts w:ascii="Lato" w:hAnsi="Lato"/>
          <w:bCs/>
          <w:iCs/>
          <w:snapToGrid w:val="0"/>
          <w:lang w:eastAsia="en-US"/>
        </w:rPr>
      </w:pPr>
    </w:p>
    <w:p w:rsidR="00B81B48" w:rsidRPr="00D352C4" w:rsidRDefault="00B81B48" w:rsidP="0050013E">
      <w:pPr>
        <w:ind w:firstLine="0"/>
        <w:jc w:val="center"/>
        <w:rPr>
          <w:rFonts w:ascii="Lato" w:hAnsi="Lato"/>
          <w:bCs/>
          <w:iCs/>
          <w:snapToGrid w:val="0"/>
          <w:lang w:eastAsia="en-US"/>
        </w:rPr>
      </w:pPr>
    </w:p>
    <w:p w:rsidR="00DC043C" w:rsidRPr="00D352C4" w:rsidRDefault="0069768A" w:rsidP="0050013E">
      <w:pPr>
        <w:ind w:firstLine="0"/>
        <w:jc w:val="center"/>
        <w:rPr>
          <w:rFonts w:ascii="Lato" w:hAnsi="Lato"/>
          <w:bCs/>
          <w:iCs/>
          <w:snapToGrid w:val="0"/>
          <w:lang w:eastAsia="en-US"/>
        </w:rPr>
        <w:sectPr w:rsidR="00DC043C" w:rsidRPr="00D352C4" w:rsidSect="00206874">
          <w:footerReference w:type="default" r:id="rId8"/>
          <w:footerReference w:type="first" r:id="rId9"/>
          <w:pgSz w:w="11907" w:h="16840" w:code="9"/>
          <w:pgMar w:top="1247" w:right="1247" w:bottom="1247" w:left="1247" w:header="567" w:footer="567" w:gutter="0"/>
          <w:cols w:space="708"/>
        </w:sectPr>
      </w:pPr>
      <w:r w:rsidRPr="00D352C4">
        <w:rPr>
          <w:rFonts w:ascii="Lato" w:hAnsi="Lato"/>
          <w:bCs/>
          <w:iCs/>
          <w:snapToGrid w:val="0"/>
          <w:lang w:eastAsia="en-US"/>
        </w:rPr>
        <w:t>Pabianice, wrzesień</w:t>
      </w:r>
      <w:r w:rsidR="007857B9" w:rsidRPr="00D352C4">
        <w:rPr>
          <w:rFonts w:ascii="Lato" w:hAnsi="Lato"/>
          <w:bCs/>
          <w:iCs/>
          <w:snapToGrid w:val="0"/>
          <w:lang w:eastAsia="en-US"/>
        </w:rPr>
        <w:t xml:space="preserve"> 201</w:t>
      </w:r>
      <w:r w:rsidR="00EA34AC" w:rsidRPr="00D352C4">
        <w:rPr>
          <w:rFonts w:ascii="Lato" w:hAnsi="Lato"/>
          <w:bCs/>
          <w:iCs/>
          <w:snapToGrid w:val="0"/>
          <w:lang w:eastAsia="en-US"/>
        </w:rPr>
        <w:t>9</w:t>
      </w:r>
    </w:p>
    <w:p w:rsidR="007478D0" w:rsidRPr="00D352C4" w:rsidRDefault="007478D0" w:rsidP="0050013E">
      <w:pPr>
        <w:ind w:firstLine="0"/>
        <w:jc w:val="center"/>
        <w:rPr>
          <w:rFonts w:ascii="Lato" w:hAnsi="Lato"/>
          <w:bCs/>
          <w:iCs/>
          <w:snapToGrid w:val="0"/>
          <w:lang w:eastAsia="en-US"/>
        </w:rPr>
      </w:pPr>
    </w:p>
    <w:p w:rsidR="007478D0" w:rsidRPr="00D352C4" w:rsidRDefault="0006260E">
      <w:pPr>
        <w:spacing w:line="240" w:lineRule="auto"/>
        <w:ind w:firstLine="0"/>
        <w:rPr>
          <w:rFonts w:ascii="Lato" w:hAnsi="Lato"/>
          <w:bCs/>
          <w:iCs/>
          <w:snapToGrid w:val="0"/>
          <w:lang w:eastAsia="en-US"/>
        </w:rPr>
      </w:pPr>
      <w:r>
        <w:rPr>
          <w:rFonts w:ascii="Lato" w:hAnsi="Lato"/>
          <w:b/>
          <w:noProof/>
        </w:rPr>
        <w:drawing>
          <wp:anchor distT="0" distB="0" distL="114300" distR="114300" simplePos="0" relativeHeight="251658240" behindDoc="1" locked="0" layoutInCell="1" allowOverlap="1" wp14:anchorId="3E57F833" wp14:editId="4FD9A4D4">
            <wp:simplePos x="0" y="0"/>
            <wp:positionH relativeFrom="column">
              <wp:posOffset>4126230</wp:posOffset>
            </wp:positionH>
            <wp:positionV relativeFrom="paragraph">
              <wp:posOffset>133350</wp:posOffset>
            </wp:positionV>
            <wp:extent cx="1628775" cy="1257300"/>
            <wp:effectExtent l="0" t="0" r="9525" b="0"/>
            <wp:wrapNone/>
            <wp:docPr id="110" name="Obraz 20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4"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13E" w:rsidRPr="00D352C4" w:rsidRDefault="0050013E" w:rsidP="0050013E">
      <w:pPr>
        <w:ind w:firstLine="0"/>
        <w:jc w:val="center"/>
        <w:rPr>
          <w:rFonts w:ascii="Lato" w:hAnsi="Lato"/>
          <w:bCs/>
          <w:iCs/>
        </w:rPr>
      </w:pPr>
    </w:p>
    <w:p w:rsidR="00BF18AC" w:rsidRPr="00D352C4" w:rsidRDefault="004116EC" w:rsidP="007650B6">
      <w:pPr>
        <w:pStyle w:val="Spistreci1"/>
        <w:rPr>
          <w:rFonts w:ascii="Lato" w:hAnsi="Lato" w:cs="Times New Roman"/>
        </w:rPr>
      </w:pPr>
      <w:r>
        <w:drawing>
          <wp:anchor distT="0" distB="0" distL="114300" distR="114300" simplePos="0" relativeHeight="251660288" behindDoc="1" locked="0" layoutInCell="1" allowOverlap="1" wp14:anchorId="1BA6438F" wp14:editId="547A8E01">
            <wp:simplePos x="0" y="0"/>
            <wp:positionH relativeFrom="column">
              <wp:posOffset>689610</wp:posOffset>
            </wp:positionH>
            <wp:positionV relativeFrom="paragraph">
              <wp:posOffset>22860</wp:posOffset>
            </wp:positionV>
            <wp:extent cx="1659255" cy="190500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9255" cy="1905000"/>
                    </a:xfrm>
                    <a:prstGeom prst="rect">
                      <a:avLst/>
                    </a:prstGeom>
                  </pic:spPr>
                </pic:pic>
              </a:graphicData>
            </a:graphic>
            <wp14:sizeRelH relativeFrom="page">
              <wp14:pctWidth>0</wp14:pctWidth>
            </wp14:sizeRelH>
            <wp14:sizeRelV relativeFrom="page">
              <wp14:pctHeight>0</wp14:pctHeight>
            </wp14:sizeRelV>
          </wp:anchor>
        </w:drawing>
      </w:r>
    </w:p>
    <w:p w:rsidR="000D458C" w:rsidRPr="00D352C4" w:rsidRDefault="000D458C" w:rsidP="000D458C">
      <w:pPr>
        <w:jc w:val="center"/>
        <w:rPr>
          <w:rFonts w:ascii="Lato" w:hAnsi="Lato"/>
          <w:bCs/>
          <w:iCs/>
          <w:snapToGrid w:val="0"/>
        </w:rPr>
      </w:pPr>
    </w:p>
    <w:p w:rsidR="000D458C" w:rsidRPr="00D352C4" w:rsidRDefault="000D458C" w:rsidP="000D458C">
      <w:pPr>
        <w:spacing w:line="360" w:lineRule="auto"/>
        <w:jc w:val="center"/>
        <w:rPr>
          <w:rFonts w:ascii="Lato" w:hAnsi="Lato"/>
          <w:b/>
        </w:rPr>
      </w:pPr>
    </w:p>
    <w:p w:rsidR="000D458C" w:rsidRPr="00D352C4" w:rsidRDefault="000D458C" w:rsidP="000D458C">
      <w:pPr>
        <w:spacing w:line="360" w:lineRule="auto"/>
        <w:jc w:val="center"/>
        <w:rPr>
          <w:rFonts w:ascii="Lato" w:hAnsi="Lato"/>
          <w:b/>
        </w:rPr>
      </w:pPr>
    </w:p>
    <w:p w:rsidR="000D458C" w:rsidRPr="00D352C4" w:rsidRDefault="000D458C" w:rsidP="000D458C">
      <w:pPr>
        <w:spacing w:line="360" w:lineRule="auto"/>
        <w:jc w:val="center"/>
        <w:rPr>
          <w:rFonts w:ascii="Lato" w:hAnsi="Lato"/>
          <w:b/>
        </w:rPr>
      </w:pPr>
    </w:p>
    <w:p w:rsidR="000D458C" w:rsidRPr="00D352C4" w:rsidRDefault="000D458C" w:rsidP="000D458C">
      <w:pPr>
        <w:spacing w:line="360" w:lineRule="auto"/>
        <w:jc w:val="center"/>
        <w:rPr>
          <w:rFonts w:ascii="Lato" w:hAnsi="Lato"/>
          <w:b/>
        </w:rPr>
      </w:pPr>
    </w:p>
    <w:p w:rsidR="003B205E" w:rsidRPr="00D352C4" w:rsidRDefault="003B205E" w:rsidP="000D458C">
      <w:pPr>
        <w:spacing w:line="360" w:lineRule="auto"/>
        <w:jc w:val="center"/>
        <w:rPr>
          <w:rFonts w:ascii="Lato" w:hAnsi="Lato"/>
          <w:b/>
        </w:rPr>
      </w:pPr>
    </w:p>
    <w:p w:rsidR="003B205E" w:rsidRPr="00D352C4" w:rsidRDefault="003B205E" w:rsidP="000D458C">
      <w:pPr>
        <w:spacing w:line="360" w:lineRule="auto"/>
        <w:jc w:val="center"/>
        <w:rPr>
          <w:rFonts w:ascii="Lato" w:hAnsi="Lato"/>
          <w:b/>
        </w:rPr>
      </w:pPr>
    </w:p>
    <w:p w:rsidR="000D458C" w:rsidRPr="00D352C4" w:rsidRDefault="0006260E" w:rsidP="000D458C">
      <w:pPr>
        <w:spacing w:line="360" w:lineRule="auto"/>
        <w:rPr>
          <w:rFonts w:ascii="Lato" w:hAnsi="Lato"/>
          <w:b/>
        </w:rPr>
      </w:pPr>
      <w:r>
        <w:rPr>
          <w:rFonts w:ascii="Lato" w:hAnsi="Lato"/>
          <w:b/>
          <w:bCs/>
          <w:noProof/>
          <w:color w:val="365F91"/>
        </w:rPr>
        <mc:AlternateContent>
          <mc:Choice Requires="wps">
            <w:drawing>
              <wp:anchor distT="0" distB="0" distL="114300" distR="114300" simplePos="0" relativeHeight="251656192" behindDoc="0" locked="0" layoutInCell="1" allowOverlap="1" wp14:anchorId="653CB11A" wp14:editId="64632263">
                <wp:simplePos x="0" y="0"/>
                <wp:positionH relativeFrom="column">
                  <wp:posOffset>3332480</wp:posOffset>
                </wp:positionH>
                <wp:positionV relativeFrom="paragraph">
                  <wp:posOffset>90170</wp:posOffset>
                </wp:positionV>
                <wp:extent cx="2733675" cy="3857625"/>
                <wp:effectExtent l="0" t="0" r="9525" b="9525"/>
                <wp:wrapNone/>
                <wp:docPr id="18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85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7AD" w:rsidRPr="003B205E" w:rsidRDefault="002B07AD" w:rsidP="00CC5776">
                            <w:pPr>
                              <w:pStyle w:val="Nagwekspisutreci"/>
                              <w:spacing w:line="360" w:lineRule="auto"/>
                              <w:ind w:firstLine="0"/>
                              <w:rPr>
                                <w:rFonts w:ascii="Lato" w:hAnsi="Lato"/>
                                <w:b w:val="0"/>
                                <w:bCs w:val="0"/>
                                <w:sz w:val="22"/>
                                <w:szCs w:val="24"/>
                              </w:rPr>
                            </w:pPr>
                            <w:r w:rsidRPr="003B205E">
                              <w:rPr>
                                <w:rFonts w:ascii="Lato" w:hAnsi="Lato"/>
                                <w:b w:val="0"/>
                                <w:bCs w:val="0"/>
                                <w:sz w:val="22"/>
                                <w:szCs w:val="24"/>
                              </w:rPr>
                              <w:t>Wykonawcy:</w:t>
                            </w:r>
                          </w:p>
                          <w:p w:rsidR="002B07AD" w:rsidRPr="003B205E" w:rsidRDefault="002B07AD" w:rsidP="004363F8">
                            <w:pPr>
                              <w:rPr>
                                <w:sz w:val="20"/>
                              </w:rPr>
                            </w:pPr>
                          </w:p>
                          <w:p w:rsidR="002B07AD" w:rsidRPr="003B205E" w:rsidRDefault="002B07AD" w:rsidP="00CC5776">
                            <w:pPr>
                              <w:numPr>
                                <w:ilvl w:val="0"/>
                                <w:numId w:val="37"/>
                              </w:numPr>
                              <w:spacing w:after="200" w:line="360" w:lineRule="auto"/>
                              <w:ind w:left="142" w:hanging="142"/>
                              <w:rPr>
                                <w:rFonts w:ascii="Lato" w:hAnsi="Lato"/>
                              </w:rPr>
                            </w:pPr>
                            <w:r w:rsidRPr="003B205E">
                              <w:rPr>
                                <w:rFonts w:ascii="Lato" w:hAnsi="Lato"/>
                              </w:rPr>
                              <w:t>Łukasz Polakowski – prowadzący</w:t>
                            </w:r>
                          </w:p>
                          <w:p w:rsidR="002B07AD" w:rsidRPr="003B205E" w:rsidRDefault="002B07AD" w:rsidP="00CC5776">
                            <w:pPr>
                              <w:numPr>
                                <w:ilvl w:val="0"/>
                                <w:numId w:val="37"/>
                              </w:numPr>
                              <w:spacing w:after="200" w:line="360" w:lineRule="auto"/>
                              <w:ind w:left="142" w:hanging="142"/>
                              <w:rPr>
                                <w:rFonts w:ascii="Lato" w:hAnsi="Lato"/>
                              </w:rPr>
                            </w:pPr>
                            <w:r w:rsidRPr="003B205E">
                              <w:rPr>
                                <w:rFonts w:ascii="Lato" w:hAnsi="Lato"/>
                              </w:rPr>
                              <w:t>Piotr Kukla</w:t>
                            </w:r>
                          </w:p>
                          <w:p w:rsidR="002B07AD" w:rsidRPr="003B205E" w:rsidRDefault="002B07AD" w:rsidP="00CC5776">
                            <w:pPr>
                              <w:numPr>
                                <w:ilvl w:val="0"/>
                                <w:numId w:val="37"/>
                              </w:numPr>
                              <w:spacing w:after="200" w:line="360" w:lineRule="auto"/>
                              <w:ind w:left="142" w:hanging="142"/>
                              <w:rPr>
                                <w:rFonts w:ascii="Lato" w:hAnsi="Lato"/>
                              </w:rPr>
                            </w:pPr>
                            <w:r w:rsidRPr="003B205E">
                              <w:rPr>
                                <w:rFonts w:ascii="Lato" w:hAnsi="Lato"/>
                              </w:rPr>
                              <w:t>Adam Motyl</w:t>
                            </w:r>
                          </w:p>
                          <w:p w:rsidR="002B07AD" w:rsidRPr="003B205E" w:rsidRDefault="002B07AD" w:rsidP="00CC5776">
                            <w:pPr>
                              <w:numPr>
                                <w:ilvl w:val="0"/>
                                <w:numId w:val="37"/>
                              </w:numPr>
                              <w:spacing w:after="200" w:line="360" w:lineRule="auto"/>
                              <w:ind w:left="142" w:hanging="142"/>
                              <w:rPr>
                                <w:rFonts w:ascii="Lato" w:hAnsi="Lato"/>
                              </w:rPr>
                            </w:pPr>
                            <w:r w:rsidRPr="003B205E">
                              <w:rPr>
                                <w:rFonts w:ascii="Lato" w:hAnsi="Lato"/>
                              </w:rPr>
                              <w:t>Agata Szyja</w:t>
                            </w:r>
                          </w:p>
                          <w:p w:rsidR="002B07AD" w:rsidRPr="0001399B" w:rsidRDefault="002B07AD" w:rsidP="000D458C">
                            <w:pPr>
                              <w:spacing w:after="200" w:line="360" w:lineRule="auto"/>
                              <w:ind w:left="360" w:firstLine="0"/>
                              <w:rPr>
                                <w:rFonts w:ascii="Corbel" w:hAnsi="Corbel" w:cs="Tahoma"/>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CB11A" id="_x0000_t202" coordsize="21600,21600" o:spt="202" path="m,l,21600r21600,l21600,xe">
                <v:stroke joinstyle="miter"/>
                <v:path gradientshapeok="t" o:connecttype="rect"/>
              </v:shapetype>
              <v:shape id="Text Box 205" o:spid="_x0000_s1026" type="#_x0000_t202" style="position:absolute;left:0;text-align:left;margin-left:262.4pt;margin-top:7.1pt;width:215.25pt;height:30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" stroked="f">
                <v:textbox>
                  <w:txbxContent>
                    <w:p w:rsidR="002B07AD" w:rsidRPr="003B205E" w:rsidRDefault="002B07AD" w:rsidP="00CC5776">
                      <w:pPr>
                        <w:pStyle w:val="Nagwekspisutreci"/>
                        <w:spacing w:line="360" w:lineRule="auto"/>
                        <w:ind w:firstLine="0"/>
                        <w:rPr>
                          <w:rFonts w:ascii="Lato" w:hAnsi="Lato"/>
                          <w:b w:val="0"/>
                          <w:bCs w:val="0"/>
                          <w:sz w:val="22"/>
                          <w:szCs w:val="24"/>
                        </w:rPr>
                      </w:pPr>
                      <w:r w:rsidRPr="003B205E">
                        <w:rPr>
                          <w:rFonts w:ascii="Lato" w:hAnsi="Lato"/>
                          <w:b w:val="0"/>
                          <w:bCs w:val="0"/>
                          <w:sz w:val="22"/>
                          <w:szCs w:val="24"/>
                        </w:rPr>
                        <w:t>Wykonawcy:</w:t>
                      </w:r>
                    </w:p>
                    <w:p w:rsidR="002B07AD" w:rsidRPr="003B205E" w:rsidRDefault="002B07AD" w:rsidP="004363F8">
                      <w:pPr>
                        <w:rPr>
                          <w:sz w:val="20"/>
                        </w:rPr>
                      </w:pPr>
                    </w:p>
                    <w:p w:rsidR="002B07AD" w:rsidRPr="003B205E" w:rsidRDefault="002B07AD" w:rsidP="00CC5776">
                      <w:pPr>
                        <w:numPr>
                          <w:ilvl w:val="0"/>
                          <w:numId w:val="37"/>
                        </w:numPr>
                        <w:spacing w:after="200" w:line="360" w:lineRule="auto"/>
                        <w:ind w:left="142" w:hanging="142"/>
                        <w:rPr>
                          <w:rFonts w:ascii="Lato" w:hAnsi="Lato"/>
                        </w:rPr>
                      </w:pPr>
                      <w:r w:rsidRPr="003B205E">
                        <w:rPr>
                          <w:rFonts w:ascii="Lato" w:hAnsi="Lato"/>
                        </w:rPr>
                        <w:t>Łukasz Polakowski – prowadzący</w:t>
                      </w:r>
                    </w:p>
                    <w:p w:rsidR="002B07AD" w:rsidRPr="003B205E" w:rsidRDefault="002B07AD" w:rsidP="00CC5776">
                      <w:pPr>
                        <w:numPr>
                          <w:ilvl w:val="0"/>
                          <w:numId w:val="37"/>
                        </w:numPr>
                        <w:spacing w:after="200" w:line="360" w:lineRule="auto"/>
                        <w:ind w:left="142" w:hanging="142"/>
                        <w:rPr>
                          <w:rFonts w:ascii="Lato" w:hAnsi="Lato"/>
                        </w:rPr>
                      </w:pPr>
                      <w:r w:rsidRPr="003B205E">
                        <w:rPr>
                          <w:rFonts w:ascii="Lato" w:hAnsi="Lato"/>
                        </w:rPr>
                        <w:t>Piotr Kukla</w:t>
                      </w:r>
                    </w:p>
                    <w:p w:rsidR="002B07AD" w:rsidRPr="003B205E" w:rsidRDefault="002B07AD" w:rsidP="00CC5776">
                      <w:pPr>
                        <w:numPr>
                          <w:ilvl w:val="0"/>
                          <w:numId w:val="37"/>
                        </w:numPr>
                        <w:spacing w:after="200" w:line="360" w:lineRule="auto"/>
                        <w:ind w:left="142" w:hanging="142"/>
                        <w:rPr>
                          <w:rFonts w:ascii="Lato" w:hAnsi="Lato"/>
                        </w:rPr>
                      </w:pPr>
                      <w:r w:rsidRPr="003B205E">
                        <w:rPr>
                          <w:rFonts w:ascii="Lato" w:hAnsi="Lato"/>
                        </w:rPr>
                        <w:t>Adam Motyl</w:t>
                      </w:r>
                    </w:p>
                    <w:p w:rsidR="002B07AD" w:rsidRPr="003B205E" w:rsidRDefault="002B07AD" w:rsidP="00CC5776">
                      <w:pPr>
                        <w:numPr>
                          <w:ilvl w:val="0"/>
                          <w:numId w:val="37"/>
                        </w:numPr>
                        <w:spacing w:after="200" w:line="360" w:lineRule="auto"/>
                        <w:ind w:left="142" w:hanging="142"/>
                        <w:rPr>
                          <w:rFonts w:ascii="Lato" w:hAnsi="Lato"/>
                        </w:rPr>
                      </w:pPr>
                      <w:r w:rsidRPr="003B205E">
                        <w:rPr>
                          <w:rFonts w:ascii="Lato" w:hAnsi="Lato"/>
                        </w:rPr>
                        <w:t>Agata Szyja</w:t>
                      </w:r>
                    </w:p>
                    <w:p w:rsidR="002B07AD" w:rsidRPr="0001399B" w:rsidRDefault="002B07AD" w:rsidP="000D458C">
                      <w:pPr>
                        <w:spacing w:after="200" w:line="360" w:lineRule="auto"/>
                        <w:ind w:left="360" w:firstLine="0"/>
                        <w:rPr>
                          <w:rFonts w:ascii="Corbel" w:hAnsi="Corbel" w:cs="Tahoma"/>
                          <w:b/>
                          <w:sz w:val="20"/>
                          <w:szCs w:val="20"/>
                        </w:rPr>
                      </w:pPr>
                    </w:p>
                  </w:txbxContent>
                </v:textbox>
              </v:shape>
            </w:pict>
          </mc:Fallback>
        </mc:AlternateContent>
      </w:r>
      <w:r>
        <w:rPr>
          <w:rFonts w:ascii="Lato" w:hAnsi="Lato"/>
          <w:b/>
          <w:bCs/>
          <w:noProof/>
          <w:color w:val="365F91"/>
        </w:rPr>
        <mc:AlternateContent>
          <mc:Choice Requires="wps">
            <w:drawing>
              <wp:anchor distT="0" distB="0" distL="114300" distR="114300" simplePos="0" relativeHeight="251657216" behindDoc="0" locked="0" layoutInCell="1" allowOverlap="1" wp14:anchorId="4A2B180A" wp14:editId="72461CEF">
                <wp:simplePos x="0" y="0"/>
                <wp:positionH relativeFrom="column">
                  <wp:posOffset>-95250</wp:posOffset>
                </wp:positionH>
                <wp:positionV relativeFrom="paragraph">
                  <wp:posOffset>74295</wp:posOffset>
                </wp:positionV>
                <wp:extent cx="3086100" cy="4190365"/>
                <wp:effectExtent l="0" t="0" r="0" b="635"/>
                <wp:wrapNone/>
                <wp:docPr id="18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19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7AD" w:rsidRPr="00C2066D" w:rsidRDefault="002B07AD" w:rsidP="000D458C">
                            <w:pPr>
                              <w:pStyle w:val="Nagwekspisutreci"/>
                              <w:ind w:firstLine="0"/>
                              <w:jc w:val="both"/>
                              <w:rPr>
                                <w:rFonts w:ascii="Lato" w:hAnsi="Lato"/>
                                <w:b w:val="0"/>
                                <w:bCs w:val="0"/>
                                <w:sz w:val="20"/>
                                <w:szCs w:val="20"/>
                              </w:rPr>
                            </w:pPr>
                            <w:r w:rsidRPr="00C2066D">
                              <w:rPr>
                                <w:rFonts w:ascii="Lato" w:hAnsi="Lato"/>
                                <w:b w:val="0"/>
                                <w:bCs w:val="0"/>
                                <w:sz w:val="20"/>
                                <w:szCs w:val="20"/>
                              </w:rPr>
                              <w:t xml:space="preserve">Współpraca ze strony Urzędu Gminy </w:t>
                            </w:r>
                            <w:r w:rsidR="00C2066D" w:rsidRPr="00C2066D">
                              <w:rPr>
                                <w:rFonts w:ascii="Lato" w:hAnsi="Lato"/>
                                <w:b w:val="0"/>
                                <w:bCs w:val="0"/>
                                <w:sz w:val="20"/>
                                <w:szCs w:val="20"/>
                              </w:rPr>
                              <w:t xml:space="preserve"> w </w:t>
                            </w:r>
                            <w:r w:rsidRPr="00C2066D">
                              <w:rPr>
                                <w:rFonts w:ascii="Lato" w:hAnsi="Lato"/>
                                <w:b w:val="0"/>
                                <w:bCs w:val="0"/>
                                <w:sz w:val="20"/>
                                <w:szCs w:val="20"/>
                              </w:rPr>
                              <w:t>Pabianic</w:t>
                            </w:r>
                            <w:r w:rsidR="00C2066D" w:rsidRPr="00C2066D">
                              <w:rPr>
                                <w:rFonts w:ascii="Lato" w:hAnsi="Lato"/>
                                <w:b w:val="0"/>
                                <w:bCs w:val="0"/>
                                <w:sz w:val="20"/>
                                <w:szCs w:val="20"/>
                              </w:rPr>
                              <w:t>ach</w:t>
                            </w:r>
                            <w:r w:rsidRPr="00C2066D">
                              <w:rPr>
                                <w:rFonts w:ascii="Lato" w:hAnsi="Lato"/>
                                <w:b w:val="0"/>
                                <w:bCs w:val="0"/>
                                <w:sz w:val="20"/>
                                <w:szCs w:val="20"/>
                              </w:rPr>
                              <w:t>:</w:t>
                            </w:r>
                          </w:p>
                          <w:p w:rsidR="002B07AD" w:rsidRPr="003B205E" w:rsidRDefault="002B07AD" w:rsidP="006E67C0">
                            <w:pPr>
                              <w:rPr>
                                <w:rFonts w:ascii="Lato" w:hAnsi="Lato"/>
                              </w:rPr>
                            </w:pPr>
                          </w:p>
                          <w:p w:rsidR="002B07AD" w:rsidRPr="00FD47D5" w:rsidRDefault="002B07AD" w:rsidP="00CC5776">
                            <w:pPr>
                              <w:numPr>
                                <w:ilvl w:val="0"/>
                                <w:numId w:val="37"/>
                              </w:numPr>
                              <w:spacing w:after="200" w:line="360" w:lineRule="auto"/>
                              <w:ind w:left="142" w:hanging="142"/>
                              <w:rPr>
                                <w:rFonts w:ascii="Corbel" w:hAnsi="Corbel" w:cs="Tahoma"/>
                                <w:sz w:val="18"/>
                                <w:szCs w:val="20"/>
                              </w:rPr>
                            </w:pPr>
                            <w:r w:rsidRPr="00FD47D5">
                              <w:rPr>
                                <w:rFonts w:ascii="Lato" w:hAnsi="Lato"/>
                              </w:rPr>
                              <w:t>Mariusz Rzepkowski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B180A" id="Text Box 206" o:spid="_x0000_s1027" type="#_x0000_t202" style="position:absolute;left:0;text-align:left;margin-left:-7.5pt;margin-top:5.85pt;width:243pt;height:32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" stroked="f">
                <v:textbox>
                  <w:txbxContent>
                    <w:p w:rsidR="002B07AD" w:rsidRPr="00C2066D" w:rsidRDefault="002B07AD" w:rsidP="000D458C">
                      <w:pPr>
                        <w:pStyle w:val="Nagwekspisutreci"/>
                        <w:ind w:firstLine="0"/>
                        <w:jc w:val="both"/>
                        <w:rPr>
                          <w:rFonts w:ascii="Lato" w:hAnsi="Lato"/>
                          <w:b w:val="0"/>
                          <w:bCs w:val="0"/>
                          <w:sz w:val="20"/>
                          <w:szCs w:val="20"/>
                        </w:rPr>
                      </w:pPr>
                      <w:r w:rsidRPr="00C2066D">
                        <w:rPr>
                          <w:rFonts w:ascii="Lato" w:hAnsi="Lato"/>
                          <w:b w:val="0"/>
                          <w:bCs w:val="0"/>
                          <w:sz w:val="20"/>
                          <w:szCs w:val="20"/>
                        </w:rPr>
                        <w:t xml:space="preserve">Współpraca ze strony Urzędu Gminy </w:t>
                      </w:r>
                      <w:r w:rsidR="00C2066D" w:rsidRPr="00C2066D">
                        <w:rPr>
                          <w:rFonts w:ascii="Lato" w:hAnsi="Lato"/>
                          <w:b w:val="0"/>
                          <w:bCs w:val="0"/>
                          <w:sz w:val="20"/>
                          <w:szCs w:val="20"/>
                        </w:rPr>
                        <w:t xml:space="preserve"> w </w:t>
                      </w:r>
                      <w:r w:rsidRPr="00C2066D">
                        <w:rPr>
                          <w:rFonts w:ascii="Lato" w:hAnsi="Lato"/>
                          <w:b w:val="0"/>
                          <w:bCs w:val="0"/>
                          <w:sz w:val="20"/>
                          <w:szCs w:val="20"/>
                        </w:rPr>
                        <w:t>Pabianic</w:t>
                      </w:r>
                      <w:r w:rsidR="00C2066D" w:rsidRPr="00C2066D">
                        <w:rPr>
                          <w:rFonts w:ascii="Lato" w:hAnsi="Lato"/>
                          <w:b w:val="0"/>
                          <w:bCs w:val="0"/>
                          <w:sz w:val="20"/>
                          <w:szCs w:val="20"/>
                        </w:rPr>
                        <w:t>ach</w:t>
                      </w:r>
                      <w:r w:rsidRPr="00C2066D">
                        <w:rPr>
                          <w:rFonts w:ascii="Lato" w:hAnsi="Lato"/>
                          <w:b w:val="0"/>
                          <w:bCs w:val="0"/>
                          <w:sz w:val="20"/>
                          <w:szCs w:val="20"/>
                        </w:rPr>
                        <w:t>:</w:t>
                      </w:r>
                    </w:p>
                    <w:p w:rsidR="002B07AD" w:rsidRPr="003B205E" w:rsidRDefault="002B07AD" w:rsidP="006E67C0">
                      <w:pPr>
                        <w:rPr>
                          <w:rFonts w:ascii="Lato" w:hAnsi="Lato"/>
                        </w:rPr>
                      </w:pPr>
                    </w:p>
                    <w:p w:rsidR="002B07AD" w:rsidRPr="00FD47D5" w:rsidRDefault="002B07AD" w:rsidP="00CC5776">
                      <w:pPr>
                        <w:numPr>
                          <w:ilvl w:val="0"/>
                          <w:numId w:val="37"/>
                        </w:numPr>
                        <w:spacing w:after="200" w:line="360" w:lineRule="auto"/>
                        <w:ind w:left="142" w:hanging="142"/>
                        <w:rPr>
                          <w:rFonts w:ascii="Corbel" w:hAnsi="Corbel" w:cs="Tahoma"/>
                          <w:sz w:val="18"/>
                          <w:szCs w:val="20"/>
                        </w:rPr>
                      </w:pPr>
                      <w:r w:rsidRPr="00FD47D5">
                        <w:rPr>
                          <w:rFonts w:ascii="Lato" w:hAnsi="Lato"/>
                        </w:rPr>
                        <w:t>Mariusz Rzepkowski</w:t>
                      </w:r>
                    </w:p>
                  </w:txbxContent>
                </v:textbox>
              </v:shape>
            </w:pict>
          </mc:Fallback>
        </mc:AlternateContent>
      </w:r>
    </w:p>
    <w:p w:rsidR="000D458C" w:rsidRPr="00D352C4" w:rsidRDefault="000D458C" w:rsidP="000D458C">
      <w:pPr>
        <w:spacing w:line="360" w:lineRule="auto"/>
        <w:rPr>
          <w:rFonts w:ascii="Lato" w:hAnsi="Lato"/>
          <w:b/>
        </w:rPr>
      </w:pPr>
    </w:p>
    <w:p w:rsidR="000D458C" w:rsidRPr="00D352C4" w:rsidRDefault="000D458C" w:rsidP="000D458C">
      <w:pPr>
        <w:jc w:val="center"/>
        <w:rPr>
          <w:rFonts w:ascii="Lato" w:hAnsi="Lato"/>
        </w:rPr>
      </w:pPr>
    </w:p>
    <w:p w:rsidR="000D458C" w:rsidRPr="00D352C4" w:rsidRDefault="000D458C" w:rsidP="000D458C">
      <w:pPr>
        <w:spacing w:line="360" w:lineRule="auto"/>
        <w:rPr>
          <w:rFonts w:ascii="Lato" w:hAnsi="Lato"/>
          <w:b/>
          <w:color w:val="008000"/>
        </w:rPr>
      </w:pPr>
    </w:p>
    <w:p w:rsidR="000D458C" w:rsidRPr="00D352C4" w:rsidRDefault="000D458C" w:rsidP="000D458C">
      <w:pPr>
        <w:rPr>
          <w:rFonts w:ascii="Lato" w:hAnsi="Lato"/>
        </w:rPr>
      </w:pPr>
    </w:p>
    <w:p w:rsidR="000D458C" w:rsidRPr="00D352C4" w:rsidRDefault="000D458C" w:rsidP="000D458C">
      <w:pPr>
        <w:pStyle w:val="Nagwekspisutreci"/>
        <w:rPr>
          <w:rFonts w:ascii="Lato" w:hAnsi="Lato"/>
        </w:rPr>
      </w:pPr>
    </w:p>
    <w:p w:rsidR="000D458C" w:rsidRPr="00D352C4" w:rsidRDefault="000D458C" w:rsidP="000D458C">
      <w:pPr>
        <w:pStyle w:val="Nagwekspisutreci"/>
        <w:rPr>
          <w:rFonts w:ascii="Lato" w:hAnsi="Lato"/>
        </w:rPr>
      </w:pPr>
    </w:p>
    <w:p w:rsidR="000D458C" w:rsidRPr="00D352C4" w:rsidRDefault="000D458C" w:rsidP="000D458C">
      <w:pPr>
        <w:rPr>
          <w:rFonts w:ascii="Lato" w:hAnsi="Lato"/>
        </w:rPr>
      </w:pPr>
    </w:p>
    <w:p w:rsidR="000D458C" w:rsidRPr="00D352C4" w:rsidRDefault="000D458C" w:rsidP="000D458C">
      <w:pPr>
        <w:rPr>
          <w:rFonts w:ascii="Lato" w:hAnsi="Lato"/>
        </w:rPr>
      </w:pPr>
    </w:p>
    <w:p w:rsidR="000D458C" w:rsidRPr="00D352C4" w:rsidRDefault="000D458C" w:rsidP="000D458C">
      <w:pPr>
        <w:rPr>
          <w:rFonts w:ascii="Lato" w:hAnsi="Lato"/>
        </w:rPr>
      </w:pPr>
    </w:p>
    <w:p w:rsidR="000D458C" w:rsidRPr="00D352C4" w:rsidRDefault="000D458C" w:rsidP="000D458C">
      <w:pPr>
        <w:rPr>
          <w:rFonts w:ascii="Lato" w:hAnsi="Lato"/>
        </w:rPr>
      </w:pPr>
    </w:p>
    <w:p w:rsidR="000D458C" w:rsidRPr="00D352C4" w:rsidRDefault="000D458C" w:rsidP="000D458C">
      <w:pPr>
        <w:rPr>
          <w:rFonts w:ascii="Lato" w:hAnsi="Lato"/>
        </w:rPr>
      </w:pPr>
    </w:p>
    <w:p w:rsidR="000D458C" w:rsidRPr="00D352C4" w:rsidRDefault="000D458C" w:rsidP="000D458C">
      <w:pPr>
        <w:rPr>
          <w:rFonts w:ascii="Lato" w:hAnsi="Lato"/>
        </w:rPr>
      </w:pPr>
    </w:p>
    <w:p w:rsidR="000D458C" w:rsidRPr="00D352C4" w:rsidRDefault="000D458C" w:rsidP="000D458C">
      <w:pPr>
        <w:rPr>
          <w:rFonts w:ascii="Lato" w:hAnsi="Lato"/>
        </w:rPr>
      </w:pPr>
    </w:p>
    <w:p w:rsidR="000D458C" w:rsidRPr="00D352C4" w:rsidRDefault="000D458C" w:rsidP="000D458C">
      <w:pPr>
        <w:rPr>
          <w:rFonts w:ascii="Lato" w:hAnsi="Lato"/>
        </w:rPr>
      </w:pPr>
    </w:p>
    <w:p w:rsidR="000D458C" w:rsidRPr="00D352C4" w:rsidRDefault="000D458C" w:rsidP="000D458C">
      <w:pPr>
        <w:rPr>
          <w:rFonts w:ascii="Lato" w:hAnsi="Lato"/>
        </w:rPr>
      </w:pPr>
    </w:p>
    <w:p w:rsidR="00DA208D" w:rsidRPr="00D352C4" w:rsidRDefault="00DA208D" w:rsidP="007650B6">
      <w:pPr>
        <w:pStyle w:val="Spistreci1"/>
        <w:rPr>
          <w:rFonts w:ascii="Lato" w:hAnsi="Lato" w:cs="Times New Roman"/>
        </w:rPr>
      </w:pPr>
    </w:p>
    <w:p w:rsidR="00DA208D" w:rsidRPr="00D352C4" w:rsidRDefault="00DA208D" w:rsidP="007650B6">
      <w:pPr>
        <w:pStyle w:val="Spistreci1"/>
        <w:rPr>
          <w:rFonts w:ascii="Lato" w:hAnsi="Lato" w:cs="Times New Roman"/>
        </w:rPr>
      </w:pPr>
    </w:p>
    <w:p w:rsidR="00DA208D" w:rsidRPr="00D352C4" w:rsidRDefault="00DA208D" w:rsidP="007650B6">
      <w:pPr>
        <w:pStyle w:val="Spistreci1"/>
        <w:rPr>
          <w:rFonts w:ascii="Lato" w:hAnsi="Lato" w:cs="Times New Roman"/>
        </w:rPr>
      </w:pPr>
    </w:p>
    <w:p w:rsidR="00DA208D" w:rsidRPr="00D352C4" w:rsidRDefault="00DA208D" w:rsidP="007650B6">
      <w:pPr>
        <w:pStyle w:val="Spistreci1"/>
        <w:rPr>
          <w:rFonts w:ascii="Lato" w:hAnsi="Lato" w:cs="Times New Roman"/>
        </w:rPr>
      </w:pPr>
    </w:p>
    <w:p w:rsidR="00DA208D" w:rsidRPr="00D352C4" w:rsidRDefault="00DA208D" w:rsidP="007650B6">
      <w:pPr>
        <w:pStyle w:val="Spistreci1"/>
        <w:rPr>
          <w:rFonts w:ascii="Lato" w:hAnsi="Lato" w:cs="Times New Roman"/>
        </w:rPr>
      </w:pPr>
    </w:p>
    <w:p w:rsidR="00D03562" w:rsidRDefault="00C35015" w:rsidP="00F416ED">
      <w:pPr>
        <w:spacing w:line="240" w:lineRule="auto"/>
        <w:ind w:firstLine="0"/>
        <w:rPr>
          <w:noProof/>
        </w:rPr>
      </w:pPr>
      <w:r w:rsidRPr="00D352C4">
        <w:rPr>
          <w:rFonts w:ascii="Lato" w:hAnsi="Lato"/>
        </w:rPr>
        <w:br w:type="page"/>
      </w:r>
      <w:r w:rsidR="0050013E" w:rsidRPr="00190648">
        <w:rPr>
          <w:rFonts w:ascii="Lato" w:hAnsi="Lato"/>
          <w:color w:val="4F81BD"/>
          <w:sz w:val="28"/>
        </w:rPr>
        <w:lastRenderedPageBreak/>
        <w:t>SPIS TREŚCI</w:t>
      </w:r>
      <w:r w:rsidR="0050013E" w:rsidRPr="00190648">
        <w:rPr>
          <w:rFonts w:ascii="Lato" w:hAnsi="Lato"/>
          <w:color w:val="4F81BD"/>
          <w:sz w:val="28"/>
        </w:rPr>
        <w:cr/>
      </w:r>
      <w:r w:rsidR="004042AE" w:rsidRPr="00D352C4">
        <w:rPr>
          <w:rFonts w:ascii="Lato" w:hAnsi="Lato"/>
          <w:color w:val="4F81BD"/>
          <w:sz w:val="24"/>
          <w:highlight w:val="yellow"/>
        </w:rPr>
        <w:fldChar w:fldCharType="begin"/>
      </w:r>
      <w:r w:rsidR="0050013E" w:rsidRPr="00D352C4">
        <w:rPr>
          <w:rFonts w:ascii="Lato" w:hAnsi="Lato"/>
          <w:color w:val="4F81BD"/>
          <w:sz w:val="24"/>
          <w:highlight w:val="yellow"/>
        </w:rPr>
        <w:instrText xml:space="preserve"> TOC \o "1-3" \h \z \u </w:instrText>
      </w:r>
      <w:r w:rsidR="004042AE" w:rsidRPr="00D352C4">
        <w:rPr>
          <w:rFonts w:ascii="Lato" w:hAnsi="Lato"/>
          <w:color w:val="4F81BD"/>
          <w:sz w:val="24"/>
          <w:highlight w:val="yellow"/>
        </w:rPr>
        <w:fldChar w:fldCharType="separate"/>
      </w:r>
    </w:p>
    <w:p w:rsidR="00D03562" w:rsidRDefault="00755C70">
      <w:pPr>
        <w:pStyle w:val="Spistreci1"/>
        <w:rPr>
          <w:rFonts w:asciiTheme="minorHAnsi" w:eastAsiaTheme="minorEastAsia" w:hAnsiTheme="minorHAnsi" w:cstheme="minorBidi"/>
          <w:iCs w:val="0"/>
          <w:caps w:val="0"/>
          <w:color w:val="auto"/>
          <w:sz w:val="22"/>
          <w:szCs w:val="22"/>
        </w:rPr>
      </w:pPr>
      <w:hyperlink w:anchor="_Toc20218496" w:history="1">
        <w:r w:rsidR="00D03562" w:rsidRPr="005D23F5">
          <w:rPr>
            <w:rStyle w:val="Hipercze"/>
            <w:rFonts w:ascii="Lato" w:hAnsi="Lato"/>
          </w:rPr>
          <w:t>1.</w:t>
        </w:r>
        <w:r w:rsidR="00D03562">
          <w:rPr>
            <w:rFonts w:asciiTheme="minorHAnsi" w:eastAsiaTheme="minorEastAsia" w:hAnsiTheme="minorHAnsi" w:cstheme="minorBidi"/>
            <w:iCs w:val="0"/>
            <w:caps w:val="0"/>
            <w:color w:val="auto"/>
            <w:sz w:val="22"/>
            <w:szCs w:val="22"/>
          </w:rPr>
          <w:tab/>
        </w:r>
        <w:r w:rsidR="00D03562" w:rsidRPr="005D23F5">
          <w:rPr>
            <w:rStyle w:val="Hipercze"/>
            <w:rFonts w:ascii="Lato" w:hAnsi="Lato"/>
          </w:rPr>
          <w:t>Wstęp</w:t>
        </w:r>
        <w:r w:rsidR="00D03562">
          <w:rPr>
            <w:webHidden/>
          </w:rPr>
          <w:tab/>
        </w:r>
        <w:r w:rsidR="00D03562">
          <w:rPr>
            <w:webHidden/>
          </w:rPr>
          <w:fldChar w:fldCharType="begin"/>
        </w:r>
        <w:r w:rsidR="00D03562">
          <w:rPr>
            <w:webHidden/>
          </w:rPr>
          <w:instrText xml:space="preserve"> PAGEREF _Toc20218496 \h </w:instrText>
        </w:r>
        <w:r w:rsidR="00D03562">
          <w:rPr>
            <w:webHidden/>
          </w:rPr>
        </w:r>
        <w:r w:rsidR="00D03562">
          <w:rPr>
            <w:webHidden/>
          </w:rPr>
          <w:fldChar w:fldCharType="separate"/>
        </w:r>
        <w:r w:rsidR="002F538E">
          <w:rPr>
            <w:webHidden/>
          </w:rPr>
          <w:t>9</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497" w:history="1">
        <w:r w:rsidR="00D03562" w:rsidRPr="005D23F5">
          <w:rPr>
            <w:rStyle w:val="Hipercze"/>
            <w:rFonts w:ascii="Lato" w:hAnsi="Lato"/>
          </w:rPr>
          <w:t>1.1</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Podstawa opracowania dokumentu</w:t>
        </w:r>
        <w:r w:rsidR="00D03562">
          <w:rPr>
            <w:webHidden/>
          </w:rPr>
          <w:tab/>
        </w:r>
        <w:r w:rsidR="00D03562">
          <w:rPr>
            <w:webHidden/>
          </w:rPr>
          <w:fldChar w:fldCharType="begin"/>
        </w:r>
        <w:r w:rsidR="00D03562">
          <w:rPr>
            <w:webHidden/>
          </w:rPr>
          <w:instrText xml:space="preserve"> PAGEREF _Toc20218497 \h </w:instrText>
        </w:r>
        <w:r w:rsidR="00D03562">
          <w:rPr>
            <w:webHidden/>
          </w:rPr>
        </w:r>
        <w:r w:rsidR="00D03562">
          <w:rPr>
            <w:webHidden/>
          </w:rPr>
          <w:fldChar w:fldCharType="separate"/>
        </w:r>
        <w:r w:rsidR="002F538E">
          <w:rPr>
            <w:webHidden/>
          </w:rPr>
          <w:t>9</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498" w:history="1">
        <w:r w:rsidR="00D03562" w:rsidRPr="005D23F5">
          <w:rPr>
            <w:rStyle w:val="Hipercze"/>
            <w:rFonts w:ascii="Lato" w:hAnsi="Lato"/>
          </w:rPr>
          <w:t>1.2</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Charakterystyka Gminy Pabianice</w:t>
        </w:r>
        <w:r w:rsidR="00D03562">
          <w:rPr>
            <w:webHidden/>
          </w:rPr>
          <w:tab/>
        </w:r>
        <w:r w:rsidR="00D03562">
          <w:rPr>
            <w:webHidden/>
          </w:rPr>
          <w:fldChar w:fldCharType="begin"/>
        </w:r>
        <w:r w:rsidR="00D03562">
          <w:rPr>
            <w:webHidden/>
          </w:rPr>
          <w:instrText xml:space="preserve"> PAGEREF _Toc20218498 \h </w:instrText>
        </w:r>
        <w:r w:rsidR="00D03562">
          <w:rPr>
            <w:webHidden/>
          </w:rPr>
        </w:r>
        <w:r w:rsidR="00D03562">
          <w:rPr>
            <w:webHidden/>
          </w:rPr>
          <w:fldChar w:fldCharType="separate"/>
        </w:r>
        <w:r w:rsidR="002F538E">
          <w:rPr>
            <w:webHidden/>
          </w:rPr>
          <w:t>10</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499" w:history="1">
        <w:r w:rsidR="00D03562" w:rsidRPr="005D23F5">
          <w:rPr>
            <w:rStyle w:val="Hipercze"/>
            <w:rFonts w:ascii="Lato" w:hAnsi="Lato"/>
            <w:bCs/>
            <w:lang w:eastAsia="en-US"/>
          </w:rPr>
          <w:t>1.2.1</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bCs/>
            <w:lang w:eastAsia="en-US"/>
          </w:rPr>
          <w:t>Lokalizacja</w:t>
        </w:r>
        <w:r w:rsidR="00D03562">
          <w:rPr>
            <w:webHidden/>
          </w:rPr>
          <w:tab/>
        </w:r>
        <w:r w:rsidR="00D03562">
          <w:rPr>
            <w:webHidden/>
          </w:rPr>
          <w:fldChar w:fldCharType="begin"/>
        </w:r>
        <w:r w:rsidR="00D03562">
          <w:rPr>
            <w:webHidden/>
          </w:rPr>
          <w:instrText xml:space="preserve"> PAGEREF _Toc20218499 \h </w:instrText>
        </w:r>
        <w:r w:rsidR="00D03562">
          <w:rPr>
            <w:webHidden/>
          </w:rPr>
        </w:r>
        <w:r w:rsidR="00D03562">
          <w:rPr>
            <w:webHidden/>
          </w:rPr>
          <w:fldChar w:fldCharType="separate"/>
        </w:r>
        <w:r w:rsidR="002F538E">
          <w:rPr>
            <w:webHidden/>
          </w:rPr>
          <w:t>10</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00" w:history="1">
        <w:r w:rsidR="00D03562" w:rsidRPr="005D23F5">
          <w:rPr>
            <w:rStyle w:val="Hipercze"/>
            <w:rFonts w:ascii="Lato" w:hAnsi="Lato"/>
            <w:bCs/>
            <w:lang w:eastAsia="en-US"/>
          </w:rPr>
          <w:t>1.2.2</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bCs/>
            <w:lang w:eastAsia="en-US"/>
          </w:rPr>
          <w:t>Warunki naturalne</w:t>
        </w:r>
        <w:r w:rsidR="00D03562">
          <w:rPr>
            <w:webHidden/>
          </w:rPr>
          <w:tab/>
        </w:r>
        <w:r w:rsidR="00D03562">
          <w:rPr>
            <w:webHidden/>
          </w:rPr>
          <w:fldChar w:fldCharType="begin"/>
        </w:r>
        <w:r w:rsidR="00D03562">
          <w:rPr>
            <w:webHidden/>
          </w:rPr>
          <w:instrText xml:space="preserve"> PAGEREF _Toc20218500 \h </w:instrText>
        </w:r>
        <w:r w:rsidR="00D03562">
          <w:rPr>
            <w:webHidden/>
          </w:rPr>
        </w:r>
        <w:r w:rsidR="00D03562">
          <w:rPr>
            <w:webHidden/>
          </w:rPr>
          <w:fldChar w:fldCharType="separate"/>
        </w:r>
        <w:r w:rsidR="002F538E">
          <w:rPr>
            <w:webHidden/>
          </w:rPr>
          <w:t>12</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01" w:history="1">
        <w:r w:rsidR="00D03562" w:rsidRPr="005D23F5">
          <w:rPr>
            <w:rStyle w:val="Hipercze"/>
            <w:rFonts w:ascii="Lato" w:hAnsi="Lato"/>
            <w:bCs/>
            <w:lang w:eastAsia="en-US"/>
          </w:rPr>
          <w:t>1.2.3</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bCs/>
            <w:lang w:eastAsia="en-US"/>
          </w:rPr>
          <w:t>Sytuacja społeczno-gospodarcza</w:t>
        </w:r>
        <w:r w:rsidR="00D03562">
          <w:rPr>
            <w:webHidden/>
          </w:rPr>
          <w:tab/>
        </w:r>
        <w:r w:rsidR="00D03562">
          <w:rPr>
            <w:webHidden/>
          </w:rPr>
          <w:fldChar w:fldCharType="begin"/>
        </w:r>
        <w:r w:rsidR="00D03562">
          <w:rPr>
            <w:webHidden/>
          </w:rPr>
          <w:instrText xml:space="preserve"> PAGEREF _Toc20218501 \h </w:instrText>
        </w:r>
        <w:r w:rsidR="00D03562">
          <w:rPr>
            <w:webHidden/>
          </w:rPr>
        </w:r>
        <w:r w:rsidR="00D03562">
          <w:rPr>
            <w:webHidden/>
          </w:rPr>
          <w:fldChar w:fldCharType="separate"/>
        </w:r>
        <w:r w:rsidR="002F538E">
          <w:rPr>
            <w:webHidden/>
          </w:rPr>
          <w:t>13</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02" w:history="1">
        <w:r w:rsidR="00D03562" w:rsidRPr="005D23F5">
          <w:rPr>
            <w:rStyle w:val="Hipercze"/>
            <w:rFonts w:ascii="Lato" w:hAnsi="Lato"/>
            <w:bCs/>
            <w:lang w:eastAsia="en-US"/>
          </w:rPr>
          <w:t>1.2.4</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bCs/>
            <w:lang w:eastAsia="en-US"/>
          </w:rPr>
          <w:t>Ogólna charakterystyka infrastruktury budowlanej</w:t>
        </w:r>
        <w:r w:rsidR="00D03562">
          <w:rPr>
            <w:webHidden/>
          </w:rPr>
          <w:tab/>
        </w:r>
        <w:r w:rsidR="00D03562">
          <w:rPr>
            <w:webHidden/>
          </w:rPr>
          <w:fldChar w:fldCharType="begin"/>
        </w:r>
        <w:r w:rsidR="00D03562">
          <w:rPr>
            <w:webHidden/>
          </w:rPr>
          <w:instrText xml:space="preserve"> PAGEREF _Toc20218502 \h </w:instrText>
        </w:r>
        <w:r w:rsidR="00D03562">
          <w:rPr>
            <w:webHidden/>
          </w:rPr>
        </w:r>
        <w:r w:rsidR="00D03562">
          <w:rPr>
            <w:webHidden/>
          </w:rPr>
          <w:fldChar w:fldCharType="separate"/>
        </w:r>
        <w:r w:rsidR="002F538E">
          <w:rPr>
            <w:webHidden/>
          </w:rPr>
          <w:t>19</w:t>
        </w:r>
        <w:r w:rsidR="00D03562">
          <w:rPr>
            <w:webHidden/>
          </w:rPr>
          <w:fldChar w:fldCharType="end"/>
        </w:r>
      </w:hyperlink>
    </w:p>
    <w:p w:rsidR="00D03562" w:rsidRDefault="00755C70">
      <w:pPr>
        <w:pStyle w:val="Spistreci1"/>
        <w:rPr>
          <w:rFonts w:asciiTheme="minorHAnsi" w:eastAsiaTheme="minorEastAsia" w:hAnsiTheme="minorHAnsi" w:cstheme="minorBidi"/>
          <w:iCs w:val="0"/>
          <w:caps w:val="0"/>
          <w:color w:val="auto"/>
          <w:sz w:val="22"/>
          <w:szCs w:val="22"/>
        </w:rPr>
      </w:pPr>
      <w:hyperlink w:anchor="_Toc20218503" w:history="1">
        <w:r w:rsidR="00D03562" w:rsidRPr="005D23F5">
          <w:rPr>
            <w:rStyle w:val="Hipercze"/>
            <w:rFonts w:ascii="Lato" w:hAnsi="Lato"/>
          </w:rPr>
          <w:t>2.</w:t>
        </w:r>
        <w:r w:rsidR="00D03562">
          <w:rPr>
            <w:rFonts w:asciiTheme="minorHAnsi" w:eastAsiaTheme="minorEastAsia" w:hAnsiTheme="minorHAnsi" w:cstheme="minorBidi"/>
            <w:iCs w:val="0"/>
            <w:caps w:val="0"/>
            <w:color w:val="auto"/>
            <w:sz w:val="22"/>
            <w:szCs w:val="22"/>
          </w:rPr>
          <w:tab/>
        </w:r>
        <w:r w:rsidR="00D03562" w:rsidRPr="005D23F5">
          <w:rPr>
            <w:rStyle w:val="Hipercze"/>
            <w:rFonts w:ascii="Lato" w:hAnsi="Lato"/>
          </w:rPr>
          <w:t>Ocena stanu istniejącego zapotrzebowania na ciepło, energię elektryczną i paliwa gazowe</w:t>
        </w:r>
        <w:r w:rsidR="00D03562">
          <w:rPr>
            <w:webHidden/>
          </w:rPr>
          <w:tab/>
        </w:r>
        <w:r w:rsidR="00D03562">
          <w:rPr>
            <w:webHidden/>
          </w:rPr>
          <w:fldChar w:fldCharType="begin"/>
        </w:r>
        <w:r w:rsidR="00D03562">
          <w:rPr>
            <w:webHidden/>
          </w:rPr>
          <w:instrText xml:space="preserve"> PAGEREF _Toc20218503 \h </w:instrText>
        </w:r>
        <w:r w:rsidR="00D03562">
          <w:rPr>
            <w:webHidden/>
          </w:rPr>
        </w:r>
        <w:r w:rsidR="00D03562">
          <w:rPr>
            <w:webHidden/>
          </w:rPr>
          <w:fldChar w:fldCharType="separate"/>
        </w:r>
        <w:r w:rsidR="002F538E">
          <w:rPr>
            <w:webHidden/>
          </w:rPr>
          <w:t>27</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04" w:history="1">
        <w:r w:rsidR="00D03562" w:rsidRPr="005D23F5">
          <w:rPr>
            <w:rStyle w:val="Hipercze"/>
            <w:rFonts w:ascii="Lato" w:hAnsi="Lato"/>
          </w:rPr>
          <w:t>2.1</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Opis ogólny systemów energetycznych gminy</w:t>
        </w:r>
        <w:r w:rsidR="00D03562">
          <w:rPr>
            <w:webHidden/>
          </w:rPr>
          <w:tab/>
        </w:r>
        <w:r w:rsidR="00D03562">
          <w:rPr>
            <w:webHidden/>
          </w:rPr>
          <w:fldChar w:fldCharType="begin"/>
        </w:r>
        <w:r w:rsidR="00D03562">
          <w:rPr>
            <w:webHidden/>
          </w:rPr>
          <w:instrText xml:space="preserve"> PAGEREF _Toc20218504 \h </w:instrText>
        </w:r>
        <w:r w:rsidR="00D03562">
          <w:rPr>
            <w:webHidden/>
          </w:rPr>
        </w:r>
        <w:r w:rsidR="00D03562">
          <w:rPr>
            <w:webHidden/>
          </w:rPr>
          <w:fldChar w:fldCharType="separate"/>
        </w:r>
        <w:r w:rsidR="002F538E">
          <w:rPr>
            <w:webHidden/>
          </w:rPr>
          <w:t>27</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05" w:history="1">
        <w:r w:rsidR="00D03562" w:rsidRPr="005D23F5">
          <w:rPr>
            <w:rStyle w:val="Hipercze"/>
            <w:rFonts w:ascii="Lato" w:hAnsi="Lato"/>
          </w:rPr>
          <w:t>2.2</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Lokalna polityka energetyczna Gminy Pabianice</w:t>
        </w:r>
        <w:r w:rsidR="00D03562">
          <w:rPr>
            <w:webHidden/>
          </w:rPr>
          <w:tab/>
        </w:r>
        <w:r w:rsidR="00D03562">
          <w:rPr>
            <w:webHidden/>
          </w:rPr>
          <w:fldChar w:fldCharType="begin"/>
        </w:r>
        <w:r w:rsidR="00D03562">
          <w:rPr>
            <w:webHidden/>
          </w:rPr>
          <w:instrText xml:space="preserve"> PAGEREF _Toc20218505 \h </w:instrText>
        </w:r>
        <w:r w:rsidR="00D03562">
          <w:rPr>
            <w:webHidden/>
          </w:rPr>
        </w:r>
        <w:r w:rsidR="00D03562">
          <w:rPr>
            <w:webHidden/>
          </w:rPr>
          <w:fldChar w:fldCharType="separate"/>
        </w:r>
        <w:r w:rsidR="002F538E">
          <w:rPr>
            <w:webHidden/>
          </w:rPr>
          <w:t>27</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06" w:history="1">
        <w:r w:rsidR="00D03562" w:rsidRPr="005D23F5">
          <w:rPr>
            <w:rStyle w:val="Hipercze"/>
            <w:rFonts w:ascii="Lato" w:hAnsi="Lato"/>
          </w:rPr>
          <w:t>2.3</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Ogólne cele gospodarki energetycznej Gminy Pabianice</w:t>
        </w:r>
        <w:r w:rsidR="00D03562">
          <w:rPr>
            <w:webHidden/>
          </w:rPr>
          <w:tab/>
        </w:r>
        <w:r w:rsidR="00D03562">
          <w:rPr>
            <w:webHidden/>
          </w:rPr>
          <w:fldChar w:fldCharType="begin"/>
        </w:r>
        <w:r w:rsidR="00D03562">
          <w:rPr>
            <w:webHidden/>
          </w:rPr>
          <w:instrText xml:space="preserve"> PAGEREF _Toc20218506 \h </w:instrText>
        </w:r>
        <w:r w:rsidR="00D03562">
          <w:rPr>
            <w:webHidden/>
          </w:rPr>
        </w:r>
        <w:r w:rsidR="00D03562">
          <w:rPr>
            <w:webHidden/>
          </w:rPr>
          <w:fldChar w:fldCharType="separate"/>
        </w:r>
        <w:r w:rsidR="002F538E">
          <w:rPr>
            <w:webHidden/>
          </w:rPr>
          <w:t>29</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07" w:history="1">
        <w:r w:rsidR="00D03562" w:rsidRPr="005D23F5">
          <w:rPr>
            <w:rStyle w:val="Hipercze"/>
            <w:rFonts w:ascii="Lato" w:hAnsi="Lato"/>
          </w:rPr>
          <w:t>2.4</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Systemy energetyczne</w:t>
        </w:r>
        <w:r w:rsidR="00D03562">
          <w:rPr>
            <w:webHidden/>
          </w:rPr>
          <w:tab/>
        </w:r>
        <w:r w:rsidR="00D03562">
          <w:rPr>
            <w:webHidden/>
          </w:rPr>
          <w:fldChar w:fldCharType="begin"/>
        </w:r>
        <w:r w:rsidR="00D03562">
          <w:rPr>
            <w:webHidden/>
          </w:rPr>
          <w:instrText xml:space="preserve"> PAGEREF _Toc20218507 \h </w:instrText>
        </w:r>
        <w:r w:rsidR="00D03562">
          <w:rPr>
            <w:webHidden/>
          </w:rPr>
        </w:r>
        <w:r w:rsidR="00D03562">
          <w:rPr>
            <w:webHidden/>
          </w:rPr>
          <w:fldChar w:fldCharType="separate"/>
        </w:r>
        <w:r w:rsidR="002F538E">
          <w:rPr>
            <w:webHidden/>
          </w:rPr>
          <w:t>30</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08" w:history="1">
        <w:r w:rsidR="00D03562" w:rsidRPr="005D23F5">
          <w:rPr>
            <w:rStyle w:val="Hipercze"/>
            <w:rFonts w:ascii="Lato" w:hAnsi="Lato"/>
            <w:bCs/>
            <w:lang w:eastAsia="en-US"/>
          </w:rPr>
          <w:t>2.4.1</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bCs/>
            <w:lang w:eastAsia="en-US"/>
          </w:rPr>
          <w:t>Bilans energetyczny gminy</w:t>
        </w:r>
        <w:r w:rsidR="00D03562">
          <w:rPr>
            <w:webHidden/>
          </w:rPr>
          <w:tab/>
        </w:r>
        <w:r w:rsidR="00D03562">
          <w:rPr>
            <w:webHidden/>
          </w:rPr>
          <w:fldChar w:fldCharType="begin"/>
        </w:r>
        <w:r w:rsidR="00D03562">
          <w:rPr>
            <w:webHidden/>
          </w:rPr>
          <w:instrText xml:space="preserve"> PAGEREF _Toc20218508 \h </w:instrText>
        </w:r>
        <w:r w:rsidR="00D03562">
          <w:rPr>
            <w:webHidden/>
          </w:rPr>
        </w:r>
        <w:r w:rsidR="00D03562">
          <w:rPr>
            <w:webHidden/>
          </w:rPr>
          <w:fldChar w:fldCharType="separate"/>
        </w:r>
        <w:r w:rsidR="002F538E">
          <w:rPr>
            <w:webHidden/>
          </w:rPr>
          <w:t>30</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09" w:history="1">
        <w:r w:rsidR="00D03562" w:rsidRPr="005D23F5">
          <w:rPr>
            <w:rStyle w:val="Hipercze"/>
            <w:rFonts w:ascii="Lato" w:hAnsi="Lato"/>
            <w:bCs/>
            <w:lang w:eastAsia="en-US"/>
          </w:rPr>
          <w:t>2.4.2</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bCs/>
            <w:lang w:eastAsia="en-US"/>
          </w:rPr>
          <w:t>System ciepłowniczy</w:t>
        </w:r>
        <w:r w:rsidR="00D03562">
          <w:rPr>
            <w:webHidden/>
          </w:rPr>
          <w:tab/>
        </w:r>
        <w:r w:rsidR="00D03562">
          <w:rPr>
            <w:webHidden/>
          </w:rPr>
          <w:fldChar w:fldCharType="begin"/>
        </w:r>
        <w:r w:rsidR="00D03562">
          <w:rPr>
            <w:webHidden/>
          </w:rPr>
          <w:instrText xml:space="preserve"> PAGEREF _Toc20218509 \h </w:instrText>
        </w:r>
        <w:r w:rsidR="00D03562">
          <w:rPr>
            <w:webHidden/>
          </w:rPr>
        </w:r>
        <w:r w:rsidR="00D03562">
          <w:rPr>
            <w:webHidden/>
          </w:rPr>
          <w:fldChar w:fldCharType="separate"/>
        </w:r>
        <w:r w:rsidR="002F538E">
          <w:rPr>
            <w:webHidden/>
          </w:rPr>
          <w:t>34</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10" w:history="1">
        <w:r w:rsidR="00D03562" w:rsidRPr="005D23F5">
          <w:rPr>
            <w:rStyle w:val="Hipercze"/>
            <w:rFonts w:ascii="Lato" w:hAnsi="Lato"/>
            <w:bCs/>
            <w:lang w:eastAsia="en-US"/>
          </w:rPr>
          <w:t>2.4.3</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bCs/>
            <w:lang w:eastAsia="en-US"/>
          </w:rPr>
          <w:t>System gazowniczy</w:t>
        </w:r>
        <w:r w:rsidR="00D03562">
          <w:rPr>
            <w:webHidden/>
          </w:rPr>
          <w:tab/>
        </w:r>
        <w:r w:rsidR="00D03562">
          <w:rPr>
            <w:webHidden/>
          </w:rPr>
          <w:fldChar w:fldCharType="begin"/>
        </w:r>
        <w:r w:rsidR="00D03562">
          <w:rPr>
            <w:webHidden/>
          </w:rPr>
          <w:instrText xml:space="preserve"> PAGEREF _Toc20218510 \h </w:instrText>
        </w:r>
        <w:r w:rsidR="00D03562">
          <w:rPr>
            <w:webHidden/>
          </w:rPr>
        </w:r>
        <w:r w:rsidR="00D03562">
          <w:rPr>
            <w:webHidden/>
          </w:rPr>
          <w:fldChar w:fldCharType="separate"/>
        </w:r>
        <w:r w:rsidR="002F538E">
          <w:rPr>
            <w:webHidden/>
          </w:rPr>
          <w:t>34</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11" w:history="1">
        <w:r w:rsidR="00D03562" w:rsidRPr="005D23F5">
          <w:rPr>
            <w:rStyle w:val="Hipercze"/>
            <w:rFonts w:ascii="Lato" w:hAnsi="Lato"/>
            <w:bCs/>
            <w:lang w:eastAsia="en-US"/>
          </w:rPr>
          <w:t>2.4.4</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bCs/>
            <w:lang w:eastAsia="en-US"/>
          </w:rPr>
          <w:t>System elektroenergetyczny</w:t>
        </w:r>
        <w:r w:rsidR="00D03562">
          <w:rPr>
            <w:webHidden/>
          </w:rPr>
          <w:tab/>
        </w:r>
        <w:r w:rsidR="00D03562">
          <w:rPr>
            <w:webHidden/>
          </w:rPr>
          <w:fldChar w:fldCharType="begin"/>
        </w:r>
        <w:r w:rsidR="00D03562">
          <w:rPr>
            <w:webHidden/>
          </w:rPr>
          <w:instrText xml:space="preserve"> PAGEREF _Toc20218511 \h </w:instrText>
        </w:r>
        <w:r w:rsidR="00D03562">
          <w:rPr>
            <w:webHidden/>
          </w:rPr>
        </w:r>
        <w:r w:rsidR="00D03562">
          <w:rPr>
            <w:webHidden/>
          </w:rPr>
          <w:fldChar w:fldCharType="separate"/>
        </w:r>
        <w:r w:rsidR="002F538E">
          <w:rPr>
            <w:webHidden/>
          </w:rPr>
          <w:t>39</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12" w:history="1">
        <w:r w:rsidR="00D03562" w:rsidRPr="005D23F5">
          <w:rPr>
            <w:rStyle w:val="Hipercze"/>
            <w:rFonts w:ascii="Lato" w:hAnsi="Lato"/>
          </w:rPr>
          <w:t>2.5</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Stan środowiska na obszarze gminy</w:t>
        </w:r>
        <w:r w:rsidR="00D03562">
          <w:rPr>
            <w:webHidden/>
          </w:rPr>
          <w:tab/>
        </w:r>
        <w:r w:rsidR="00D03562">
          <w:rPr>
            <w:webHidden/>
          </w:rPr>
          <w:fldChar w:fldCharType="begin"/>
        </w:r>
        <w:r w:rsidR="00D03562">
          <w:rPr>
            <w:webHidden/>
          </w:rPr>
          <w:instrText xml:space="preserve"> PAGEREF _Toc20218512 \h </w:instrText>
        </w:r>
        <w:r w:rsidR="00D03562">
          <w:rPr>
            <w:webHidden/>
          </w:rPr>
        </w:r>
        <w:r w:rsidR="00D03562">
          <w:rPr>
            <w:webHidden/>
          </w:rPr>
          <w:fldChar w:fldCharType="separate"/>
        </w:r>
        <w:r w:rsidR="002F538E">
          <w:rPr>
            <w:webHidden/>
          </w:rPr>
          <w:t>43</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13" w:history="1">
        <w:r w:rsidR="00D03562" w:rsidRPr="005D23F5">
          <w:rPr>
            <w:rStyle w:val="Hipercze"/>
            <w:rFonts w:ascii="Lato" w:hAnsi="Lato"/>
            <w:bCs/>
            <w:lang w:eastAsia="en-US"/>
          </w:rPr>
          <w:t>2.5.1</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bCs/>
            <w:lang w:eastAsia="en-US"/>
          </w:rPr>
          <w:t>Charakterystyka głównych zanieczyszczeń atmosferycznych</w:t>
        </w:r>
        <w:r w:rsidR="00D03562">
          <w:rPr>
            <w:webHidden/>
          </w:rPr>
          <w:tab/>
        </w:r>
        <w:r w:rsidR="00D03562">
          <w:rPr>
            <w:webHidden/>
          </w:rPr>
          <w:fldChar w:fldCharType="begin"/>
        </w:r>
        <w:r w:rsidR="00D03562">
          <w:rPr>
            <w:webHidden/>
          </w:rPr>
          <w:instrText xml:space="preserve"> PAGEREF _Toc20218513 \h </w:instrText>
        </w:r>
        <w:r w:rsidR="00D03562">
          <w:rPr>
            <w:webHidden/>
          </w:rPr>
        </w:r>
        <w:r w:rsidR="00D03562">
          <w:rPr>
            <w:webHidden/>
          </w:rPr>
          <w:fldChar w:fldCharType="separate"/>
        </w:r>
        <w:r w:rsidR="002F538E">
          <w:rPr>
            <w:webHidden/>
          </w:rPr>
          <w:t>43</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14" w:history="1">
        <w:r w:rsidR="00D03562" w:rsidRPr="005D23F5">
          <w:rPr>
            <w:rStyle w:val="Hipercze"/>
            <w:rFonts w:ascii="Lato" w:hAnsi="Lato"/>
          </w:rPr>
          <w:t>2.6</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Ocena stanu atmosfery na terenie województwa oraz Gminy Pabianice</w:t>
        </w:r>
        <w:r w:rsidR="00D03562">
          <w:rPr>
            <w:webHidden/>
          </w:rPr>
          <w:tab/>
        </w:r>
        <w:r w:rsidR="00D03562">
          <w:rPr>
            <w:webHidden/>
          </w:rPr>
          <w:fldChar w:fldCharType="begin"/>
        </w:r>
        <w:r w:rsidR="00D03562">
          <w:rPr>
            <w:webHidden/>
          </w:rPr>
          <w:instrText xml:space="preserve"> PAGEREF _Toc20218514 \h </w:instrText>
        </w:r>
        <w:r w:rsidR="00D03562">
          <w:rPr>
            <w:webHidden/>
          </w:rPr>
        </w:r>
        <w:r w:rsidR="00D03562">
          <w:rPr>
            <w:webHidden/>
          </w:rPr>
          <w:fldChar w:fldCharType="separate"/>
        </w:r>
        <w:r w:rsidR="002F538E">
          <w:rPr>
            <w:webHidden/>
          </w:rPr>
          <w:t>45</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15" w:history="1">
        <w:r w:rsidR="00D03562" w:rsidRPr="005D23F5">
          <w:rPr>
            <w:rStyle w:val="Hipercze"/>
            <w:rFonts w:ascii="Lato" w:hAnsi="Lato"/>
          </w:rPr>
          <w:t>2.7</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Emisja substancji szkodliwych i dwutlenku węgla na terenie gminy Pabianice</w:t>
        </w:r>
        <w:r w:rsidR="00D03562">
          <w:rPr>
            <w:webHidden/>
          </w:rPr>
          <w:tab/>
        </w:r>
        <w:r w:rsidR="00D03562">
          <w:rPr>
            <w:webHidden/>
          </w:rPr>
          <w:fldChar w:fldCharType="begin"/>
        </w:r>
        <w:r w:rsidR="00D03562">
          <w:rPr>
            <w:webHidden/>
          </w:rPr>
          <w:instrText xml:space="preserve"> PAGEREF _Toc20218515 \h </w:instrText>
        </w:r>
        <w:r w:rsidR="00D03562">
          <w:rPr>
            <w:webHidden/>
          </w:rPr>
        </w:r>
        <w:r w:rsidR="00D03562">
          <w:rPr>
            <w:webHidden/>
          </w:rPr>
          <w:fldChar w:fldCharType="separate"/>
        </w:r>
        <w:r w:rsidR="002F538E">
          <w:rPr>
            <w:webHidden/>
          </w:rPr>
          <w:t>53</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16" w:history="1">
        <w:r w:rsidR="00D03562" w:rsidRPr="005D23F5">
          <w:rPr>
            <w:rStyle w:val="Hipercze"/>
            <w:rFonts w:ascii="Lato" w:hAnsi="Lato"/>
          </w:rPr>
          <w:t>2.8</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Koszty energii</w:t>
        </w:r>
        <w:r w:rsidR="00D03562">
          <w:rPr>
            <w:webHidden/>
          </w:rPr>
          <w:tab/>
        </w:r>
        <w:r w:rsidR="00D03562">
          <w:rPr>
            <w:webHidden/>
          </w:rPr>
          <w:fldChar w:fldCharType="begin"/>
        </w:r>
        <w:r w:rsidR="00D03562">
          <w:rPr>
            <w:webHidden/>
          </w:rPr>
          <w:instrText xml:space="preserve"> PAGEREF _Toc20218516 \h </w:instrText>
        </w:r>
        <w:r w:rsidR="00D03562">
          <w:rPr>
            <w:webHidden/>
          </w:rPr>
        </w:r>
        <w:r w:rsidR="00D03562">
          <w:rPr>
            <w:webHidden/>
          </w:rPr>
          <w:fldChar w:fldCharType="separate"/>
        </w:r>
        <w:r w:rsidR="002F538E">
          <w:rPr>
            <w:webHidden/>
          </w:rPr>
          <w:t>60</w:t>
        </w:r>
        <w:r w:rsidR="00D03562">
          <w:rPr>
            <w:webHidden/>
          </w:rPr>
          <w:fldChar w:fldCharType="end"/>
        </w:r>
      </w:hyperlink>
    </w:p>
    <w:p w:rsidR="00D03562" w:rsidRDefault="00755C70">
      <w:pPr>
        <w:pStyle w:val="Spistreci1"/>
        <w:rPr>
          <w:rFonts w:asciiTheme="minorHAnsi" w:eastAsiaTheme="minorEastAsia" w:hAnsiTheme="minorHAnsi" w:cstheme="minorBidi"/>
          <w:iCs w:val="0"/>
          <w:caps w:val="0"/>
          <w:color w:val="auto"/>
          <w:sz w:val="22"/>
          <w:szCs w:val="22"/>
        </w:rPr>
      </w:pPr>
      <w:hyperlink w:anchor="_Toc20218517" w:history="1">
        <w:r w:rsidR="00D03562" w:rsidRPr="005D23F5">
          <w:rPr>
            <w:rStyle w:val="Hipercze"/>
            <w:rFonts w:ascii="Lato" w:hAnsi="Lato"/>
          </w:rPr>
          <w:t>3.</w:t>
        </w:r>
        <w:r w:rsidR="00D03562">
          <w:rPr>
            <w:rFonts w:asciiTheme="minorHAnsi" w:eastAsiaTheme="minorEastAsia" w:hAnsiTheme="minorHAnsi" w:cstheme="minorBidi"/>
            <w:iCs w:val="0"/>
            <w:caps w:val="0"/>
            <w:color w:val="auto"/>
            <w:sz w:val="22"/>
            <w:szCs w:val="22"/>
          </w:rPr>
          <w:tab/>
        </w:r>
        <w:r w:rsidR="00D03562" w:rsidRPr="005D23F5">
          <w:rPr>
            <w:rStyle w:val="Hipercze"/>
            <w:rFonts w:ascii="Lato" w:hAnsi="Lato"/>
          </w:rPr>
          <w:t>Możliwości wykorzystania istniejących nadwyżek i lokalnych zasobów paliw, energii elektrycznej oraz ciepła</w:t>
        </w:r>
        <w:r w:rsidR="00D03562">
          <w:rPr>
            <w:webHidden/>
          </w:rPr>
          <w:tab/>
        </w:r>
        <w:r w:rsidR="00D03562">
          <w:rPr>
            <w:webHidden/>
          </w:rPr>
          <w:fldChar w:fldCharType="begin"/>
        </w:r>
        <w:r w:rsidR="00D03562">
          <w:rPr>
            <w:webHidden/>
          </w:rPr>
          <w:instrText xml:space="preserve"> PAGEREF _Toc20218517 \h </w:instrText>
        </w:r>
        <w:r w:rsidR="00D03562">
          <w:rPr>
            <w:webHidden/>
          </w:rPr>
        </w:r>
        <w:r w:rsidR="00D03562">
          <w:rPr>
            <w:webHidden/>
          </w:rPr>
          <w:fldChar w:fldCharType="separate"/>
        </w:r>
        <w:r w:rsidR="002F538E">
          <w:rPr>
            <w:webHidden/>
          </w:rPr>
          <w:t>64</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18" w:history="1">
        <w:r w:rsidR="00D03562" w:rsidRPr="005D23F5">
          <w:rPr>
            <w:rStyle w:val="Hipercze"/>
            <w:rFonts w:ascii="Lato" w:hAnsi="Lato"/>
          </w:rPr>
          <w:t>3.1</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Energia wiatru</w:t>
        </w:r>
        <w:r w:rsidR="00D03562">
          <w:rPr>
            <w:webHidden/>
          </w:rPr>
          <w:tab/>
        </w:r>
        <w:r w:rsidR="00D03562">
          <w:rPr>
            <w:webHidden/>
          </w:rPr>
          <w:fldChar w:fldCharType="begin"/>
        </w:r>
        <w:r w:rsidR="00D03562">
          <w:rPr>
            <w:webHidden/>
          </w:rPr>
          <w:instrText xml:space="preserve"> PAGEREF _Toc20218518 \h </w:instrText>
        </w:r>
        <w:r w:rsidR="00D03562">
          <w:rPr>
            <w:webHidden/>
          </w:rPr>
        </w:r>
        <w:r w:rsidR="00D03562">
          <w:rPr>
            <w:webHidden/>
          </w:rPr>
          <w:fldChar w:fldCharType="separate"/>
        </w:r>
        <w:r w:rsidR="002F538E">
          <w:rPr>
            <w:webHidden/>
          </w:rPr>
          <w:t>68</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19" w:history="1">
        <w:r w:rsidR="00D03562" w:rsidRPr="005D23F5">
          <w:rPr>
            <w:rStyle w:val="Hipercze"/>
            <w:rFonts w:ascii="Lato" w:hAnsi="Lato"/>
          </w:rPr>
          <w:t>3.2</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Energia geotermalna</w:t>
        </w:r>
        <w:r w:rsidR="00D03562">
          <w:rPr>
            <w:webHidden/>
          </w:rPr>
          <w:tab/>
        </w:r>
        <w:r w:rsidR="00D03562">
          <w:rPr>
            <w:webHidden/>
          </w:rPr>
          <w:fldChar w:fldCharType="begin"/>
        </w:r>
        <w:r w:rsidR="00D03562">
          <w:rPr>
            <w:webHidden/>
          </w:rPr>
          <w:instrText xml:space="preserve"> PAGEREF _Toc20218519 \h </w:instrText>
        </w:r>
        <w:r w:rsidR="00D03562">
          <w:rPr>
            <w:webHidden/>
          </w:rPr>
        </w:r>
        <w:r w:rsidR="00D03562">
          <w:rPr>
            <w:webHidden/>
          </w:rPr>
          <w:fldChar w:fldCharType="separate"/>
        </w:r>
        <w:r w:rsidR="002F538E">
          <w:rPr>
            <w:webHidden/>
          </w:rPr>
          <w:t>70</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20" w:history="1">
        <w:r w:rsidR="00D03562" w:rsidRPr="005D23F5">
          <w:rPr>
            <w:rStyle w:val="Hipercze"/>
            <w:rFonts w:ascii="Lato" w:hAnsi="Lato"/>
          </w:rPr>
          <w:t>3.3</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Energia spadku wody</w:t>
        </w:r>
        <w:r w:rsidR="00D03562">
          <w:rPr>
            <w:webHidden/>
          </w:rPr>
          <w:tab/>
        </w:r>
        <w:r w:rsidR="00D03562">
          <w:rPr>
            <w:webHidden/>
          </w:rPr>
          <w:fldChar w:fldCharType="begin"/>
        </w:r>
        <w:r w:rsidR="00D03562">
          <w:rPr>
            <w:webHidden/>
          </w:rPr>
          <w:instrText xml:space="preserve"> PAGEREF _Toc20218520 \h </w:instrText>
        </w:r>
        <w:r w:rsidR="00D03562">
          <w:rPr>
            <w:webHidden/>
          </w:rPr>
        </w:r>
        <w:r w:rsidR="00D03562">
          <w:rPr>
            <w:webHidden/>
          </w:rPr>
          <w:fldChar w:fldCharType="separate"/>
        </w:r>
        <w:r w:rsidR="002F538E">
          <w:rPr>
            <w:webHidden/>
          </w:rPr>
          <w:t>77</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21" w:history="1">
        <w:r w:rsidR="00D03562" w:rsidRPr="005D23F5">
          <w:rPr>
            <w:rStyle w:val="Hipercze"/>
            <w:rFonts w:ascii="Lato" w:hAnsi="Lato"/>
          </w:rPr>
          <w:t>3.4</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Energia słoneczna</w:t>
        </w:r>
        <w:r w:rsidR="00D03562">
          <w:rPr>
            <w:webHidden/>
          </w:rPr>
          <w:tab/>
        </w:r>
        <w:r w:rsidR="00D03562">
          <w:rPr>
            <w:webHidden/>
          </w:rPr>
          <w:fldChar w:fldCharType="begin"/>
        </w:r>
        <w:r w:rsidR="00D03562">
          <w:rPr>
            <w:webHidden/>
          </w:rPr>
          <w:instrText xml:space="preserve"> PAGEREF _Toc20218521 \h </w:instrText>
        </w:r>
        <w:r w:rsidR="00D03562">
          <w:rPr>
            <w:webHidden/>
          </w:rPr>
        </w:r>
        <w:r w:rsidR="00D03562">
          <w:rPr>
            <w:webHidden/>
          </w:rPr>
          <w:fldChar w:fldCharType="separate"/>
        </w:r>
        <w:r w:rsidR="002F538E">
          <w:rPr>
            <w:webHidden/>
          </w:rPr>
          <w:t>78</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22" w:history="1">
        <w:r w:rsidR="00D03562" w:rsidRPr="005D23F5">
          <w:rPr>
            <w:rStyle w:val="Hipercze"/>
            <w:rFonts w:ascii="Lato" w:hAnsi="Lato"/>
          </w:rPr>
          <w:t>3.5</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Energia z biomasy</w:t>
        </w:r>
        <w:r w:rsidR="00D03562">
          <w:rPr>
            <w:webHidden/>
          </w:rPr>
          <w:tab/>
        </w:r>
        <w:r w:rsidR="00D03562">
          <w:rPr>
            <w:webHidden/>
          </w:rPr>
          <w:fldChar w:fldCharType="begin"/>
        </w:r>
        <w:r w:rsidR="00D03562">
          <w:rPr>
            <w:webHidden/>
          </w:rPr>
          <w:instrText xml:space="preserve"> PAGEREF _Toc20218522 \h </w:instrText>
        </w:r>
        <w:r w:rsidR="00D03562">
          <w:rPr>
            <w:webHidden/>
          </w:rPr>
        </w:r>
        <w:r w:rsidR="00D03562">
          <w:rPr>
            <w:webHidden/>
          </w:rPr>
          <w:fldChar w:fldCharType="separate"/>
        </w:r>
        <w:r w:rsidR="002F538E">
          <w:rPr>
            <w:webHidden/>
          </w:rPr>
          <w:t>84</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23" w:history="1">
        <w:r w:rsidR="00D03562" w:rsidRPr="005D23F5">
          <w:rPr>
            <w:rStyle w:val="Hipercze"/>
            <w:rFonts w:ascii="Lato" w:hAnsi="Lato"/>
          </w:rPr>
          <w:t>3.6</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Energia z biogazu</w:t>
        </w:r>
        <w:r w:rsidR="00D03562">
          <w:rPr>
            <w:webHidden/>
          </w:rPr>
          <w:tab/>
        </w:r>
        <w:r w:rsidR="00D03562">
          <w:rPr>
            <w:webHidden/>
          </w:rPr>
          <w:fldChar w:fldCharType="begin"/>
        </w:r>
        <w:r w:rsidR="00D03562">
          <w:rPr>
            <w:webHidden/>
          </w:rPr>
          <w:instrText xml:space="preserve"> PAGEREF _Toc20218523 \h </w:instrText>
        </w:r>
        <w:r w:rsidR="00D03562">
          <w:rPr>
            <w:webHidden/>
          </w:rPr>
        </w:r>
        <w:r w:rsidR="00D03562">
          <w:rPr>
            <w:webHidden/>
          </w:rPr>
          <w:fldChar w:fldCharType="separate"/>
        </w:r>
        <w:r w:rsidR="002F538E">
          <w:rPr>
            <w:webHidden/>
          </w:rPr>
          <w:t>88</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24" w:history="1">
        <w:r w:rsidR="00D03562" w:rsidRPr="005D23F5">
          <w:rPr>
            <w:rStyle w:val="Hipercze"/>
            <w:rFonts w:ascii="Lato" w:hAnsi="Lato"/>
          </w:rPr>
          <w:t>3.7</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Możliwości zagospodarowania ciepła odpadowego z instalacji przemysłowych</w:t>
        </w:r>
        <w:r w:rsidR="00D03562">
          <w:rPr>
            <w:webHidden/>
          </w:rPr>
          <w:tab/>
        </w:r>
        <w:r w:rsidR="00D03562">
          <w:rPr>
            <w:webHidden/>
          </w:rPr>
          <w:fldChar w:fldCharType="begin"/>
        </w:r>
        <w:r w:rsidR="00D03562">
          <w:rPr>
            <w:webHidden/>
          </w:rPr>
          <w:instrText xml:space="preserve"> PAGEREF _Toc20218524 \h </w:instrText>
        </w:r>
        <w:r w:rsidR="00D03562">
          <w:rPr>
            <w:webHidden/>
          </w:rPr>
        </w:r>
        <w:r w:rsidR="00D03562">
          <w:rPr>
            <w:webHidden/>
          </w:rPr>
          <w:fldChar w:fldCharType="separate"/>
        </w:r>
        <w:r w:rsidR="002F538E">
          <w:rPr>
            <w:webHidden/>
          </w:rPr>
          <w:t>89</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25" w:history="1">
        <w:r w:rsidR="00D03562" w:rsidRPr="005D23F5">
          <w:rPr>
            <w:rStyle w:val="Hipercze"/>
            <w:rFonts w:ascii="Lato" w:hAnsi="Lato"/>
          </w:rPr>
          <w:t>3.8</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Możliwości wytwarzania energii elektrycznej i ciepła użytkowego w kogeneracji</w:t>
        </w:r>
        <w:r w:rsidR="00D03562">
          <w:rPr>
            <w:webHidden/>
          </w:rPr>
          <w:tab/>
        </w:r>
        <w:r w:rsidR="00D03562">
          <w:rPr>
            <w:webHidden/>
          </w:rPr>
          <w:fldChar w:fldCharType="begin"/>
        </w:r>
        <w:r w:rsidR="00D03562">
          <w:rPr>
            <w:webHidden/>
          </w:rPr>
          <w:instrText xml:space="preserve"> PAGEREF _Toc20218525 \h </w:instrText>
        </w:r>
        <w:r w:rsidR="00D03562">
          <w:rPr>
            <w:webHidden/>
          </w:rPr>
        </w:r>
        <w:r w:rsidR="00D03562">
          <w:rPr>
            <w:webHidden/>
          </w:rPr>
          <w:fldChar w:fldCharType="separate"/>
        </w:r>
        <w:r w:rsidR="002F538E">
          <w:rPr>
            <w:webHidden/>
          </w:rPr>
          <w:t>89</w:t>
        </w:r>
        <w:r w:rsidR="00D03562">
          <w:rPr>
            <w:webHidden/>
          </w:rPr>
          <w:fldChar w:fldCharType="end"/>
        </w:r>
      </w:hyperlink>
    </w:p>
    <w:p w:rsidR="00D03562" w:rsidRDefault="00755C70">
      <w:pPr>
        <w:pStyle w:val="Spistreci1"/>
        <w:rPr>
          <w:rFonts w:asciiTheme="minorHAnsi" w:eastAsiaTheme="minorEastAsia" w:hAnsiTheme="minorHAnsi" w:cstheme="minorBidi"/>
          <w:iCs w:val="0"/>
          <w:caps w:val="0"/>
          <w:color w:val="auto"/>
          <w:sz w:val="22"/>
          <w:szCs w:val="22"/>
        </w:rPr>
      </w:pPr>
      <w:hyperlink w:anchor="_Toc20218526" w:history="1">
        <w:r w:rsidR="00D03562" w:rsidRPr="005D23F5">
          <w:rPr>
            <w:rStyle w:val="Hipercze"/>
            <w:rFonts w:ascii="Lato" w:hAnsi="Lato"/>
          </w:rPr>
          <w:t>4.</w:t>
        </w:r>
        <w:r w:rsidR="00D03562">
          <w:rPr>
            <w:rFonts w:asciiTheme="minorHAnsi" w:eastAsiaTheme="minorEastAsia" w:hAnsiTheme="minorHAnsi" w:cstheme="minorBidi"/>
            <w:iCs w:val="0"/>
            <w:caps w:val="0"/>
            <w:color w:val="auto"/>
            <w:sz w:val="22"/>
            <w:szCs w:val="22"/>
          </w:rPr>
          <w:tab/>
        </w:r>
        <w:r w:rsidR="00D03562" w:rsidRPr="005D23F5">
          <w:rPr>
            <w:rStyle w:val="Hipercze"/>
            <w:rFonts w:ascii="Lato" w:hAnsi="Lato"/>
          </w:rPr>
          <w:t>Zakres współpracy między gminami</w:t>
        </w:r>
        <w:r w:rsidR="00D03562">
          <w:rPr>
            <w:webHidden/>
          </w:rPr>
          <w:tab/>
        </w:r>
        <w:r w:rsidR="00D03562">
          <w:rPr>
            <w:webHidden/>
          </w:rPr>
          <w:fldChar w:fldCharType="begin"/>
        </w:r>
        <w:r w:rsidR="00D03562">
          <w:rPr>
            <w:webHidden/>
          </w:rPr>
          <w:instrText xml:space="preserve"> PAGEREF _Toc20218526 \h </w:instrText>
        </w:r>
        <w:r w:rsidR="00D03562">
          <w:rPr>
            <w:webHidden/>
          </w:rPr>
        </w:r>
        <w:r w:rsidR="00D03562">
          <w:rPr>
            <w:webHidden/>
          </w:rPr>
          <w:fldChar w:fldCharType="separate"/>
        </w:r>
        <w:r w:rsidR="002F538E">
          <w:rPr>
            <w:webHidden/>
          </w:rPr>
          <w:t>89</w:t>
        </w:r>
        <w:r w:rsidR="00D03562">
          <w:rPr>
            <w:webHidden/>
          </w:rPr>
          <w:fldChar w:fldCharType="end"/>
        </w:r>
      </w:hyperlink>
    </w:p>
    <w:p w:rsidR="00D03562" w:rsidRDefault="00755C70">
      <w:pPr>
        <w:pStyle w:val="Spistreci1"/>
        <w:rPr>
          <w:rFonts w:asciiTheme="minorHAnsi" w:eastAsiaTheme="minorEastAsia" w:hAnsiTheme="minorHAnsi" w:cstheme="minorBidi"/>
          <w:iCs w:val="0"/>
          <w:caps w:val="0"/>
          <w:color w:val="auto"/>
          <w:sz w:val="22"/>
          <w:szCs w:val="22"/>
        </w:rPr>
      </w:pPr>
      <w:hyperlink w:anchor="_Toc20218527" w:history="1">
        <w:r w:rsidR="00D03562" w:rsidRPr="005D23F5">
          <w:rPr>
            <w:rStyle w:val="Hipercze"/>
            <w:rFonts w:ascii="Lato" w:hAnsi="Lato"/>
          </w:rPr>
          <w:t>5.</w:t>
        </w:r>
        <w:r w:rsidR="00D03562">
          <w:rPr>
            <w:rFonts w:asciiTheme="minorHAnsi" w:eastAsiaTheme="minorEastAsia" w:hAnsiTheme="minorHAnsi" w:cstheme="minorBidi"/>
            <w:iCs w:val="0"/>
            <w:caps w:val="0"/>
            <w:color w:val="auto"/>
            <w:sz w:val="22"/>
            <w:szCs w:val="22"/>
          </w:rPr>
          <w:tab/>
        </w:r>
        <w:r w:rsidR="00D03562" w:rsidRPr="005D23F5">
          <w:rPr>
            <w:rStyle w:val="Hipercze"/>
            <w:rFonts w:ascii="Lato" w:hAnsi="Lato"/>
          </w:rPr>
          <w:t>Przewidywane zmiany zapotrzebowania na ciepło energię elektryczną i paliwa gazowe do roku 2035 zgodnie z przyjętymi założeniami rozwoju</w:t>
        </w:r>
        <w:r w:rsidR="00D03562">
          <w:rPr>
            <w:webHidden/>
          </w:rPr>
          <w:tab/>
        </w:r>
        <w:r w:rsidR="00D03562">
          <w:rPr>
            <w:webHidden/>
          </w:rPr>
          <w:fldChar w:fldCharType="begin"/>
        </w:r>
        <w:r w:rsidR="00D03562">
          <w:rPr>
            <w:webHidden/>
          </w:rPr>
          <w:instrText xml:space="preserve"> PAGEREF _Toc20218527 \h </w:instrText>
        </w:r>
        <w:r w:rsidR="00D03562">
          <w:rPr>
            <w:webHidden/>
          </w:rPr>
        </w:r>
        <w:r w:rsidR="00D03562">
          <w:rPr>
            <w:webHidden/>
          </w:rPr>
          <w:fldChar w:fldCharType="separate"/>
        </w:r>
        <w:r w:rsidR="002F538E">
          <w:rPr>
            <w:webHidden/>
          </w:rPr>
          <w:t>92</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28" w:history="1">
        <w:r w:rsidR="00D03562" w:rsidRPr="005D23F5">
          <w:rPr>
            <w:rStyle w:val="Hipercze"/>
            <w:rFonts w:ascii="Lato" w:hAnsi="Lato"/>
          </w:rPr>
          <w:t>5.1</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Wyjściowe założenia rozwoju społeczno-gospodarczego gminy do roku 2035</w:t>
        </w:r>
        <w:r w:rsidR="00D03562">
          <w:rPr>
            <w:webHidden/>
          </w:rPr>
          <w:tab/>
        </w:r>
        <w:r w:rsidR="00D03562">
          <w:rPr>
            <w:webHidden/>
          </w:rPr>
          <w:fldChar w:fldCharType="begin"/>
        </w:r>
        <w:r w:rsidR="00D03562">
          <w:rPr>
            <w:webHidden/>
          </w:rPr>
          <w:instrText xml:space="preserve"> PAGEREF _Toc20218528 \h </w:instrText>
        </w:r>
        <w:r w:rsidR="00D03562">
          <w:rPr>
            <w:webHidden/>
          </w:rPr>
        </w:r>
        <w:r w:rsidR="00D03562">
          <w:rPr>
            <w:webHidden/>
          </w:rPr>
          <w:fldChar w:fldCharType="separate"/>
        </w:r>
        <w:r w:rsidR="002F538E">
          <w:rPr>
            <w:webHidden/>
          </w:rPr>
          <w:t>92</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29" w:history="1">
        <w:r w:rsidR="00D03562" w:rsidRPr="005D23F5">
          <w:rPr>
            <w:rStyle w:val="Hipercze"/>
            <w:rFonts w:ascii="Lato" w:hAnsi="Lato"/>
          </w:rPr>
          <w:t>5.2</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Ogólne kierunki rozwoju i modernizacji systemów zaopatrzenia w energię w tym ocena warunków działania Gminy Pabianice</w:t>
        </w:r>
        <w:r w:rsidR="00D03562">
          <w:rPr>
            <w:webHidden/>
          </w:rPr>
          <w:tab/>
        </w:r>
        <w:r w:rsidR="00D03562">
          <w:rPr>
            <w:webHidden/>
          </w:rPr>
          <w:fldChar w:fldCharType="begin"/>
        </w:r>
        <w:r w:rsidR="00D03562">
          <w:rPr>
            <w:webHidden/>
          </w:rPr>
          <w:instrText xml:space="preserve"> PAGEREF _Toc20218529 \h </w:instrText>
        </w:r>
        <w:r w:rsidR="00D03562">
          <w:rPr>
            <w:webHidden/>
          </w:rPr>
        </w:r>
        <w:r w:rsidR="00D03562">
          <w:rPr>
            <w:webHidden/>
          </w:rPr>
          <w:fldChar w:fldCharType="separate"/>
        </w:r>
        <w:r w:rsidR="002F538E">
          <w:rPr>
            <w:webHidden/>
          </w:rPr>
          <w:t>103</w:t>
        </w:r>
        <w:r w:rsidR="00D03562">
          <w:rPr>
            <w:webHidden/>
          </w:rPr>
          <w:fldChar w:fldCharType="end"/>
        </w:r>
      </w:hyperlink>
    </w:p>
    <w:p w:rsidR="00D03562" w:rsidRDefault="00755C70">
      <w:pPr>
        <w:pStyle w:val="Spistreci1"/>
        <w:rPr>
          <w:rFonts w:asciiTheme="minorHAnsi" w:eastAsiaTheme="minorEastAsia" w:hAnsiTheme="minorHAnsi" w:cstheme="minorBidi"/>
          <w:iCs w:val="0"/>
          <w:caps w:val="0"/>
          <w:color w:val="auto"/>
          <w:sz w:val="22"/>
          <w:szCs w:val="22"/>
        </w:rPr>
      </w:pPr>
      <w:hyperlink w:anchor="_Toc20218530" w:history="1">
        <w:r w:rsidR="00D03562" w:rsidRPr="005D23F5">
          <w:rPr>
            <w:rStyle w:val="Hipercze"/>
            <w:rFonts w:ascii="Lato" w:hAnsi="Lato"/>
          </w:rPr>
          <w:t>6.</w:t>
        </w:r>
        <w:r w:rsidR="00D03562">
          <w:rPr>
            <w:rFonts w:asciiTheme="minorHAnsi" w:eastAsiaTheme="minorEastAsia" w:hAnsiTheme="minorHAnsi" w:cstheme="minorBidi"/>
            <w:iCs w:val="0"/>
            <w:caps w:val="0"/>
            <w:color w:val="auto"/>
            <w:sz w:val="22"/>
            <w:szCs w:val="22"/>
          </w:rPr>
          <w:tab/>
        </w:r>
        <w:r w:rsidR="00D03562" w:rsidRPr="005D23F5">
          <w:rPr>
            <w:rStyle w:val="Hipercze"/>
            <w:rFonts w:ascii="Lato" w:hAnsi="Lato"/>
          </w:rPr>
          <w:t>Przedsięwzięcia racjonalizujące użytkowanie paliw i energii</w:t>
        </w:r>
        <w:r w:rsidR="00D03562">
          <w:rPr>
            <w:webHidden/>
          </w:rPr>
          <w:tab/>
        </w:r>
        <w:r w:rsidR="00D03562">
          <w:rPr>
            <w:webHidden/>
          </w:rPr>
          <w:fldChar w:fldCharType="begin"/>
        </w:r>
        <w:r w:rsidR="00D03562">
          <w:rPr>
            <w:webHidden/>
          </w:rPr>
          <w:instrText xml:space="preserve"> PAGEREF _Toc20218530 \h </w:instrText>
        </w:r>
        <w:r w:rsidR="00D03562">
          <w:rPr>
            <w:webHidden/>
          </w:rPr>
        </w:r>
        <w:r w:rsidR="00D03562">
          <w:rPr>
            <w:webHidden/>
          </w:rPr>
          <w:fldChar w:fldCharType="separate"/>
        </w:r>
        <w:r w:rsidR="002F538E">
          <w:rPr>
            <w:webHidden/>
          </w:rPr>
          <w:t>105</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31" w:history="1">
        <w:r w:rsidR="00D03562" w:rsidRPr="005D23F5">
          <w:rPr>
            <w:rStyle w:val="Hipercze"/>
            <w:rFonts w:ascii="Lato" w:hAnsi="Lato"/>
          </w:rPr>
          <w:t>6.1</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Propozycja przedsięwzięć w grupie „użyteczność publiczna” – możliwości stosowania środków poprawy efektywności energetycznej w rozumieniu ustawy z dnia 20 maja 2016 r. o efektywności energetycznej</w:t>
        </w:r>
        <w:r w:rsidR="00D03562">
          <w:rPr>
            <w:webHidden/>
          </w:rPr>
          <w:tab/>
        </w:r>
        <w:r w:rsidR="00D03562">
          <w:rPr>
            <w:webHidden/>
          </w:rPr>
          <w:fldChar w:fldCharType="begin"/>
        </w:r>
        <w:r w:rsidR="00D03562">
          <w:rPr>
            <w:webHidden/>
          </w:rPr>
          <w:instrText xml:space="preserve"> PAGEREF _Toc20218531 \h </w:instrText>
        </w:r>
        <w:r w:rsidR="00D03562">
          <w:rPr>
            <w:webHidden/>
          </w:rPr>
        </w:r>
        <w:r w:rsidR="00D03562">
          <w:rPr>
            <w:webHidden/>
          </w:rPr>
          <w:fldChar w:fldCharType="separate"/>
        </w:r>
        <w:r w:rsidR="002F538E">
          <w:rPr>
            <w:webHidden/>
          </w:rPr>
          <w:t>105</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32" w:history="1">
        <w:r w:rsidR="00D03562" w:rsidRPr="005D23F5">
          <w:rPr>
            <w:rStyle w:val="Hipercze"/>
            <w:rFonts w:ascii="Lato" w:hAnsi="Lato"/>
            <w:lang w:eastAsia="en-US"/>
          </w:rPr>
          <w:t>6.1.1</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lang w:eastAsia="en-US"/>
          </w:rPr>
          <w:t>Zakres analizowanych obiektów</w:t>
        </w:r>
        <w:r w:rsidR="00D03562">
          <w:rPr>
            <w:webHidden/>
          </w:rPr>
          <w:tab/>
        </w:r>
        <w:r w:rsidR="00D03562">
          <w:rPr>
            <w:webHidden/>
          </w:rPr>
          <w:fldChar w:fldCharType="begin"/>
        </w:r>
        <w:r w:rsidR="00D03562">
          <w:rPr>
            <w:webHidden/>
          </w:rPr>
          <w:instrText xml:space="preserve"> PAGEREF _Toc20218532 \h </w:instrText>
        </w:r>
        <w:r w:rsidR="00D03562">
          <w:rPr>
            <w:webHidden/>
          </w:rPr>
        </w:r>
        <w:r w:rsidR="00D03562">
          <w:rPr>
            <w:webHidden/>
          </w:rPr>
          <w:fldChar w:fldCharType="separate"/>
        </w:r>
        <w:r w:rsidR="002F538E">
          <w:rPr>
            <w:webHidden/>
          </w:rPr>
          <w:t>106</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33" w:history="1">
        <w:r w:rsidR="00D03562" w:rsidRPr="005D23F5">
          <w:rPr>
            <w:rStyle w:val="Hipercze"/>
            <w:rFonts w:ascii="Lato" w:hAnsi="Lato"/>
            <w:lang w:eastAsia="en-US"/>
          </w:rPr>
          <w:t>6.1.2</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lang w:eastAsia="en-US"/>
          </w:rPr>
          <w:t>Analiza sumarycznego kosztu oraz zużycia energii i wody w grupie</w:t>
        </w:r>
        <w:r w:rsidR="00D03562">
          <w:rPr>
            <w:webHidden/>
          </w:rPr>
          <w:tab/>
        </w:r>
        <w:r w:rsidR="00D03562">
          <w:rPr>
            <w:webHidden/>
          </w:rPr>
          <w:fldChar w:fldCharType="begin"/>
        </w:r>
        <w:r w:rsidR="00D03562">
          <w:rPr>
            <w:webHidden/>
          </w:rPr>
          <w:instrText xml:space="preserve"> PAGEREF _Toc20218533 \h </w:instrText>
        </w:r>
        <w:r w:rsidR="00D03562">
          <w:rPr>
            <w:webHidden/>
          </w:rPr>
        </w:r>
        <w:r w:rsidR="00D03562">
          <w:rPr>
            <w:webHidden/>
          </w:rPr>
          <w:fldChar w:fldCharType="separate"/>
        </w:r>
        <w:r w:rsidR="002F538E">
          <w:rPr>
            <w:webHidden/>
          </w:rPr>
          <w:t>107</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34" w:history="1">
        <w:r w:rsidR="00D03562" w:rsidRPr="005D23F5">
          <w:rPr>
            <w:rStyle w:val="Hipercze"/>
            <w:rFonts w:ascii="Lato" w:hAnsi="Lato"/>
            <w:lang w:eastAsia="en-US"/>
          </w:rPr>
          <w:t>6.1.3</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lang w:eastAsia="en-US"/>
          </w:rPr>
          <w:t>Zużycie i koszty energii elektrycznej</w:t>
        </w:r>
        <w:r w:rsidR="00D03562">
          <w:rPr>
            <w:webHidden/>
          </w:rPr>
          <w:tab/>
        </w:r>
        <w:r w:rsidR="00D03562">
          <w:rPr>
            <w:webHidden/>
          </w:rPr>
          <w:fldChar w:fldCharType="begin"/>
        </w:r>
        <w:r w:rsidR="00D03562">
          <w:rPr>
            <w:webHidden/>
          </w:rPr>
          <w:instrText xml:space="preserve"> PAGEREF _Toc20218534 \h </w:instrText>
        </w:r>
        <w:r w:rsidR="00D03562">
          <w:rPr>
            <w:webHidden/>
          </w:rPr>
        </w:r>
        <w:r w:rsidR="00D03562">
          <w:rPr>
            <w:webHidden/>
          </w:rPr>
          <w:fldChar w:fldCharType="separate"/>
        </w:r>
        <w:r w:rsidR="002F538E">
          <w:rPr>
            <w:webHidden/>
          </w:rPr>
          <w:t>111</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35" w:history="1">
        <w:r w:rsidR="00D03562" w:rsidRPr="005D23F5">
          <w:rPr>
            <w:rStyle w:val="Hipercze"/>
            <w:rFonts w:ascii="Lato" w:hAnsi="Lato"/>
            <w:lang w:eastAsia="en-US"/>
          </w:rPr>
          <w:t>6.1.4</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lang w:eastAsia="en-US"/>
          </w:rPr>
          <w:t>Zużycie i koszt ciepła</w:t>
        </w:r>
        <w:r w:rsidR="00D03562">
          <w:rPr>
            <w:webHidden/>
          </w:rPr>
          <w:tab/>
        </w:r>
        <w:r w:rsidR="00D03562">
          <w:rPr>
            <w:webHidden/>
          </w:rPr>
          <w:fldChar w:fldCharType="begin"/>
        </w:r>
        <w:r w:rsidR="00D03562">
          <w:rPr>
            <w:webHidden/>
          </w:rPr>
          <w:instrText xml:space="preserve"> PAGEREF _Toc20218535 \h </w:instrText>
        </w:r>
        <w:r w:rsidR="00D03562">
          <w:rPr>
            <w:webHidden/>
          </w:rPr>
        </w:r>
        <w:r w:rsidR="00D03562">
          <w:rPr>
            <w:webHidden/>
          </w:rPr>
          <w:fldChar w:fldCharType="separate"/>
        </w:r>
        <w:r w:rsidR="002F538E">
          <w:rPr>
            <w:webHidden/>
          </w:rPr>
          <w:t>114</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36" w:history="1">
        <w:r w:rsidR="00D03562" w:rsidRPr="005D23F5">
          <w:rPr>
            <w:rStyle w:val="Hipercze"/>
            <w:rFonts w:ascii="Lato" w:hAnsi="Lato"/>
            <w:lang w:eastAsia="en-US"/>
          </w:rPr>
          <w:t>6.1.5</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lang w:eastAsia="en-US"/>
          </w:rPr>
          <w:t>Klasyfikacja obiektów</w:t>
        </w:r>
        <w:r w:rsidR="00D03562">
          <w:rPr>
            <w:webHidden/>
          </w:rPr>
          <w:tab/>
        </w:r>
        <w:r w:rsidR="00D03562">
          <w:rPr>
            <w:webHidden/>
          </w:rPr>
          <w:fldChar w:fldCharType="begin"/>
        </w:r>
        <w:r w:rsidR="00D03562">
          <w:rPr>
            <w:webHidden/>
          </w:rPr>
          <w:instrText xml:space="preserve"> PAGEREF _Toc20218536 \h </w:instrText>
        </w:r>
        <w:r w:rsidR="00D03562">
          <w:rPr>
            <w:webHidden/>
          </w:rPr>
        </w:r>
        <w:r w:rsidR="00D03562">
          <w:rPr>
            <w:webHidden/>
          </w:rPr>
          <w:fldChar w:fldCharType="separate"/>
        </w:r>
        <w:r w:rsidR="002F538E">
          <w:rPr>
            <w:webHidden/>
          </w:rPr>
          <w:t>118</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37" w:history="1">
        <w:r w:rsidR="00D03562" w:rsidRPr="005D23F5">
          <w:rPr>
            <w:rStyle w:val="Hipercze"/>
            <w:rFonts w:ascii="Lato" w:hAnsi="Lato"/>
            <w:lang w:eastAsia="en-US"/>
          </w:rPr>
          <w:t>6.1.6</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lang w:eastAsia="en-US"/>
          </w:rPr>
          <w:t>Zarządzanie energią w budynkach użyteczności publicznej</w:t>
        </w:r>
        <w:r w:rsidR="00D03562">
          <w:rPr>
            <w:webHidden/>
          </w:rPr>
          <w:tab/>
        </w:r>
        <w:r w:rsidR="00D03562">
          <w:rPr>
            <w:webHidden/>
          </w:rPr>
          <w:fldChar w:fldCharType="begin"/>
        </w:r>
        <w:r w:rsidR="00D03562">
          <w:rPr>
            <w:webHidden/>
          </w:rPr>
          <w:instrText xml:space="preserve"> PAGEREF _Toc20218537 \h </w:instrText>
        </w:r>
        <w:r w:rsidR="00D03562">
          <w:rPr>
            <w:webHidden/>
          </w:rPr>
        </w:r>
        <w:r w:rsidR="00D03562">
          <w:rPr>
            <w:webHidden/>
          </w:rPr>
          <w:fldChar w:fldCharType="separate"/>
        </w:r>
        <w:r w:rsidR="002F538E">
          <w:rPr>
            <w:webHidden/>
          </w:rPr>
          <w:t>120</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38" w:history="1">
        <w:r w:rsidR="00D03562" w:rsidRPr="005D23F5">
          <w:rPr>
            <w:rStyle w:val="Hipercze"/>
            <w:rFonts w:ascii="Lato" w:hAnsi="Lato"/>
            <w:lang w:eastAsia="en-US"/>
          </w:rPr>
          <w:t>6.1.7</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lang w:eastAsia="en-US"/>
          </w:rPr>
          <w:t>Opis możliwości stosowania środków poprawy efektywności energetycznej</w:t>
        </w:r>
        <w:r w:rsidR="00D03562">
          <w:rPr>
            <w:webHidden/>
          </w:rPr>
          <w:tab/>
        </w:r>
        <w:r w:rsidR="00D03562">
          <w:rPr>
            <w:webHidden/>
          </w:rPr>
          <w:fldChar w:fldCharType="begin"/>
        </w:r>
        <w:r w:rsidR="00D03562">
          <w:rPr>
            <w:webHidden/>
          </w:rPr>
          <w:instrText xml:space="preserve"> PAGEREF _Toc20218538 \h </w:instrText>
        </w:r>
        <w:r w:rsidR="00D03562">
          <w:rPr>
            <w:webHidden/>
          </w:rPr>
        </w:r>
        <w:r w:rsidR="00D03562">
          <w:rPr>
            <w:webHidden/>
          </w:rPr>
          <w:fldChar w:fldCharType="separate"/>
        </w:r>
        <w:r w:rsidR="002F538E">
          <w:rPr>
            <w:webHidden/>
          </w:rPr>
          <w:t>122</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39" w:history="1">
        <w:r w:rsidR="00D03562" w:rsidRPr="005D23F5">
          <w:rPr>
            <w:rStyle w:val="Hipercze"/>
            <w:rFonts w:ascii="Lato" w:hAnsi="Lato"/>
            <w:lang w:eastAsia="en-US"/>
          </w:rPr>
          <w:t>6.1.8</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lang w:eastAsia="en-US"/>
          </w:rPr>
          <w:t>Racjonalizacja w zakresie użytkowania energii elektrycznej w budynkach użyteczności publicznej</w:t>
        </w:r>
        <w:r w:rsidR="00D03562">
          <w:rPr>
            <w:webHidden/>
          </w:rPr>
          <w:tab/>
        </w:r>
        <w:r w:rsidR="00D03562">
          <w:rPr>
            <w:webHidden/>
          </w:rPr>
          <w:fldChar w:fldCharType="begin"/>
        </w:r>
        <w:r w:rsidR="00D03562">
          <w:rPr>
            <w:webHidden/>
          </w:rPr>
          <w:instrText xml:space="preserve"> PAGEREF _Toc20218539 \h </w:instrText>
        </w:r>
        <w:r w:rsidR="00D03562">
          <w:rPr>
            <w:webHidden/>
          </w:rPr>
        </w:r>
        <w:r w:rsidR="00D03562">
          <w:rPr>
            <w:webHidden/>
          </w:rPr>
          <w:fldChar w:fldCharType="separate"/>
        </w:r>
        <w:r w:rsidR="002F538E">
          <w:rPr>
            <w:webHidden/>
          </w:rPr>
          <w:t>126</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40" w:history="1">
        <w:r w:rsidR="00D03562" w:rsidRPr="005D23F5">
          <w:rPr>
            <w:rStyle w:val="Hipercze"/>
            <w:rFonts w:ascii="Lato" w:hAnsi="Lato"/>
          </w:rPr>
          <w:t>6.2</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Propozycja przedsięwzięć w grupie „mieszkalnictwo”</w:t>
        </w:r>
        <w:r w:rsidR="00D03562">
          <w:rPr>
            <w:webHidden/>
          </w:rPr>
          <w:tab/>
        </w:r>
        <w:r w:rsidR="00D03562">
          <w:rPr>
            <w:webHidden/>
          </w:rPr>
          <w:fldChar w:fldCharType="begin"/>
        </w:r>
        <w:r w:rsidR="00D03562">
          <w:rPr>
            <w:webHidden/>
          </w:rPr>
          <w:instrText xml:space="preserve"> PAGEREF _Toc20218540 \h </w:instrText>
        </w:r>
        <w:r w:rsidR="00D03562">
          <w:rPr>
            <w:webHidden/>
          </w:rPr>
        </w:r>
        <w:r w:rsidR="00D03562">
          <w:rPr>
            <w:webHidden/>
          </w:rPr>
          <w:fldChar w:fldCharType="separate"/>
        </w:r>
        <w:r w:rsidR="002F538E">
          <w:rPr>
            <w:webHidden/>
          </w:rPr>
          <w:t>127</w:t>
        </w:r>
        <w:r w:rsidR="00D03562">
          <w:rPr>
            <w:webHidden/>
          </w:rPr>
          <w:fldChar w:fldCharType="end"/>
        </w:r>
      </w:hyperlink>
    </w:p>
    <w:p w:rsidR="00D03562" w:rsidRDefault="00755C70">
      <w:pPr>
        <w:pStyle w:val="Spistreci3"/>
        <w:rPr>
          <w:rFonts w:asciiTheme="minorHAnsi" w:eastAsiaTheme="minorEastAsia" w:hAnsiTheme="minorHAnsi" w:cstheme="minorBidi"/>
          <w:i w:val="0"/>
          <w:iCs w:val="0"/>
          <w:color w:val="auto"/>
          <w:sz w:val="22"/>
          <w:szCs w:val="22"/>
        </w:rPr>
      </w:pPr>
      <w:hyperlink w:anchor="_Toc20218541" w:history="1">
        <w:r w:rsidR="00D03562" w:rsidRPr="005D23F5">
          <w:rPr>
            <w:rStyle w:val="Hipercze"/>
            <w:rFonts w:ascii="Lato" w:hAnsi="Lato"/>
            <w:lang w:eastAsia="en-US"/>
          </w:rPr>
          <w:t>6.2.1</w:t>
        </w:r>
        <w:r w:rsidR="00D03562">
          <w:rPr>
            <w:rFonts w:asciiTheme="minorHAnsi" w:eastAsiaTheme="minorEastAsia" w:hAnsiTheme="minorHAnsi" w:cstheme="minorBidi"/>
            <w:i w:val="0"/>
            <w:iCs w:val="0"/>
            <w:color w:val="auto"/>
            <w:sz w:val="22"/>
            <w:szCs w:val="22"/>
          </w:rPr>
          <w:tab/>
        </w:r>
        <w:r w:rsidR="00D03562" w:rsidRPr="005D23F5">
          <w:rPr>
            <w:rStyle w:val="Hipercze"/>
            <w:rFonts w:ascii="Lato" w:hAnsi="Lato"/>
            <w:lang w:eastAsia="en-US"/>
          </w:rPr>
          <w:t>Racjonalizacja w zakresie użytkowania energii elektrycznej w budynkach mieszkalnych</w:t>
        </w:r>
        <w:r w:rsidR="00D03562">
          <w:rPr>
            <w:webHidden/>
          </w:rPr>
          <w:tab/>
        </w:r>
        <w:r w:rsidR="00D03562">
          <w:rPr>
            <w:webHidden/>
          </w:rPr>
          <w:fldChar w:fldCharType="begin"/>
        </w:r>
        <w:r w:rsidR="00D03562">
          <w:rPr>
            <w:webHidden/>
          </w:rPr>
          <w:instrText xml:space="preserve"> PAGEREF _Toc20218541 \h </w:instrText>
        </w:r>
        <w:r w:rsidR="00D03562">
          <w:rPr>
            <w:webHidden/>
          </w:rPr>
        </w:r>
        <w:r w:rsidR="00D03562">
          <w:rPr>
            <w:webHidden/>
          </w:rPr>
          <w:fldChar w:fldCharType="separate"/>
        </w:r>
        <w:r w:rsidR="002F538E">
          <w:rPr>
            <w:webHidden/>
          </w:rPr>
          <w:t>130</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42" w:history="1">
        <w:r w:rsidR="00D03562" w:rsidRPr="005D23F5">
          <w:rPr>
            <w:rStyle w:val="Hipercze"/>
            <w:rFonts w:ascii="Lato" w:hAnsi="Lato"/>
          </w:rPr>
          <w:t>6.3</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Propozycja przedsięwzięć w grupie „handel i usługi, przedsiębiorstwa”</w:t>
        </w:r>
        <w:r w:rsidR="00D03562">
          <w:rPr>
            <w:webHidden/>
          </w:rPr>
          <w:tab/>
        </w:r>
        <w:r w:rsidR="00D03562">
          <w:rPr>
            <w:webHidden/>
          </w:rPr>
          <w:fldChar w:fldCharType="begin"/>
        </w:r>
        <w:r w:rsidR="00D03562">
          <w:rPr>
            <w:webHidden/>
          </w:rPr>
          <w:instrText xml:space="preserve"> PAGEREF _Toc20218542 \h </w:instrText>
        </w:r>
        <w:r w:rsidR="00D03562">
          <w:rPr>
            <w:webHidden/>
          </w:rPr>
        </w:r>
        <w:r w:rsidR="00D03562">
          <w:rPr>
            <w:webHidden/>
          </w:rPr>
          <w:fldChar w:fldCharType="separate"/>
        </w:r>
        <w:r w:rsidR="002F538E">
          <w:rPr>
            <w:webHidden/>
          </w:rPr>
          <w:t>130</w:t>
        </w:r>
        <w:r w:rsidR="00D03562">
          <w:rPr>
            <w:webHidden/>
          </w:rPr>
          <w:fldChar w:fldCharType="end"/>
        </w:r>
      </w:hyperlink>
    </w:p>
    <w:p w:rsidR="00D03562" w:rsidRDefault="00755C70">
      <w:pPr>
        <w:pStyle w:val="Spistreci2"/>
        <w:rPr>
          <w:rFonts w:asciiTheme="minorHAnsi" w:eastAsiaTheme="minorEastAsia" w:hAnsiTheme="minorHAnsi" w:cstheme="minorBidi"/>
          <w:smallCaps w:val="0"/>
          <w:color w:val="auto"/>
          <w:szCs w:val="22"/>
        </w:rPr>
      </w:pPr>
      <w:hyperlink w:anchor="_Toc20218543" w:history="1">
        <w:r w:rsidR="00D03562" w:rsidRPr="005D23F5">
          <w:rPr>
            <w:rStyle w:val="Hipercze"/>
            <w:rFonts w:ascii="Lato" w:hAnsi="Lato"/>
          </w:rPr>
          <w:t>6.4</w:t>
        </w:r>
        <w:r w:rsidR="00D03562">
          <w:rPr>
            <w:rFonts w:asciiTheme="minorHAnsi" w:eastAsiaTheme="minorEastAsia" w:hAnsiTheme="minorHAnsi" w:cstheme="minorBidi"/>
            <w:smallCaps w:val="0"/>
            <w:color w:val="auto"/>
            <w:szCs w:val="22"/>
          </w:rPr>
          <w:tab/>
        </w:r>
        <w:r w:rsidR="00D03562" w:rsidRPr="005D23F5">
          <w:rPr>
            <w:rStyle w:val="Hipercze"/>
            <w:rFonts w:ascii="Lato" w:hAnsi="Lato"/>
          </w:rPr>
          <w:t>Propozycja przedsięwzięć w grupie „oświetlenie”</w:t>
        </w:r>
        <w:r w:rsidR="00D03562">
          <w:rPr>
            <w:webHidden/>
          </w:rPr>
          <w:tab/>
        </w:r>
        <w:r w:rsidR="00D03562">
          <w:rPr>
            <w:webHidden/>
          </w:rPr>
          <w:fldChar w:fldCharType="begin"/>
        </w:r>
        <w:r w:rsidR="00D03562">
          <w:rPr>
            <w:webHidden/>
          </w:rPr>
          <w:instrText xml:space="preserve"> PAGEREF _Toc20218543 \h </w:instrText>
        </w:r>
        <w:r w:rsidR="00D03562">
          <w:rPr>
            <w:webHidden/>
          </w:rPr>
        </w:r>
        <w:r w:rsidR="00D03562">
          <w:rPr>
            <w:webHidden/>
          </w:rPr>
          <w:fldChar w:fldCharType="separate"/>
        </w:r>
        <w:r w:rsidR="002F538E">
          <w:rPr>
            <w:webHidden/>
          </w:rPr>
          <w:t>132</w:t>
        </w:r>
        <w:r w:rsidR="00D03562">
          <w:rPr>
            <w:webHidden/>
          </w:rPr>
          <w:fldChar w:fldCharType="end"/>
        </w:r>
      </w:hyperlink>
    </w:p>
    <w:p w:rsidR="00D03562" w:rsidRDefault="00755C70">
      <w:pPr>
        <w:pStyle w:val="Spistreci1"/>
        <w:rPr>
          <w:rFonts w:asciiTheme="minorHAnsi" w:eastAsiaTheme="minorEastAsia" w:hAnsiTheme="minorHAnsi" w:cstheme="minorBidi"/>
          <w:iCs w:val="0"/>
          <w:caps w:val="0"/>
          <w:color w:val="auto"/>
          <w:sz w:val="22"/>
          <w:szCs w:val="22"/>
        </w:rPr>
      </w:pPr>
      <w:hyperlink w:anchor="_Toc20218544" w:history="1">
        <w:r w:rsidR="00D03562" w:rsidRPr="005D23F5">
          <w:rPr>
            <w:rStyle w:val="Hipercze"/>
            <w:rFonts w:ascii="Lato" w:hAnsi="Lato"/>
          </w:rPr>
          <w:t>7.</w:t>
        </w:r>
        <w:r w:rsidR="00D03562">
          <w:rPr>
            <w:rFonts w:asciiTheme="minorHAnsi" w:eastAsiaTheme="minorEastAsia" w:hAnsiTheme="minorHAnsi" w:cstheme="minorBidi"/>
            <w:iCs w:val="0"/>
            <w:caps w:val="0"/>
            <w:color w:val="auto"/>
            <w:sz w:val="22"/>
            <w:szCs w:val="22"/>
          </w:rPr>
          <w:tab/>
        </w:r>
        <w:r w:rsidR="00D03562" w:rsidRPr="005D23F5">
          <w:rPr>
            <w:rStyle w:val="Hipercze"/>
            <w:rFonts w:ascii="Lato" w:hAnsi="Lato"/>
          </w:rPr>
          <w:t>Podsumowanie/streszczenie w języku niespecjalistycznym</w:t>
        </w:r>
        <w:r w:rsidR="00D03562">
          <w:rPr>
            <w:webHidden/>
          </w:rPr>
          <w:tab/>
        </w:r>
        <w:r w:rsidR="00D03562">
          <w:rPr>
            <w:webHidden/>
          </w:rPr>
          <w:fldChar w:fldCharType="begin"/>
        </w:r>
        <w:r w:rsidR="00D03562">
          <w:rPr>
            <w:webHidden/>
          </w:rPr>
          <w:instrText xml:space="preserve"> PAGEREF _Toc20218544 \h </w:instrText>
        </w:r>
        <w:r w:rsidR="00D03562">
          <w:rPr>
            <w:webHidden/>
          </w:rPr>
        </w:r>
        <w:r w:rsidR="00D03562">
          <w:rPr>
            <w:webHidden/>
          </w:rPr>
          <w:fldChar w:fldCharType="separate"/>
        </w:r>
        <w:r w:rsidR="002F538E">
          <w:rPr>
            <w:webHidden/>
          </w:rPr>
          <w:t>133</w:t>
        </w:r>
        <w:r w:rsidR="00D03562">
          <w:rPr>
            <w:webHidden/>
          </w:rPr>
          <w:fldChar w:fldCharType="end"/>
        </w:r>
      </w:hyperlink>
    </w:p>
    <w:p w:rsidR="00D03562" w:rsidRDefault="00755C70">
      <w:pPr>
        <w:pStyle w:val="Spistreci1"/>
        <w:rPr>
          <w:rFonts w:asciiTheme="minorHAnsi" w:eastAsiaTheme="minorEastAsia" w:hAnsiTheme="minorHAnsi" w:cstheme="minorBidi"/>
          <w:iCs w:val="0"/>
          <w:caps w:val="0"/>
          <w:color w:val="auto"/>
          <w:sz w:val="22"/>
          <w:szCs w:val="22"/>
        </w:rPr>
      </w:pPr>
      <w:hyperlink w:anchor="_Toc20218545" w:history="1">
        <w:r w:rsidR="00D03562" w:rsidRPr="005D23F5">
          <w:rPr>
            <w:rStyle w:val="Hipercze"/>
            <w:rFonts w:ascii="Lato" w:hAnsi="Lato"/>
          </w:rPr>
          <w:t>8.</w:t>
        </w:r>
        <w:r w:rsidR="00D03562">
          <w:rPr>
            <w:rFonts w:asciiTheme="minorHAnsi" w:eastAsiaTheme="minorEastAsia" w:hAnsiTheme="minorHAnsi" w:cstheme="minorBidi"/>
            <w:iCs w:val="0"/>
            <w:caps w:val="0"/>
            <w:color w:val="auto"/>
            <w:sz w:val="22"/>
            <w:szCs w:val="22"/>
          </w:rPr>
          <w:tab/>
        </w:r>
        <w:r w:rsidR="00D03562" w:rsidRPr="005D23F5">
          <w:rPr>
            <w:rStyle w:val="Hipercze"/>
            <w:rFonts w:ascii="Lato" w:hAnsi="Lato"/>
          </w:rPr>
          <w:t>Załączniki</w:t>
        </w:r>
        <w:r w:rsidR="00D03562">
          <w:rPr>
            <w:webHidden/>
          </w:rPr>
          <w:tab/>
        </w:r>
        <w:r w:rsidR="00D03562">
          <w:rPr>
            <w:webHidden/>
          </w:rPr>
          <w:fldChar w:fldCharType="begin"/>
        </w:r>
        <w:r w:rsidR="00D03562">
          <w:rPr>
            <w:webHidden/>
          </w:rPr>
          <w:instrText xml:space="preserve"> PAGEREF _Toc20218545 \h </w:instrText>
        </w:r>
        <w:r w:rsidR="00D03562">
          <w:rPr>
            <w:webHidden/>
          </w:rPr>
        </w:r>
        <w:r w:rsidR="00D03562">
          <w:rPr>
            <w:webHidden/>
          </w:rPr>
          <w:fldChar w:fldCharType="separate"/>
        </w:r>
        <w:r w:rsidR="002F538E">
          <w:rPr>
            <w:webHidden/>
          </w:rPr>
          <w:t>138</w:t>
        </w:r>
        <w:r w:rsidR="00D03562">
          <w:rPr>
            <w:webHidden/>
          </w:rPr>
          <w:fldChar w:fldCharType="end"/>
        </w:r>
      </w:hyperlink>
    </w:p>
    <w:p w:rsidR="007650B6" w:rsidRPr="00190648" w:rsidRDefault="004042AE" w:rsidP="00190648">
      <w:pPr>
        <w:spacing w:line="480" w:lineRule="auto"/>
        <w:ind w:firstLine="0"/>
        <w:rPr>
          <w:rFonts w:ascii="Lato" w:hAnsi="Lato"/>
          <w:bCs/>
          <w:iCs/>
          <w:color w:val="365F91"/>
          <w:sz w:val="24"/>
        </w:rPr>
      </w:pPr>
      <w:r w:rsidRPr="00D352C4">
        <w:rPr>
          <w:rFonts w:ascii="Lato" w:hAnsi="Lato"/>
          <w:highlight w:val="yellow"/>
        </w:rPr>
        <w:fldChar w:fldCharType="end"/>
      </w:r>
      <w:bookmarkStart w:id="5" w:name="_Toc6363129"/>
      <w:bookmarkStart w:id="6" w:name="_Toc6472898"/>
      <w:bookmarkStart w:id="7" w:name="_Toc6799159"/>
      <w:bookmarkStart w:id="8" w:name="_Toc6807012"/>
      <w:bookmarkStart w:id="9" w:name="_Toc9734741"/>
      <w:bookmarkStart w:id="10" w:name="_Toc11484909"/>
      <w:bookmarkStart w:id="11" w:name="_Toc13883511"/>
      <w:bookmarkStart w:id="12" w:name="_Toc14764537"/>
      <w:bookmarkStart w:id="13" w:name="_Toc15265924"/>
      <w:bookmarkStart w:id="14" w:name="_Toc17095447"/>
      <w:bookmarkStart w:id="15" w:name="_Toc17102275"/>
      <w:bookmarkStart w:id="16" w:name="_Toc18389056"/>
      <w:bookmarkStart w:id="17" w:name="_Toc23316137"/>
      <w:bookmarkStart w:id="18" w:name="_Toc17180177"/>
      <w:bookmarkStart w:id="19" w:name="_Toc39370550"/>
      <w:bookmarkStart w:id="20" w:name="_Toc39909488"/>
      <w:bookmarkStart w:id="21" w:name="_Toc50264557"/>
      <w:bookmarkEnd w:id="0"/>
      <w:bookmarkEnd w:id="1"/>
      <w:bookmarkEnd w:id="2"/>
      <w:bookmarkEnd w:id="3"/>
      <w:bookmarkEnd w:id="4"/>
      <w:r w:rsidR="0050013E" w:rsidRPr="00D352C4">
        <w:rPr>
          <w:rFonts w:ascii="Lato" w:hAnsi="Lato"/>
          <w:highlight w:val="yellow"/>
        </w:rPr>
        <w:br w:type="page"/>
      </w:r>
      <w:r w:rsidR="0050013E" w:rsidRPr="00190648">
        <w:rPr>
          <w:rFonts w:ascii="Lato" w:hAnsi="Lato"/>
          <w:bCs/>
          <w:iCs/>
          <w:color w:val="365F91"/>
          <w:sz w:val="24"/>
        </w:rPr>
        <w:lastRenderedPageBreak/>
        <w:t>SPIS TABEL</w:t>
      </w:r>
    </w:p>
    <w:p w:rsidR="00E2457B" w:rsidRPr="00E2457B" w:rsidRDefault="004042AE">
      <w:pPr>
        <w:pStyle w:val="Spisilustracji"/>
        <w:tabs>
          <w:tab w:val="right" w:leader="dot" w:pos="9855"/>
        </w:tabs>
        <w:rPr>
          <w:rFonts w:asciiTheme="minorHAnsi" w:eastAsiaTheme="minorEastAsia" w:hAnsiTheme="minorHAnsi" w:cstheme="minorBidi"/>
          <w:smallCaps w:val="0"/>
          <w:noProof/>
          <w:sz w:val="22"/>
          <w:szCs w:val="22"/>
        </w:rPr>
      </w:pPr>
      <w:r w:rsidRPr="00D352C4">
        <w:rPr>
          <w:rFonts w:ascii="Lato" w:hAnsi="Lato"/>
          <w:iCs/>
          <w:caps/>
          <w:noProof/>
          <w:color w:val="365F91"/>
          <w:sz w:val="24"/>
          <w:highlight w:val="yellow"/>
        </w:rPr>
        <w:fldChar w:fldCharType="begin"/>
      </w:r>
      <w:r w:rsidR="0050013E" w:rsidRPr="00D352C4">
        <w:rPr>
          <w:rFonts w:ascii="Lato" w:hAnsi="Lato"/>
          <w:highlight w:val="yellow"/>
        </w:rPr>
        <w:instrText xml:space="preserve"> TOC \h \z \c "Tabela" </w:instrText>
      </w:r>
      <w:r w:rsidRPr="00D352C4">
        <w:rPr>
          <w:rFonts w:ascii="Lato" w:hAnsi="Lato"/>
          <w:iCs/>
          <w:caps/>
          <w:noProof/>
          <w:color w:val="365F91"/>
          <w:sz w:val="24"/>
          <w:highlight w:val="yellow"/>
        </w:rPr>
        <w:fldChar w:fldCharType="separate"/>
      </w:r>
      <w:hyperlink w:anchor="_Toc20219160" w:history="1">
        <w:r w:rsidR="00E2457B" w:rsidRPr="00E2457B">
          <w:rPr>
            <w:rStyle w:val="Hipercze"/>
            <w:rFonts w:ascii="Lato" w:hAnsi="Lato"/>
            <w:noProof/>
          </w:rPr>
          <w:t>Tabela 1</w:t>
        </w:r>
        <w:r w:rsidR="00E2457B" w:rsidRPr="00E2457B">
          <w:rPr>
            <w:rStyle w:val="Hipercze"/>
            <w:rFonts w:ascii="Lato" w:hAnsi="Lato"/>
            <w:noProof/>
          </w:rPr>
          <w:noBreakHyphen/>
          <w:t>1 Porównanie podstawowych wskaźników demograficznych</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_Toc20219160 \h </w:instrText>
        </w:r>
        <w:r w:rsidR="00E2457B" w:rsidRPr="00E2457B">
          <w:rPr>
            <w:noProof/>
            <w:webHidden/>
          </w:rPr>
        </w:r>
        <w:r w:rsidR="00E2457B" w:rsidRPr="00E2457B">
          <w:rPr>
            <w:noProof/>
            <w:webHidden/>
          </w:rPr>
          <w:fldChar w:fldCharType="separate"/>
        </w:r>
        <w:r w:rsidR="002F538E">
          <w:rPr>
            <w:noProof/>
            <w:webHidden/>
          </w:rPr>
          <w:t>14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61" w:history="1">
        <w:r w:rsidR="00E2457B" w:rsidRPr="00E2457B">
          <w:rPr>
            <w:rStyle w:val="Hipercze"/>
            <w:rFonts w:ascii="Lato" w:hAnsi="Lato"/>
            <w:noProof/>
          </w:rPr>
          <w:t>Tabela 1</w:t>
        </w:r>
        <w:r w:rsidR="00E2457B" w:rsidRPr="00E2457B">
          <w:rPr>
            <w:rStyle w:val="Hipercze"/>
            <w:rFonts w:ascii="Lato" w:hAnsi="Lato"/>
            <w:noProof/>
          </w:rPr>
          <w:noBreakHyphen/>
          <w:t>2 Wskaźniki zmian związanych z rynkiem pracy</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_Toc20219161 \h </w:instrText>
        </w:r>
        <w:r w:rsidR="00E2457B" w:rsidRPr="00E2457B">
          <w:rPr>
            <w:noProof/>
            <w:webHidden/>
          </w:rPr>
        </w:r>
        <w:r w:rsidR="00E2457B" w:rsidRPr="00E2457B">
          <w:rPr>
            <w:noProof/>
            <w:webHidden/>
          </w:rPr>
          <w:fldChar w:fldCharType="separate"/>
        </w:r>
        <w:r w:rsidR="002F538E">
          <w:rPr>
            <w:noProof/>
            <w:webHidden/>
          </w:rPr>
          <w:t>16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62" w:history="1">
        <w:r w:rsidR="00E2457B" w:rsidRPr="00E2457B">
          <w:rPr>
            <w:rStyle w:val="Hipercze"/>
            <w:rFonts w:ascii="Lato" w:hAnsi="Lato"/>
            <w:noProof/>
          </w:rPr>
          <w:t>Tabela 1</w:t>
        </w:r>
        <w:r w:rsidR="00E2457B" w:rsidRPr="00E2457B">
          <w:rPr>
            <w:rStyle w:val="Hipercze"/>
            <w:rFonts w:ascii="Lato" w:hAnsi="Lato"/>
            <w:noProof/>
          </w:rPr>
          <w:noBreakHyphen/>
          <w:t>3 Liczba podmiotów gospodarczych wg klasyfikacji PKD 2007 w latach 2009 - 2017</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_Toc20219162 \h </w:instrText>
        </w:r>
        <w:r w:rsidR="00E2457B" w:rsidRPr="00E2457B">
          <w:rPr>
            <w:noProof/>
            <w:webHidden/>
          </w:rPr>
        </w:r>
        <w:r w:rsidR="00E2457B" w:rsidRPr="00E2457B">
          <w:rPr>
            <w:noProof/>
            <w:webHidden/>
          </w:rPr>
          <w:fldChar w:fldCharType="separate"/>
        </w:r>
        <w:r w:rsidR="002F538E">
          <w:rPr>
            <w:noProof/>
            <w:webHidden/>
          </w:rPr>
          <w:t>17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63" w:history="1">
        <w:r w:rsidR="00E2457B" w:rsidRPr="00E2457B">
          <w:rPr>
            <w:rStyle w:val="Hipercze"/>
            <w:rFonts w:ascii="Lato" w:hAnsi="Lato"/>
            <w:noProof/>
          </w:rPr>
          <w:t>Tabela 1</w:t>
        </w:r>
        <w:r w:rsidR="00E2457B" w:rsidRPr="00E2457B">
          <w:rPr>
            <w:rStyle w:val="Hipercze"/>
            <w:rFonts w:ascii="Lato" w:hAnsi="Lato"/>
            <w:noProof/>
          </w:rPr>
          <w:noBreakHyphen/>
          <w:t>4 Podział budynków ze względu na zużycie energii do ogrzewania</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_Toc20219163 \h </w:instrText>
        </w:r>
        <w:r w:rsidR="00E2457B" w:rsidRPr="00E2457B">
          <w:rPr>
            <w:noProof/>
            <w:webHidden/>
          </w:rPr>
        </w:r>
        <w:r w:rsidR="00E2457B" w:rsidRPr="00E2457B">
          <w:rPr>
            <w:noProof/>
            <w:webHidden/>
          </w:rPr>
          <w:fldChar w:fldCharType="separate"/>
        </w:r>
        <w:r w:rsidR="002F538E">
          <w:rPr>
            <w:noProof/>
            <w:webHidden/>
          </w:rPr>
          <w:t>21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64" w:history="1">
        <w:r w:rsidR="00E2457B" w:rsidRPr="00E2457B">
          <w:rPr>
            <w:rStyle w:val="Hipercze"/>
            <w:rFonts w:ascii="Lato" w:hAnsi="Lato"/>
            <w:noProof/>
          </w:rPr>
          <w:t>Tabela 1</w:t>
        </w:r>
        <w:r w:rsidR="00E2457B" w:rsidRPr="00E2457B">
          <w:rPr>
            <w:rStyle w:val="Hipercze"/>
            <w:rFonts w:ascii="Lato" w:hAnsi="Lato"/>
            <w:noProof/>
          </w:rPr>
          <w:noBreakHyphen/>
          <w:t>5 Statystyka mieszkaniowa z lat 1995 – 2017 dotycząca Gminy Pabianice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_Toc20219164 \h </w:instrText>
        </w:r>
        <w:r w:rsidR="00E2457B" w:rsidRPr="00E2457B">
          <w:rPr>
            <w:noProof/>
            <w:webHidden/>
          </w:rPr>
        </w:r>
        <w:r w:rsidR="00E2457B" w:rsidRPr="00E2457B">
          <w:rPr>
            <w:noProof/>
            <w:webHidden/>
          </w:rPr>
          <w:fldChar w:fldCharType="separate"/>
        </w:r>
        <w:r w:rsidR="002F538E">
          <w:rPr>
            <w:noProof/>
            <w:webHidden/>
          </w:rPr>
          <w:t>22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65" w:history="1">
        <w:r w:rsidR="00E2457B" w:rsidRPr="00E2457B">
          <w:rPr>
            <w:rStyle w:val="Hipercze"/>
            <w:rFonts w:ascii="Lato" w:hAnsi="Lato"/>
            <w:noProof/>
          </w:rPr>
          <w:t>Tabela 1</w:t>
        </w:r>
        <w:r w:rsidR="00E2457B" w:rsidRPr="00E2457B">
          <w:rPr>
            <w:rStyle w:val="Hipercze"/>
            <w:rFonts w:ascii="Lato" w:hAnsi="Lato"/>
            <w:noProof/>
          </w:rPr>
          <w:noBreakHyphen/>
          <w:t>6 Wskaźniki zmian w gospodarce mieszkaniowej</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_Toc20219165 \h </w:instrText>
        </w:r>
        <w:r w:rsidR="00E2457B" w:rsidRPr="00E2457B">
          <w:rPr>
            <w:noProof/>
            <w:webHidden/>
          </w:rPr>
        </w:r>
        <w:r w:rsidR="00E2457B" w:rsidRPr="00E2457B">
          <w:rPr>
            <w:noProof/>
            <w:webHidden/>
          </w:rPr>
          <w:fldChar w:fldCharType="separate"/>
        </w:r>
        <w:r w:rsidR="002F538E">
          <w:rPr>
            <w:noProof/>
            <w:webHidden/>
          </w:rPr>
          <w:t>23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66" w:history="1">
        <w:r w:rsidR="00E2457B" w:rsidRPr="00E2457B">
          <w:rPr>
            <w:rStyle w:val="Hipercze"/>
            <w:rFonts w:ascii="Lato" w:hAnsi="Lato"/>
            <w:noProof/>
          </w:rPr>
          <w:t>Tabela 1</w:t>
        </w:r>
        <w:r w:rsidR="00E2457B" w:rsidRPr="00E2457B">
          <w:rPr>
            <w:rStyle w:val="Hipercze"/>
            <w:rFonts w:ascii="Lato" w:hAnsi="Lato"/>
            <w:noProof/>
          </w:rPr>
          <w:noBreakHyphen/>
          <w:t>7 Obiekty użyteczności publicznej na terenie gminy</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_Toc20219166 \h </w:instrText>
        </w:r>
        <w:r w:rsidR="00E2457B" w:rsidRPr="00E2457B">
          <w:rPr>
            <w:noProof/>
            <w:webHidden/>
          </w:rPr>
        </w:r>
        <w:r w:rsidR="00E2457B" w:rsidRPr="00E2457B">
          <w:rPr>
            <w:noProof/>
            <w:webHidden/>
          </w:rPr>
          <w:fldChar w:fldCharType="separate"/>
        </w:r>
        <w:r w:rsidR="002F538E">
          <w:rPr>
            <w:noProof/>
            <w:webHidden/>
          </w:rPr>
          <w:t>25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67" w:history="1">
        <w:r w:rsidR="00E2457B" w:rsidRPr="00E2457B">
          <w:rPr>
            <w:rStyle w:val="Hipercze"/>
            <w:rFonts w:ascii="Lato" w:hAnsi="Lato"/>
            <w:bCs/>
            <w:noProof/>
          </w:rPr>
          <w:t>Tabela 2</w:t>
        </w:r>
        <w:r w:rsidR="00E2457B" w:rsidRPr="00E2457B">
          <w:rPr>
            <w:rStyle w:val="Hipercze"/>
            <w:rFonts w:ascii="Lato" w:hAnsi="Lato"/>
            <w:bCs/>
            <w:noProof/>
          </w:rPr>
          <w:noBreakHyphen/>
          <w:t>1</w:t>
        </w:r>
        <w:r w:rsidR="00E2457B" w:rsidRPr="00E2457B">
          <w:rPr>
            <w:rStyle w:val="Hipercze"/>
            <w:rFonts w:ascii="Lato" w:hAnsi="Lato"/>
            <w:noProof/>
          </w:rPr>
          <w:t xml:space="preserve"> Zestawienie zapotrzebowania energetycznego Gminy Pabianice na moc</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_Toc20219167 \h </w:instrText>
        </w:r>
        <w:r w:rsidR="00E2457B" w:rsidRPr="00E2457B">
          <w:rPr>
            <w:noProof/>
            <w:webHidden/>
          </w:rPr>
        </w:r>
        <w:r w:rsidR="00E2457B" w:rsidRPr="00E2457B">
          <w:rPr>
            <w:noProof/>
            <w:webHidden/>
          </w:rPr>
          <w:fldChar w:fldCharType="separate"/>
        </w:r>
        <w:r w:rsidR="002F538E">
          <w:rPr>
            <w:noProof/>
            <w:webHidden/>
          </w:rPr>
          <w:t>33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68" w:history="1">
        <w:r w:rsidR="00E2457B" w:rsidRPr="00E2457B">
          <w:rPr>
            <w:rStyle w:val="Hipercze"/>
            <w:rFonts w:ascii="Lato" w:hAnsi="Lato"/>
            <w:bCs/>
            <w:noProof/>
          </w:rPr>
          <w:t>Tabela 2</w:t>
        </w:r>
        <w:r w:rsidR="00E2457B" w:rsidRPr="00E2457B">
          <w:rPr>
            <w:rStyle w:val="Hipercze"/>
            <w:rFonts w:ascii="Lato" w:hAnsi="Lato"/>
            <w:bCs/>
            <w:noProof/>
          </w:rPr>
          <w:noBreakHyphen/>
          <w:t>2 Zestawienie zapotrzebowania Gminy Pabianice na energię</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_Toc20219168 \h </w:instrText>
        </w:r>
        <w:r w:rsidR="00E2457B" w:rsidRPr="00E2457B">
          <w:rPr>
            <w:noProof/>
            <w:webHidden/>
          </w:rPr>
        </w:r>
        <w:r w:rsidR="00E2457B" w:rsidRPr="00E2457B">
          <w:rPr>
            <w:noProof/>
            <w:webHidden/>
          </w:rPr>
          <w:fldChar w:fldCharType="separate"/>
        </w:r>
        <w:r w:rsidR="002F538E">
          <w:rPr>
            <w:noProof/>
            <w:webHidden/>
          </w:rPr>
          <w:t>34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69" w:history="1">
        <w:r w:rsidR="00E2457B" w:rsidRPr="00E2457B">
          <w:rPr>
            <w:rStyle w:val="Hipercze"/>
            <w:rFonts w:ascii="Lato" w:hAnsi="Lato"/>
            <w:noProof/>
          </w:rPr>
          <w:t>Tabela 2</w:t>
        </w:r>
        <w:r w:rsidR="00E2457B" w:rsidRPr="00E2457B">
          <w:rPr>
            <w:rStyle w:val="Hipercze"/>
            <w:rFonts w:ascii="Lato" w:hAnsi="Lato"/>
            <w:noProof/>
          </w:rPr>
          <w:noBreakHyphen/>
          <w:t>3 Bilans paliw i energii dla Gminy Pabianice za rok 2018</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_Toc20219169 \h </w:instrText>
        </w:r>
        <w:r w:rsidR="00E2457B" w:rsidRPr="00E2457B">
          <w:rPr>
            <w:noProof/>
            <w:webHidden/>
          </w:rPr>
        </w:r>
        <w:r w:rsidR="00E2457B" w:rsidRPr="00E2457B">
          <w:rPr>
            <w:noProof/>
            <w:webHidden/>
          </w:rPr>
          <w:fldChar w:fldCharType="separate"/>
        </w:r>
        <w:r w:rsidR="002F538E">
          <w:rPr>
            <w:noProof/>
            <w:webHidden/>
          </w:rPr>
          <w:t>34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70" w:history="1">
        <w:r w:rsidR="00E2457B" w:rsidRPr="00E2457B">
          <w:rPr>
            <w:rStyle w:val="Hipercze"/>
            <w:rFonts w:ascii="Lato" w:hAnsi="Lato"/>
            <w:noProof/>
          </w:rPr>
          <w:t>Tabela 2</w:t>
        </w:r>
        <w:r w:rsidR="00E2457B" w:rsidRPr="00E2457B">
          <w:rPr>
            <w:rStyle w:val="Hipercze"/>
            <w:rFonts w:ascii="Lato" w:hAnsi="Lato"/>
            <w:noProof/>
          </w:rPr>
          <w:noBreakHyphen/>
          <w:t>4 Długość sieci gazowej na terenie Gminy Pabianice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_Toc20219170 \h </w:instrText>
        </w:r>
        <w:r w:rsidR="00E2457B" w:rsidRPr="00E2457B">
          <w:rPr>
            <w:noProof/>
            <w:webHidden/>
          </w:rPr>
        </w:r>
        <w:r w:rsidR="00E2457B" w:rsidRPr="00E2457B">
          <w:rPr>
            <w:noProof/>
            <w:webHidden/>
          </w:rPr>
          <w:fldChar w:fldCharType="separate"/>
        </w:r>
        <w:r w:rsidR="002F538E">
          <w:rPr>
            <w:noProof/>
            <w:webHidden/>
          </w:rPr>
          <w:t>35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71" w:history="1">
        <w:r w:rsidR="00E2457B" w:rsidRPr="00E2457B">
          <w:rPr>
            <w:rStyle w:val="Hipercze"/>
            <w:rFonts w:ascii="Lato" w:hAnsi="Lato"/>
            <w:noProof/>
          </w:rPr>
          <w:t>Tabela 2</w:t>
        </w:r>
        <w:r w:rsidR="00E2457B" w:rsidRPr="00E2457B">
          <w:rPr>
            <w:rStyle w:val="Hipercze"/>
            <w:rFonts w:ascii="Lato" w:hAnsi="Lato"/>
            <w:noProof/>
          </w:rPr>
          <w:noBreakHyphen/>
          <w:t>5 Liczba odbiorców oraz zużycie gazu ziemnego w poszczególnych grupach odbiorców na terenie Gminy Pabianice w latach 2016-2018</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_Toc20219171 \h </w:instrText>
        </w:r>
        <w:r w:rsidR="00E2457B" w:rsidRPr="00E2457B">
          <w:rPr>
            <w:noProof/>
            <w:webHidden/>
          </w:rPr>
        </w:r>
        <w:r w:rsidR="00E2457B" w:rsidRPr="00E2457B">
          <w:rPr>
            <w:noProof/>
            <w:webHidden/>
          </w:rPr>
          <w:fldChar w:fldCharType="separate"/>
        </w:r>
        <w:r w:rsidR="002F538E">
          <w:rPr>
            <w:noProof/>
            <w:webHidden/>
          </w:rPr>
          <w:t>36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72" w:history="1">
        <w:r w:rsidR="00E2457B" w:rsidRPr="00E2457B">
          <w:rPr>
            <w:rStyle w:val="Hipercze"/>
            <w:rFonts w:ascii="Lato" w:hAnsi="Lato"/>
            <w:noProof/>
          </w:rPr>
          <w:t>Tabela 2</w:t>
        </w:r>
        <w:r w:rsidR="00E2457B" w:rsidRPr="00E2457B">
          <w:rPr>
            <w:rStyle w:val="Hipercze"/>
            <w:rFonts w:ascii="Lato" w:hAnsi="Lato"/>
            <w:noProof/>
          </w:rPr>
          <w:noBreakHyphen/>
          <w:t>6 Liczba odbiorców oraz zużycie gazu ziemnego w poszczególnych grupach taryfowych na terenie Gminy Pabianice w latach 2016-2018</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_Toc20219172 \h </w:instrText>
        </w:r>
        <w:r w:rsidR="00E2457B" w:rsidRPr="00E2457B">
          <w:rPr>
            <w:noProof/>
            <w:webHidden/>
          </w:rPr>
        </w:r>
        <w:r w:rsidR="00E2457B" w:rsidRPr="00E2457B">
          <w:rPr>
            <w:noProof/>
            <w:webHidden/>
          </w:rPr>
          <w:fldChar w:fldCharType="separate"/>
        </w:r>
        <w:r w:rsidR="002F538E">
          <w:rPr>
            <w:noProof/>
            <w:webHidden/>
          </w:rPr>
          <w:t>36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73" w:history="1">
        <w:r w:rsidR="00E2457B" w:rsidRPr="00E2457B">
          <w:rPr>
            <w:rStyle w:val="Hipercze"/>
            <w:rFonts w:ascii="Lato" w:hAnsi="Lato"/>
            <w:noProof/>
          </w:rPr>
          <w:t>Tabela 2</w:t>
        </w:r>
        <w:r w:rsidR="00E2457B" w:rsidRPr="00E2457B">
          <w:rPr>
            <w:rStyle w:val="Hipercze"/>
            <w:rFonts w:ascii="Lato" w:hAnsi="Lato"/>
            <w:noProof/>
          </w:rPr>
          <w:noBreakHyphen/>
          <w:t>7 Długości sieci elektroenergetycznych zlokalizowanych na terenie Gminy Pabianice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_Toc20219173 \h </w:instrText>
        </w:r>
        <w:r w:rsidR="00E2457B" w:rsidRPr="00E2457B">
          <w:rPr>
            <w:noProof/>
            <w:webHidden/>
          </w:rPr>
        </w:r>
        <w:r w:rsidR="00E2457B" w:rsidRPr="00E2457B">
          <w:rPr>
            <w:noProof/>
            <w:webHidden/>
          </w:rPr>
          <w:fldChar w:fldCharType="separate"/>
        </w:r>
        <w:r w:rsidR="002F538E">
          <w:rPr>
            <w:noProof/>
            <w:webHidden/>
          </w:rPr>
          <w:t>41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74" w:history="1">
        <w:r w:rsidR="00E2457B" w:rsidRPr="00E2457B">
          <w:rPr>
            <w:rStyle w:val="Hipercze"/>
            <w:rFonts w:ascii="Lato" w:hAnsi="Lato"/>
            <w:noProof/>
          </w:rPr>
          <w:t>Tabela 2</w:t>
        </w:r>
        <w:r w:rsidR="00E2457B" w:rsidRPr="00E2457B">
          <w:rPr>
            <w:rStyle w:val="Hipercze"/>
            <w:rFonts w:ascii="Lato" w:hAnsi="Lato"/>
            <w:noProof/>
          </w:rPr>
          <w:noBreakHyphen/>
          <w:t>8 Wykaz punktów oświetlenia drogowego na terenie Gminy Pabianice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_Toc20219174 \h </w:instrText>
        </w:r>
        <w:r w:rsidR="00E2457B" w:rsidRPr="00E2457B">
          <w:rPr>
            <w:noProof/>
            <w:webHidden/>
          </w:rPr>
        </w:r>
        <w:r w:rsidR="00E2457B" w:rsidRPr="00E2457B">
          <w:rPr>
            <w:noProof/>
            <w:webHidden/>
          </w:rPr>
          <w:fldChar w:fldCharType="separate"/>
        </w:r>
        <w:r w:rsidR="002F538E">
          <w:rPr>
            <w:noProof/>
            <w:webHidden/>
          </w:rPr>
          <w:t>41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75" w:history="1">
        <w:r w:rsidR="00E2457B" w:rsidRPr="00E2457B">
          <w:rPr>
            <w:rStyle w:val="Hipercze"/>
            <w:rFonts w:ascii="Lato" w:hAnsi="Lato"/>
            <w:noProof/>
          </w:rPr>
          <w:t>Tabela 2</w:t>
        </w:r>
        <w:r w:rsidR="00E2457B" w:rsidRPr="00E2457B">
          <w:rPr>
            <w:rStyle w:val="Hipercze"/>
            <w:rFonts w:ascii="Lato" w:hAnsi="Lato"/>
            <w:noProof/>
          </w:rPr>
          <w:noBreakHyphen/>
          <w:t>9 Zużycie energii elektrycznej na terenie Gminy Pabianice w roku 2018</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_Toc20219175 \h </w:instrText>
        </w:r>
        <w:r w:rsidR="00E2457B" w:rsidRPr="00E2457B">
          <w:rPr>
            <w:noProof/>
            <w:webHidden/>
          </w:rPr>
        </w:r>
        <w:r w:rsidR="00E2457B" w:rsidRPr="00E2457B">
          <w:rPr>
            <w:noProof/>
            <w:webHidden/>
          </w:rPr>
          <w:fldChar w:fldCharType="separate"/>
        </w:r>
        <w:r w:rsidR="002F538E">
          <w:rPr>
            <w:noProof/>
            <w:webHidden/>
          </w:rPr>
          <w:t>42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76" w:history="1">
        <w:r w:rsidR="00E2457B" w:rsidRPr="00E2457B">
          <w:rPr>
            <w:rStyle w:val="Hipercze"/>
            <w:rFonts w:ascii="Lato" w:hAnsi="Lato"/>
            <w:noProof/>
          </w:rPr>
          <w:t>Tabela 2</w:t>
        </w:r>
        <w:r w:rsidR="00E2457B" w:rsidRPr="00E2457B">
          <w:rPr>
            <w:rStyle w:val="Hipercze"/>
            <w:rFonts w:ascii="Lato" w:hAnsi="Lato"/>
            <w:noProof/>
          </w:rPr>
          <w:noBreakHyphen/>
          <w:t>10 Dopuszczalne normy w zakresie jakości powietrza – kryterium ochrony zdrowia</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_Toc20219176 \h </w:instrText>
        </w:r>
        <w:r w:rsidR="00E2457B" w:rsidRPr="00E2457B">
          <w:rPr>
            <w:noProof/>
            <w:webHidden/>
          </w:rPr>
        </w:r>
        <w:r w:rsidR="00E2457B" w:rsidRPr="00E2457B">
          <w:rPr>
            <w:noProof/>
            <w:webHidden/>
          </w:rPr>
          <w:fldChar w:fldCharType="separate"/>
        </w:r>
        <w:r w:rsidR="002F538E">
          <w:rPr>
            <w:noProof/>
            <w:webHidden/>
          </w:rPr>
          <w:t>44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77" w:history="1">
        <w:r w:rsidR="00E2457B" w:rsidRPr="00E2457B">
          <w:rPr>
            <w:rStyle w:val="Hipercze"/>
            <w:rFonts w:ascii="Lato" w:hAnsi="Lato"/>
            <w:noProof/>
          </w:rPr>
          <w:t>Tabela 2</w:t>
        </w:r>
        <w:r w:rsidR="00E2457B" w:rsidRPr="00E2457B">
          <w:rPr>
            <w:rStyle w:val="Hipercze"/>
            <w:rFonts w:ascii="Lato" w:hAnsi="Lato"/>
            <w:noProof/>
          </w:rPr>
          <w:noBreakHyphen/>
          <w:t>11 Dopuszczalne normy w zakresie jakości powietrza – kryterium ochrony roślin</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_Toc20219177 \h </w:instrText>
        </w:r>
        <w:r w:rsidR="00E2457B" w:rsidRPr="00E2457B">
          <w:rPr>
            <w:noProof/>
            <w:webHidden/>
          </w:rPr>
        </w:r>
        <w:r w:rsidR="00E2457B" w:rsidRPr="00E2457B">
          <w:rPr>
            <w:noProof/>
            <w:webHidden/>
          </w:rPr>
          <w:fldChar w:fldCharType="separate"/>
        </w:r>
        <w:r w:rsidR="002F538E">
          <w:rPr>
            <w:noProof/>
            <w:webHidden/>
          </w:rPr>
          <w:t>45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78" w:history="1">
        <w:r w:rsidR="00E2457B" w:rsidRPr="00E2457B">
          <w:rPr>
            <w:rStyle w:val="Hipercze"/>
            <w:rFonts w:ascii="Lato" w:hAnsi="Lato"/>
            <w:noProof/>
            <w:spacing w:val="-2"/>
          </w:rPr>
          <w:t>Tabela 2</w:t>
        </w:r>
        <w:r w:rsidR="00E2457B" w:rsidRPr="00E2457B">
          <w:rPr>
            <w:rStyle w:val="Hipercze"/>
            <w:rFonts w:ascii="Lato" w:hAnsi="Lato"/>
            <w:noProof/>
            <w:spacing w:val="-2"/>
          </w:rPr>
          <w:noBreakHyphen/>
          <w:t>12 Poziomy alarmowe dla niektórych substancji</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_Toc20219178 \h </w:instrText>
        </w:r>
        <w:r w:rsidR="00E2457B" w:rsidRPr="00E2457B">
          <w:rPr>
            <w:noProof/>
            <w:webHidden/>
          </w:rPr>
        </w:r>
        <w:r w:rsidR="00E2457B" w:rsidRPr="00E2457B">
          <w:rPr>
            <w:noProof/>
            <w:webHidden/>
          </w:rPr>
          <w:fldChar w:fldCharType="separate"/>
        </w:r>
        <w:r w:rsidR="002F538E">
          <w:rPr>
            <w:noProof/>
            <w:webHidden/>
          </w:rPr>
          <w:t>45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79" w:history="1">
        <w:r w:rsidR="00E2457B" w:rsidRPr="00E2457B">
          <w:rPr>
            <w:rStyle w:val="Hipercze"/>
            <w:rFonts w:ascii="Lato" w:hAnsi="Lato"/>
            <w:noProof/>
          </w:rPr>
          <w:t>Tabela 2</w:t>
        </w:r>
        <w:r w:rsidR="00E2457B" w:rsidRPr="00E2457B">
          <w:rPr>
            <w:rStyle w:val="Hipercze"/>
            <w:rFonts w:ascii="Lato" w:hAnsi="Lato"/>
            <w:noProof/>
          </w:rPr>
          <w:noBreakHyphen/>
          <w:t>13 Czynniki meteorologiczne wpływające na stan zanieczyszczenia atmosfery</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_Toc20219179 \h </w:instrText>
        </w:r>
        <w:r w:rsidR="00E2457B" w:rsidRPr="00E2457B">
          <w:rPr>
            <w:noProof/>
            <w:webHidden/>
          </w:rPr>
        </w:r>
        <w:r w:rsidR="00E2457B" w:rsidRPr="00E2457B">
          <w:rPr>
            <w:noProof/>
            <w:webHidden/>
          </w:rPr>
          <w:fldChar w:fldCharType="separate"/>
        </w:r>
        <w:r w:rsidR="002F538E">
          <w:rPr>
            <w:noProof/>
            <w:webHidden/>
          </w:rPr>
          <w:t>46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80" w:history="1">
        <w:r w:rsidR="00E2457B" w:rsidRPr="00E2457B">
          <w:rPr>
            <w:rStyle w:val="Hipercze"/>
            <w:rFonts w:ascii="Lato" w:hAnsi="Lato"/>
            <w:noProof/>
          </w:rPr>
          <w:t>Tabela 2</w:t>
        </w:r>
        <w:r w:rsidR="00E2457B" w:rsidRPr="00E2457B">
          <w:rPr>
            <w:rStyle w:val="Hipercze"/>
            <w:rFonts w:ascii="Lato" w:hAnsi="Lato"/>
            <w:noProof/>
          </w:rPr>
          <w:noBreakHyphen/>
          <w:t>14 Szacunkowa emisja substancji szkodliwych do atmosfery na terenie Gminy Pabianice ze spalania paliw do celów grzewczych w 2018 roku (emisja niska)</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_Toc20219180 \h </w:instrText>
        </w:r>
        <w:r w:rsidR="00E2457B" w:rsidRPr="00E2457B">
          <w:rPr>
            <w:noProof/>
            <w:webHidden/>
          </w:rPr>
        </w:r>
        <w:r w:rsidR="00E2457B" w:rsidRPr="00E2457B">
          <w:rPr>
            <w:noProof/>
            <w:webHidden/>
          </w:rPr>
          <w:fldChar w:fldCharType="separate"/>
        </w:r>
        <w:r w:rsidR="002F538E">
          <w:rPr>
            <w:noProof/>
            <w:webHidden/>
          </w:rPr>
          <w:t>54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81" w:history="1">
        <w:r w:rsidR="00E2457B" w:rsidRPr="00E2457B">
          <w:rPr>
            <w:rStyle w:val="Hipercze"/>
            <w:rFonts w:ascii="Lato" w:hAnsi="Lato"/>
            <w:noProof/>
          </w:rPr>
          <w:t>Tabela 2</w:t>
        </w:r>
        <w:r w:rsidR="00E2457B" w:rsidRPr="00E2457B">
          <w:rPr>
            <w:rStyle w:val="Hipercze"/>
            <w:rFonts w:ascii="Lato" w:hAnsi="Lato"/>
            <w:noProof/>
          </w:rPr>
          <w:noBreakHyphen/>
          <w:t>15 Założenia do wyznaczenia emisji liniowej</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_Toc20219181 \h </w:instrText>
        </w:r>
        <w:r w:rsidR="00E2457B" w:rsidRPr="00E2457B">
          <w:rPr>
            <w:noProof/>
            <w:webHidden/>
          </w:rPr>
        </w:r>
        <w:r w:rsidR="00E2457B" w:rsidRPr="00E2457B">
          <w:rPr>
            <w:noProof/>
            <w:webHidden/>
          </w:rPr>
          <w:fldChar w:fldCharType="separate"/>
        </w:r>
        <w:r w:rsidR="002F538E">
          <w:rPr>
            <w:noProof/>
            <w:webHidden/>
          </w:rPr>
          <w:t>55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82" w:history="1">
        <w:r w:rsidR="00E2457B" w:rsidRPr="00E2457B">
          <w:rPr>
            <w:rStyle w:val="Hipercze"/>
            <w:rFonts w:ascii="Lato" w:hAnsi="Lato"/>
            <w:noProof/>
          </w:rPr>
          <w:t>Tabela 2</w:t>
        </w:r>
        <w:r w:rsidR="00E2457B" w:rsidRPr="00E2457B">
          <w:rPr>
            <w:rStyle w:val="Hipercze"/>
            <w:rFonts w:ascii="Lato" w:hAnsi="Lato"/>
            <w:noProof/>
          </w:rPr>
          <w:noBreakHyphen/>
          <w:t>16 Roczna emisja substancji szkodliwych do atmosfery ze środków transportu na terenie Gminy Pabianice, kg/rok</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_Toc20219182 \h </w:instrText>
        </w:r>
        <w:r w:rsidR="00E2457B" w:rsidRPr="00E2457B">
          <w:rPr>
            <w:noProof/>
            <w:webHidden/>
          </w:rPr>
        </w:r>
        <w:r w:rsidR="00E2457B" w:rsidRPr="00E2457B">
          <w:rPr>
            <w:noProof/>
            <w:webHidden/>
          </w:rPr>
          <w:fldChar w:fldCharType="separate"/>
        </w:r>
        <w:r w:rsidR="002F538E">
          <w:rPr>
            <w:noProof/>
            <w:webHidden/>
          </w:rPr>
          <w:t>56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83" w:history="1">
        <w:r w:rsidR="00E2457B" w:rsidRPr="00E2457B">
          <w:rPr>
            <w:rStyle w:val="Hipercze"/>
            <w:rFonts w:ascii="Lato" w:hAnsi="Lato"/>
            <w:noProof/>
          </w:rPr>
          <w:t>Tabela 2</w:t>
        </w:r>
        <w:r w:rsidR="00E2457B" w:rsidRPr="00E2457B">
          <w:rPr>
            <w:rStyle w:val="Hipercze"/>
            <w:rFonts w:ascii="Lato" w:hAnsi="Lato"/>
            <w:noProof/>
          </w:rPr>
          <w:noBreakHyphen/>
          <w:t>17 Roczna emisja dwutlenku węgla ze środków transportu na terenie Gminy Pabianice, kg/rok</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_Toc20219183 \h </w:instrText>
        </w:r>
        <w:r w:rsidR="00E2457B" w:rsidRPr="00E2457B">
          <w:rPr>
            <w:noProof/>
            <w:webHidden/>
          </w:rPr>
        </w:r>
        <w:r w:rsidR="00E2457B" w:rsidRPr="00E2457B">
          <w:rPr>
            <w:noProof/>
            <w:webHidden/>
          </w:rPr>
          <w:fldChar w:fldCharType="separate"/>
        </w:r>
        <w:r w:rsidR="002F538E">
          <w:rPr>
            <w:noProof/>
            <w:webHidden/>
          </w:rPr>
          <w:t>57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84" w:history="1">
        <w:r w:rsidR="00E2457B" w:rsidRPr="00E2457B">
          <w:rPr>
            <w:rStyle w:val="Hipercze"/>
            <w:rFonts w:ascii="Lato" w:hAnsi="Lato"/>
            <w:noProof/>
          </w:rPr>
          <w:t>Tabela 2</w:t>
        </w:r>
        <w:r w:rsidR="00E2457B" w:rsidRPr="00E2457B">
          <w:rPr>
            <w:rStyle w:val="Hipercze"/>
            <w:rFonts w:ascii="Lato" w:hAnsi="Lato"/>
            <w:noProof/>
          </w:rPr>
          <w:noBreakHyphen/>
          <w:t>18 Współczynniki toksyczności zanieczyszczeń</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_Toc20219184 \h </w:instrText>
        </w:r>
        <w:r w:rsidR="00E2457B" w:rsidRPr="00E2457B">
          <w:rPr>
            <w:noProof/>
            <w:webHidden/>
          </w:rPr>
        </w:r>
        <w:r w:rsidR="00E2457B" w:rsidRPr="00E2457B">
          <w:rPr>
            <w:noProof/>
            <w:webHidden/>
          </w:rPr>
          <w:fldChar w:fldCharType="separate"/>
        </w:r>
        <w:r w:rsidR="002F538E">
          <w:rPr>
            <w:noProof/>
            <w:webHidden/>
          </w:rPr>
          <w:t>58</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85" w:history="1">
        <w:r w:rsidR="00E2457B" w:rsidRPr="00E2457B">
          <w:rPr>
            <w:rStyle w:val="Hipercze"/>
            <w:rFonts w:ascii="Lato" w:hAnsi="Lato"/>
            <w:noProof/>
          </w:rPr>
          <w:t>Tabela 2</w:t>
        </w:r>
        <w:r w:rsidR="00E2457B" w:rsidRPr="00E2457B">
          <w:rPr>
            <w:rStyle w:val="Hipercze"/>
            <w:rFonts w:ascii="Lato" w:hAnsi="Lato"/>
            <w:noProof/>
          </w:rPr>
          <w:noBreakHyphen/>
          <w:t>19 Zestawienie zbiorcze emisji substancji do atmosfery z poszczególnych źródeł emisji na terenie Gminy Pabianice w 2018 roku</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_Toc20219185 \h </w:instrText>
        </w:r>
        <w:r w:rsidR="00E2457B" w:rsidRPr="00E2457B">
          <w:rPr>
            <w:noProof/>
            <w:webHidden/>
          </w:rPr>
        </w:r>
        <w:r w:rsidR="00E2457B" w:rsidRPr="00E2457B">
          <w:rPr>
            <w:noProof/>
            <w:webHidden/>
          </w:rPr>
          <w:fldChar w:fldCharType="separate"/>
        </w:r>
        <w:r w:rsidR="002F538E">
          <w:rPr>
            <w:noProof/>
            <w:webHidden/>
          </w:rPr>
          <w:t>58</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86" w:history="1">
        <w:r w:rsidR="00E2457B" w:rsidRPr="00E2457B">
          <w:rPr>
            <w:rStyle w:val="Hipercze"/>
            <w:rFonts w:ascii="Lato" w:hAnsi="Lato"/>
            <w:noProof/>
          </w:rPr>
          <w:t>Tabela 2</w:t>
        </w:r>
        <w:r w:rsidR="00E2457B" w:rsidRPr="00E2457B">
          <w:rPr>
            <w:rStyle w:val="Hipercze"/>
            <w:rFonts w:ascii="Lato" w:hAnsi="Lato"/>
            <w:noProof/>
          </w:rPr>
          <w:noBreakHyphen/>
          <w:t>20 Charakterystyka przykładowego obiektu jednorodzinnego</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_Toc20219186 \h </w:instrText>
        </w:r>
        <w:r w:rsidR="00E2457B" w:rsidRPr="00E2457B">
          <w:rPr>
            <w:noProof/>
            <w:webHidden/>
          </w:rPr>
        </w:r>
        <w:r w:rsidR="00E2457B" w:rsidRPr="00E2457B">
          <w:rPr>
            <w:noProof/>
            <w:webHidden/>
          </w:rPr>
          <w:fldChar w:fldCharType="separate"/>
        </w:r>
        <w:r w:rsidR="002F538E">
          <w:rPr>
            <w:noProof/>
            <w:webHidden/>
          </w:rPr>
          <w:t>60</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87" w:history="1">
        <w:r w:rsidR="00E2457B" w:rsidRPr="00E2457B">
          <w:rPr>
            <w:rStyle w:val="Hipercze"/>
            <w:rFonts w:ascii="Lato" w:hAnsi="Lato"/>
            <w:bCs/>
            <w:noProof/>
          </w:rPr>
          <w:t>Tabela 2</w:t>
        </w:r>
        <w:r w:rsidR="00E2457B" w:rsidRPr="00E2457B">
          <w:rPr>
            <w:rStyle w:val="Hipercze"/>
            <w:rFonts w:ascii="Lato" w:hAnsi="Lato"/>
            <w:bCs/>
            <w:noProof/>
          </w:rPr>
          <w:noBreakHyphen/>
          <w:t>21</w:t>
        </w:r>
        <w:r w:rsidR="00E2457B" w:rsidRPr="00E2457B">
          <w:rPr>
            <w:rStyle w:val="Hipercze"/>
            <w:rFonts w:ascii="Lato" w:hAnsi="Lato"/>
            <w:noProof/>
          </w:rPr>
          <w:t xml:space="preserve"> Roczne zużycie paliw na ogrzanie budynku indywidualnego z uwzględnieniem sprawności energetycznej urządzeń grzewczych oraz potencjał redukcji zużycia energii w wyniku zastosowania technologii alternatywnej do kotła węglowego komorowego</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_Toc20219187 \h </w:instrText>
        </w:r>
        <w:r w:rsidR="00E2457B" w:rsidRPr="00E2457B">
          <w:rPr>
            <w:noProof/>
            <w:webHidden/>
          </w:rPr>
        </w:r>
        <w:r w:rsidR="00E2457B" w:rsidRPr="00E2457B">
          <w:rPr>
            <w:noProof/>
            <w:webHidden/>
          </w:rPr>
          <w:fldChar w:fldCharType="separate"/>
        </w:r>
        <w:r w:rsidR="002F538E">
          <w:rPr>
            <w:noProof/>
            <w:webHidden/>
          </w:rPr>
          <w:t>61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88" w:history="1">
        <w:r w:rsidR="00E2457B" w:rsidRPr="00E2457B">
          <w:rPr>
            <w:rStyle w:val="Hipercze"/>
            <w:rFonts w:ascii="Lato" w:hAnsi="Lato"/>
            <w:bCs/>
            <w:noProof/>
            <w:spacing w:val="-2"/>
          </w:rPr>
          <w:t>Tabela 3</w:t>
        </w:r>
        <w:r w:rsidR="00E2457B" w:rsidRPr="00E2457B">
          <w:rPr>
            <w:rStyle w:val="Hipercze"/>
            <w:rFonts w:ascii="Lato" w:hAnsi="Lato"/>
            <w:bCs/>
            <w:noProof/>
            <w:spacing w:val="-2"/>
          </w:rPr>
          <w:noBreakHyphen/>
          <w:t>1 Potencjalne zasoby energii geotermalnej w Polsce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_Toc20219188 \h </w:instrText>
        </w:r>
        <w:r w:rsidR="00E2457B" w:rsidRPr="00E2457B">
          <w:rPr>
            <w:noProof/>
            <w:webHidden/>
          </w:rPr>
        </w:r>
        <w:r w:rsidR="00E2457B" w:rsidRPr="00E2457B">
          <w:rPr>
            <w:noProof/>
            <w:webHidden/>
          </w:rPr>
          <w:fldChar w:fldCharType="separate"/>
        </w:r>
        <w:r w:rsidR="002F538E">
          <w:rPr>
            <w:noProof/>
            <w:webHidden/>
          </w:rPr>
          <w:t>71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89" w:history="1">
        <w:r w:rsidR="00E2457B" w:rsidRPr="00E2457B">
          <w:rPr>
            <w:rStyle w:val="Hipercze"/>
            <w:rFonts w:ascii="Lato" w:hAnsi="Lato"/>
            <w:bCs/>
            <w:noProof/>
            <w:spacing w:val="-2"/>
          </w:rPr>
          <w:t>Tabela 3</w:t>
        </w:r>
        <w:r w:rsidR="00E2457B" w:rsidRPr="00E2457B">
          <w:rPr>
            <w:rStyle w:val="Hipercze"/>
            <w:rFonts w:ascii="Lato" w:hAnsi="Lato"/>
            <w:bCs/>
            <w:noProof/>
            <w:spacing w:val="-2"/>
          </w:rPr>
          <w:noBreakHyphen/>
          <w:t>2 Potencjał teoretyczny i techniczny energii zawartej w biomasie na terenie Gminy Pabianice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_Toc20219189 \h </w:instrText>
        </w:r>
        <w:r w:rsidR="00E2457B" w:rsidRPr="00E2457B">
          <w:rPr>
            <w:noProof/>
            <w:webHidden/>
          </w:rPr>
        </w:r>
        <w:r w:rsidR="00E2457B" w:rsidRPr="00E2457B">
          <w:rPr>
            <w:noProof/>
            <w:webHidden/>
          </w:rPr>
          <w:fldChar w:fldCharType="separate"/>
        </w:r>
        <w:r w:rsidR="002F538E">
          <w:rPr>
            <w:noProof/>
            <w:webHidden/>
          </w:rPr>
          <w:t>87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90" w:history="1">
        <w:r w:rsidR="00E2457B" w:rsidRPr="00E2457B">
          <w:rPr>
            <w:rStyle w:val="Hipercze"/>
            <w:rFonts w:ascii="Lato" w:hAnsi="Lato"/>
            <w:bCs/>
            <w:noProof/>
          </w:rPr>
          <w:t>Tabela 5</w:t>
        </w:r>
        <w:r w:rsidR="00E2457B" w:rsidRPr="00E2457B">
          <w:rPr>
            <w:rStyle w:val="Hipercze"/>
            <w:rFonts w:ascii="Lato" w:hAnsi="Lato"/>
            <w:bCs/>
            <w:noProof/>
          </w:rPr>
          <w:noBreakHyphen/>
          <w:t>1</w:t>
        </w:r>
        <w:r w:rsidR="00E2457B" w:rsidRPr="00E2457B">
          <w:rPr>
            <w:rStyle w:val="Hipercze"/>
            <w:rFonts w:ascii="Lato" w:hAnsi="Lato"/>
            <w:noProof/>
          </w:rPr>
          <w:t xml:space="preserve"> Zestawienie obszarów przyjętych w scenariuszu A do zagospodarowania do 2035</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_Toc20219190 \h </w:instrText>
        </w:r>
        <w:r w:rsidR="00E2457B" w:rsidRPr="00E2457B">
          <w:rPr>
            <w:noProof/>
            <w:webHidden/>
          </w:rPr>
        </w:r>
        <w:r w:rsidR="00E2457B" w:rsidRPr="00E2457B">
          <w:rPr>
            <w:noProof/>
            <w:webHidden/>
          </w:rPr>
          <w:fldChar w:fldCharType="separate"/>
        </w:r>
        <w:r w:rsidR="002F538E">
          <w:rPr>
            <w:noProof/>
            <w:webHidden/>
          </w:rPr>
          <w:t>93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91" w:history="1">
        <w:r w:rsidR="00E2457B" w:rsidRPr="00E2457B">
          <w:rPr>
            <w:rStyle w:val="Hipercze"/>
            <w:rFonts w:ascii="Lato" w:hAnsi="Lato"/>
            <w:bCs/>
            <w:noProof/>
          </w:rPr>
          <w:t>Tabela 5</w:t>
        </w:r>
        <w:r w:rsidR="00E2457B" w:rsidRPr="00E2457B">
          <w:rPr>
            <w:rStyle w:val="Hipercze"/>
            <w:rFonts w:ascii="Lato" w:hAnsi="Lato"/>
            <w:bCs/>
            <w:noProof/>
          </w:rPr>
          <w:noBreakHyphen/>
          <w:t>2 Zestawienie potrzeb energetycznych obszarów ujętych w scenariuszu A do 2035</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_Toc20219191 \h </w:instrText>
        </w:r>
        <w:r w:rsidR="00E2457B" w:rsidRPr="00E2457B">
          <w:rPr>
            <w:noProof/>
            <w:webHidden/>
          </w:rPr>
        </w:r>
        <w:r w:rsidR="00E2457B" w:rsidRPr="00E2457B">
          <w:rPr>
            <w:noProof/>
            <w:webHidden/>
          </w:rPr>
          <w:fldChar w:fldCharType="separate"/>
        </w:r>
        <w:r w:rsidR="002F538E">
          <w:rPr>
            <w:noProof/>
            <w:webHidden/>
          </w:rPr>
          <w:t>93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92" w:history="1">
        <w:r w:rsidR="00E2457B" w:rsidRPr="00E2457B">
          <w:rPr>
            <w:rStyle w:val="Hipercze"/>
            <w:rFonts w:ascii="Lato" w:hAnsi="Lato"/>
            <w:bCs/>
            <w:noProof/>
          </w:rPr>
          <w:t>Tabela 5</w:t>
        </w:r>
        <w:r w:rsidR="00E2457B" w:rsidRPr="00E2457B">
          <w:rPr>
            <w:rStyle w:val="Hipercze"/>
            <w:rFonts w:ascii="Lato" w:hAnsi="Lato"/>
            <w:bCs/>
            <w:noProof/>
          </w:rPr>
          <w:noBreakHyphen/>
          <w:t>3</w:t>
        </w:r>
        <w:r w:rsidR="00E2457B" w:rsidRPr="00E2457B">
          <w:rPr>
            <w:rStyle w:val="Hipercze"/>
            <w:rFonts w:ascii="Lato" w:hAnsi="Lato"/>
            <w:noProof/>
          </w:rPr>
          <w:t xml:space="preserve"> Zestawienie obszarów przyjętych w scenariuszu B do zagospodarowania do 2035</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_Toc20219192 \h </w:instrText>
        </w:r>
        <w:r w:rsidR="00E2457B" w:rsidRPr="00E2457B">
          <w:rPr>
            <w:noProof/>
            <w:webHidden/>
          </w:rPr>
        </w:r>
        <w:r w:rsidR="00E2457B" w:rsidRPr="00E2457B">
          <w:rPr>
            <w:noProof/>
            <w:webHidden/>
          </w:rPr>
          <w:fldChar w:fldCharType="separate"/>
        </w:r>
        <w:r w:rsidR="002F538E">
          <w:rPr>
            <w:noProof/>
            <w:webHidden/>
          </w:rPr>
          <w:t>94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93" w:history="1">
        <w:r w:rsidR="00E2457B" w:rsidRPr="00E2457B">
          <w:rPr>
            <w:rStyle w:val="Hipercze"/>
            <w:rFonts w:ascii="Lato" w:hAnsi="Lato"/>
            <w:bCs/>
            <w:noProof/>
          </w:rPr>
          <w:t>Tabela 5</w:t>
        </w:r>
        <w:r w:rsidR="00E2457B" w:rsidRPr="00E2457B">
          <w:rPr>
            <w:rStyle w:val="Hipercze"/>
            <w:rFonts w:ascii="Lato" w:hAnsi="Lato"/>
            <w:bCs/>
            <w:noProof/>
          </w:rPr>
          <w:noBreakHyphen/>
          <w:t>4</w:t>
        </w:r>
        <w:r w:rsidR="00E2457B" w:rsidRPr="00E2457B">
          <w:rPr>
            <w:rStyle w:val="Hipercze"/>
            <w:rFonts w:ascii="Lato" w:hAnsi="Lato"/>
            <w:noProof/>
          </w:rPr>
          <w:t xml:space="preserve"> Zestawienie potrzeb energetycznych obszarów ujętych w scenariuszu B do 2035</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_Toc20219193 \h </w:instrText>
        </w:r>
        <w:r w:rsidR="00E2457B" w:rsidRPr="00E2457B">
          <w:rPr>
            <w:noProof/>
            <w:webHidden/>
          </w:rPr>
        </w:r>
        <w:r w:rsidR="00E2457B" w:rsidRPr="00E2457B">
          <w:rPr>
            <w:noProof/>
            <w:webHidden/>
          </w:rPr>
          <w:fldChar w:fldCharType="separate"/>
        </w:r>
        <w:r w:rsidR="002F538E">
          <w:rPr>
            <w:noProof/>
            <w:webHidden/>
          </w:rPr>
          <w:t>94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94" w:history="1">
        <w:r w:rsidR="00E2457B" w:rsidRPr="00E2457B">
          <w:rPr>
            <w:rStyle w:val="Hipercze"/>
            <w:rFonts w:ascii="Lato" w:hAnsi="Lato"/>
            <w:bCs/>
            <w:noProof/>
          </w:rPr>
          <w:t>Tabela 5</w:t>
        </w:r>
        <w:r w:rsidR="00E2457B" w:rsidRPr="00E2457B">
          <w:rPr>
            <w:rStyle w:val="Hipercze"/>
            <w:rFonts w:ascii="Lato" w:hAnsi="Lato"/>
            <w:bCs/>
            <w:noProof/>
          </w:rPr>
          <w:noBreakHyphen/>
          <w:t>5</w:t>
        </w:r>
        <w:r w:rsidR="00E2457B" w:rsidRPr="00E2457B">
          <w:rPr>
            <w:rStyle w:val="Hipercze"/>
            <w:rFonts w:ascii="Lato" w:hAnsi="Lato"/>
            <w:noProof/>
          </w:rPr>
          <w:t xml:space="preserve"> Zestawienie obszarów przyjętych w scenariuszu C do zagospodarowania do 2035</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_Toc20219194 \h </w:instrText>
        </w:r>
        <w:r w:rsidR="00E2457B" w:rsidRPr="00E2457B">
          <w:rPr>
            <w:noProof/>
            <w:webHidden/>
          </w:rPr>
        </w:r>
        <w:r w:rsidR="00E2457B" w:rsidRPr="00E2457B">
          <w:rPr>
            <w:noProof/>
            <w:webHidden/>
          </w:rPr>
          <w:fldChar w:fldCharType="separate"/>
        </w:r>
        <w:r w:rsidR="002F538E">
          <w:rPr>
            <w:noProof/>
            <w:webHidden/>
          </w:rPr>
          <w:t>95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95" w:history="1">
        <w:r w:rsidR="00E2457B" w:rsidRPr="00E2457B">
          <w:rPr>
            <w:rStyle w:val="Hipercze"/>
            <w:rFonts w:ascii="Lato" w:hAnsi="Lato"/>
            <w:bCs/>
            <w:noProof/>
          </w:rPr>
          <w:t>Tabela 5</w:t>
        </w:r>
        <w:r w:rsidR="00E2457B" w:rsidRPr="00E2457B">
          <w:rPr>
            <w:rStyle w:val="Hipercze"/>
            <w:rFonts w:ascii="Lato" w:hAnsi="Lato"/>
            <w:bCs/>
            <w:noProof/>
          </w:rPr>
          <w:noBreakHyphen/>
          <w:t>6</w:t>
        </w:r>
        <w:r w:rsidR="00E2457B" w:rsidRPr="00E2457B">
          <w:rPr>
            <w:rStyle w:val="Hipercze"/>
            <w:rFonts w:ascii="Lato" w:hAnsi="Lato"/>
            <w:noProof/>
          </w:rPr>
          <w:t xml:space="preserve"> Zestawienie potrzeb energetycznych obszarów ujętych w scenariuszu C do 2035</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_Toc20219195 \h </w:instrText>
        </w:r>
        <w:r w:rsidR="00E2457B" w:rsidRPr="00E2457B">
          <w:rPr>
            <w:noProof/>
            <w:webHidden/>
          </w:rPr>
        </w:r>
        <w:r w:rsidR="00E2457B" w:rsidRPr="00E2457B">
          <w:rPr>
            <w:noProof/>
            <w:webHidden/>
          </w:rPr>
          <w:fldChar w:fldCharType="separate"/>
        </w:r>
        <w:r w:rsidR="002F538E">
          <w:rPr>
            <w:noProof/>
            <w:webHidden/>
          </w:rPr>
          <w:t>95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96" w:history="1">
        <w:r w:rsidR="00E2457B" w:rsidRPr="00E2457B">
          <w:rPr>
            <w:rStyle w:val="Hipercze"/>
            <w:rFonts w:ascii="Lato" w:hAnsi="Lato"/>
            <w:bCs/>
            <w:noProof/>
          </w:rPr>
          <w:t>Tabela 5</w:t>
        </w:r>
        <w:r w:rsidR="00E2457B" w:rsidRPr="00E2457B">
          <w:rPr>
            <w:rStyle w:val="Hipercze"/>
            <w:rFonts w:ascii="Lato" w:hAnsi="Lato"/>
            <w:bCs/>
            <w:noProof/>
          </w:rPr>
          <w:noBreakHyphen/>
          <w:t>7</w:t>
        </w:r>
        <w:r w:rsidR="00E2457B" w:rsidRPr="00E2457B">
          <w:rPr>
            <w:rStyle w:val="Hipercze"/>
            <w:rFonts w:ascii="Lato" w:hAnsi="Lato"/>
            <w:noProof/>
          </w:rPr>
          <w:t xml:space="preserve"> Zestawienie zmian wskaźników zapotrzebowania na ciepło budynków mieszkalnych istniejących i nowo wznoszonych w poszczególnych scenariuszach do roku 2035</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_Toc20219196 \h </w:instrText>
        </w:r>
        <w:r w:rsidR="00E2457B" w:rsidRPr="00E2457B">
          <w:rPr>
            <w:noProof/>
            <w:webHidden/>
          </w:rPr>
        </w:r>
        <w:r w:rsidR="00E2457B" w:rsidRPr="00E2457B">
          <w:rPr>
            <w:noProof/>
            <w:webHidden/>
          </w:rPr>
          <w:fldChar w:fldCharType="separate"/>
        </w:r>
        <w:r w:rsidR="002F538E">
          <w:rPr>
            <w:noProof/>
            <w:webHidden/>
          </w:rPr>
          <w:t>95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97" w:history="1">
        <w:r w:rsidR="00E2457B" w:rsidRPr="00E2457B">
          <w:rPr>
            <w:rStyle w:val="Hipercze"/>
            <w:rFonts w:ascii="Lato" w:hAnsi="Lato"/>
            <w:bCs/>
            <w:noProof/>
          </w:rPr>
          <w:t>Tabela 5</w:t>
        </w:r>
        <w:r w:rsidR="00E2457B" w:rsidRPr="00E2457B">
          <w:rPr>
            <w:rStyle w:val="Hipercze"/>
            <w:rFonts w:ascii="Lato" w:hAnsi="Lato"/>
            <w:bCs/>
            <w:noProof/>
          </w:rPr>
          <w:noBreakHyphen/>
          <w:t>8</w:t>
        </w:r>
        <w:r w:rsidR="00E2457B" w:rsidRPr="00E2457B">
          <w:rPr>
            <w:rStyle w:val="Hipercze"/>
            <w:rFonts w:ascii="Lato" w:hAnsi="Lato"/>
            <w:noProof/>
          </w:rPr>
          <w:t xml:space="preserve"> Wskaźniki rozwoju nowobudowanego mieszkalnictwa w Gminie Pabianice dla poszczególnych scenariuszy</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_Toc20219197 \h </w:instrText>
        </w:r>
        <w:r w:rsidR="00E2457B" w:rsidRPr="00E2457B">
          <w:rPr>
            <w:noProof/>
            <w:webHidden/>
          </w:rPr>
        </w:r>
        <w:r w:rsidR="00E2457B" w:rsidRPr="00E2457B">
          <w:rPr>
            <w:noProof/>
            <w:webHidden/>
          </w:rPr>
          <w:fldChar w:fldCharType="separate"/>
        </w:r>
        <w:r w:rsidR="002F538E">
          <w:rPr>
            <w:noProof/>
            <w:webHidden/>
          </w:rPr>
          <w:t>96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98" w:history="1">
        <w:r w:rsidR="00E2457B" w:rsidRPr="00E2457B">
          <w:rPr>
            <w:rStyle w:val="Hipercze"/>
            <w:rFonts w:ascii="Lato" w:hAnsi="Lato"/>
            <w:bCs/>
            <w:noProof/>
          </w:rPr>
          <w:t>Tabela 5</w:t>
        </w:r>
        <w:r w:rsidR="00E2457B" w:rsidRPr="00E2457B">
          <w:rPr>
            <w:rStyle w:val="Hipercze"/>
            <w:rFonts w:ascii="Lato" w:hAnsi="Lato"/>
            <w:bCs/>
            <w:noProof/>
          </w:rPr>
          <w:noBreakHyphen/>
          <w:t>9</w:t>
        </w:r>
        <w:r w:rsidR="00E2457B" w:rsidRPr="00E2457B">
          <w:rPr>
            <w:rStyle w:val="Hipercze"/>
            <w:rFonts w:ascii="Lato" w:hAnsi="Lato"/>
            <w:noProof/>
          </w:rPr>
          <w:t xml:space="preserve"> Zestawienie prognoz zużycia nośników energii na obszarze Gminy Pabianice - scenariusz A – „Pasywny”</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_Toc20219198 \h </w:instrText>
        </w:r>
        <w:r w:rsidR="00E2457B" w:rsidRPr="00E2457B">
          <w:rPr>
            <w:noProof/>
            <w:webHidden/>
          </w:rPr>
        </w:r>
        <w:r w:rsidR="00E2457B" w:rsidRPr="00E2457B">
          <w:rPr>
            <w:noProof/>
            <w:webHidden/>
          </w:rPr>
          <w:fldChar w:fldCharType="separate"/>
        </w:r>
        <w:r w:rsidR="002F538E">
          <w:rPr>
            <w:noProof/>
            <w:webHidden/>
          </w:rPr>
          <w:t>99</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199" w:history="1">
        <w:r w:rsidR="00E2457B" w:rsidRPr="00E2457B">
          <w:rPr>
            <w:rStyle w:val="Hipercze"/>
            <w:rFonts w:ascii="Lato" w:hAnsi="Lato"/>
            <w:noProof/>
          </w:rPr>
          <w:t>Tabela 5</w:t>
        </w:r>
        <w:r w:rsidR="00E2457B" w:rsidRPr="00E2457B">
          <w:rPr>
            <w:rStyle w:val="Hipercze"/>
            <w:rFonts w:ascii="Lato" w:hAnsi="Lato"/>
            <w:noProof/>
          </w:rPr>
          <w:noBreakHyphen/>
          <w:t>10 Zestawienie prognoz zużycia nośników energii na obszarze Gminy Pabianice – scenariusz B – „</w:t>
        </w:r>
        <w:r w:rsidR="00E2457B" w:rsidRPr="00E2457B">
          <w:rPr>
            <w:rStyle w:val="Hipercze"/>
            <w:rFonts w:ascii="Lato" w:hAnsi="Lato"/>
            <w:noProof/>
            <w:spacing w:val="-2"/>
            <w:lang w:val="x-none" w:eastAsia="x-none"/>
          </w:rPr>
          <w:t>Umiarkowany”</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_Toc20219199 \h </w:instrText>
        </w:r>
        <w:r w:rsidR="00E2457B" w:rsidRPr="00E2457B">
          <w:rPr>
            <w:noProof/>
            <w:webHidden/>
          </w:rPr>
        </w:r>
        <w:r w:rsidR="00E2457B" w:rsidRPr="00E2457B">
          <w:rPr>
            <w:noProof/>
            <w:webHidden/>
          </w:rPr>
          <w:fldChar w:fldCharType="separate"/>
        </w:r>
        <w:r w:rsidR="002F538E">
          <w:rPr>
            <w:noProof/>
            <w:webHidden/>
          </w:rPr>
          <w:t>100</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00" w:history="1">
        <w:r w:rsidR="00E2457B" w:rsidRPr="00E2457B">
          <w:rPr>
            <w:rStyle w:val="Hipercze"/>
            <w:rFonts w:ascii="Lato" w:hAnsi="Lato"/>
            <w:noProof/>
          </w:rPr>
          <w:t>Tabela 5</w:t>
        </w:r>
        <w:r w:rsidR="00E2457B" w:rsidRPr="00E2457B">
          <w:rPr>
            <w:rStyle w:val="Hipercze"/>
            <w:rFonts w:ascii="Lato" w:hAnsi="Lato"/>
            <w:noProof/>
          </w:rPr>
          <w:noBreakHyphen/>
          <w:t>11 Zestawienie prognoz zużycia nośników energii na obszarze Gminy Pabianice – scenariusz C – „Aktywny”</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_Toc20219200 \h </w:instrText>
        </w:r>
        <w:r w:rsidR="00E2457B" w:rsidRPr="00E2457B">
          <w:rPr>
            <w:noProof/>
            <w:webHidden/>
          </w:rPr>
        </w:r>
        <w:r w:rsidR="00E2457B" w:rsidRPr="00E2457B">
          <w:rPr>
            <w:noProof/>
            <w:webHidden/>
          </w:rPr>
          <w:fldChar w:fldCharType="separate"/>
        </w:r>
        <w:r w:rsidR="002F538E">
          <w:rPr>
            <w:noProof/>
            <w:webHidden/>
          </w:rPr>
          <w:t>101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01" w:history="1">
        <w:r w:rsidR="00E2457B" w:rsidRPr="00E2457B">
          <w:rPr>
            <w:rStyle w:val="Hipercze"/>
            <w:rFonts w:ascii="Lato" w:hAnsi="Lato"/>
            <w:noProof/>
          </w:rPr>
          <w:t>Tabela 5</w:t>
        </w:r>
        <w:r w:rsidR="00E2457B" w:rsidRPr="00E2457B">
          <w:rPr>
            <w:rStyle w:val="Hipercze"/>
            <w:rFonts w:ascii="Lato" w:hAnsi="Lato"/>
            <w:noProof/>
          </w:rPr>
          <w:noBreakHyphen/>
          <w:t>12 Zestawienie terenów przeznaczonych pod inwestycje (wg Studium Uwarunkowań i Kierunków Zagospodarowania Przestrzennego)</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_Toc20219201 \h </w:instrText>
        </w:r>
        <w:r w:rsidR="00E2457B" w:rsidRPr="00E2457B">
          <w:rPr>
            <w:noProof/>
            <w:webHidden/>
          </w:rPr>
        </w:r>
        <w:r w:rsidR="00E2457B" w:rsidRPr="00E2457B">
          <w:rPr>
            <w:noProof/>
            <w:webHidden/>
          </w:rPr>
          <w:fldChar w:fldCharType="separate"/>
        </w:r>
        <w:r w:rsidR="002F538E">
          <w:rPr>
            <w:noProof/>
            <w:webHidden/>
          </w:rPr>
          <w:t>103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02" w:history="1">
        <w:r w:rsidR="00E2457B" w:rsidRPr="00E2457B">
          <w:rPr>
            <w:rStyle w:val="Hipercze"/>
            <w:rFonts w:ascii="Lato" w:hAnsi="Lato"/>
            <w:bCs/>
            <w:noProof/>
          </w:rPr>
          <w:t>Tabela 5</w:t>
        </w:r>
        <w:r w:rsidR="00E2457B" w:rsidRPr="00E2457B">
          <w:rPr>
            <w:rStyle w:val="Hipercze"/>
            <w:rFonts w:ascii="Lato" w:hAnsi="Lato"/>
            <w:bCs/>
            <w:noProof/>
          </w:rPr>
          <w:noBreakHyphen/>
          <w:t>13</w:t>
        </w:r>
        <w:r w:rsidR="00E2457B" w:rsidRPr="00E2457B">
          <w:rPr>
            <w:rStyle w:val="Hipercze"/>
            <w:rFonts w:ascii="Lato" w:hAnsi="Lato"/>
            <w:noProof/>
          </w:rPr>
          <w:t xml:space="preserve"> Sumaryczne zestawienie potrzeb energetycznych dla terenów przeznaczonych do zagospodarowania na terenie Gminy Pabianice - dla scenariusza B</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_Toc20219202 \h </w:instrText>
        </w:r>
        <w:r w:rsidR="00E2457B" w:rsidRPr="00E2457B">
          <w:rPr>
            <w:noProof/>
            <w:webHidden/>
          </w:rPr>
        </w:r>
        <w:r w:rsidR="00E2457B" w:rsidRPr="00E2457B">
          <w:rPr>
            <w:noProof/>
            <w:webHidden/>
          </w:rPr>
          <w:fldChar w:fldCharType="separate"/>
        </w:r>
        <w:r w:rsidR="002F538E">
          <w:rPr>
            <w:noProof/>
            <w:webHidden/>
          </w:rPr>
          <w:t>104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03" w:history="1">
        <w:r w:rsidR="00E2457B" w:rsidRPr="00E2457B">
          <w:rPr>
            <w:rStyle w:val="Hipercze"/>
            <w:rFonts w:ascii="Lato" w:hAnsi="Lato"/>
            <w:bCs/>
            <w:noProof/>
          </w:rPr>
          <w:t>Tabela 6</w:t>
        </w:r>
        <w:r w:rsidR="00E2457B" w:rsidRPr="00E2457B">
          <w:rPr>
            <w:rStyle w:val="Hipercze"/>
            <w:rFonts w:ascii="Lato" w:hAnsi="Lato"/>
            <w:bCs/>
            <w:noProof/>
          </w:rPr>
          <w:noBreakHyphen/>
          <w:t>1</w:t>
        </w:r>
        <w:r w:rsidR="00E2457B" w:rsidRPr="00E2457B">
          <w:rPr>
            <w:rStyle w:val="Hipercze"/>
            <w:rFonts w:ascii="Lato" w:hAnsi="Lato"/>
            <w:noProof/>
          </w:rPr>
          <w:t xml:space="preserve"> Wykaz obiektów z pełnym zakresem danych</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_Toc20219203 \h </w:instrText>
        </w:r>
        <w:r w:rsidR="00E2457B" w:rsidRPr="00E2457B">
          <w:rPr>
            <w:noProof/>
            <w:webHidden/>
          </w:rPr>
        </w:r>
        <w:r w:rsidR="00E2457B" w:rsidRPr="00E2457B">
          <w:rPr>
            <w:noProof/>
            <w:webHidden/>
          </w:rPr>
          <w:fldChar w:fldCharType="separate"/>
        </w:r>
        <w:r w:rsidR="002F538E">
          <w:rPr>
            <w:noProof/>
            <w:webHidden/>
          </w:rPr>
          <w:t>106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04" w:history="1">
        <w:r w:rsidR="00E2457B" w:rsidRPr="00E2457B">
          <w:rPr>
            <w:rStyle w:val="Hipercze"/>
            <w:rFonts w:ascii="Lato" w:hAnsi="Lato"/>
            <w:bCs/>
            <w:noProof/>
          </w:rPr>
          <w:t>Tabela 6</w:t>
        </w:r>
        <w:r w:rsidR="00E2457B" w:rsidRPr="00E2457B">
          <w:rPr>
            <w:rStyle w:val="Hipercze"/>
            <w:rFonts w:ascii="Lato" w:hAnsi="Lato"/>
            <w:bCs/>
            <w:noProof/>
          </w:rPr>
          <w:noBreakHyphen/>
          <w:t xml:space="preserve">2 </w:t>
        </w:r>
        <w:r w:rsidR="00E2457B" w:rsidRPr="00E2457B">
          <w:rPr>
            <w:rStyle w:val="Hipercze"/>
            <w:rFonts w:ascii="Lato" w:hAnsi="Lato"/>
            <w:noProof/>
          </w:rPr>
          <w:t>Struktura kosztów w grupie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_Toc20219204 \h </w:instrText>
        </w:r>
        <w:r w:rsidR="00E2457B" w:rsidRPr="00E2457B">
          <w:rPr>
            <w:noProof/>
            <w:webHidden/>
          </w:rPr>
        </w:r>
        <w:r w:rsidR="00E2457B" w:rsidRPr="00E2457B">
          <w:rPr>
            <w:noProof/>
            <w:webHidden/>
          </w:rPr>
          <w:fldChar w:fldCharType="separate"/>
        </w:r>
        <w:r w:rsidR="002F538E">
          <w:rPr>
            <w:noProof/>
            <w:webHidden/>
          </w:rPr>
          <w:t>107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05" w:history="1">
        <w:r w:rsidR="00E2457B" w:rsidRPr="00E2457B">
          <w:rPr>
            <w:rStyle w:val="Hipercze"/>
            <w:rFonts w:ascii="Lato" w:hAnsi="Lato"/>
            <w:bCs/>
            <w:noProof/>
          </w:rPr>
          <w:t>Tabela 6</w:t>
        </w:r>
        <w:r w:rsidR="00E2457B" w:rsidRPr="00E2457B">
          <w:rPr>
            <w:rStyle w:val="Hipercze"/>
            <w:rFonts w:ascii="Lato" w:hAnsi="Lato"/>
            <w:bCs/>
            <w:noProof/>
          </w:rPr>
          <w:noBreakHyphen/>
          <w:t xml:space="preserve">3 </w:t>
        </w:r>
        <w:r w:rsidR="00E2457B" w:rsidRPr="00E2457B">
          <w:rPr>
            <w:rStyle w:val="Hipercze"/>
            <w:rFonts w:ascii="Lato" w:hAnsi="Lato"/>
            <w:noProof/>
          </w:rPr>
          <w:t>Struktura zużycia paliw i energii w analizowanej grupie obiektów</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_Toc20219205 \h </w:instrText>
        </w:r>
        <w:r w:rsidR="00E2457B" w:rsidRPr="00E2457B">
          <w:rPr>
            <w:noProof/>
            <w:webHidden/>
          </w:rPr>
        </w:r>
        <w:r w:rsidR="00E2457B" w:rsidRPr="00E2457B">
          <w:rPr>
            <w:noProof/>
            <w:webHidden/>
          </w:rPr>
          <w:fldChar w:fldCharType="separate"/>
        </w:r>
        <w:r w:rsidR="002F538E">
          <w:rPr>
            <w:noProof/>
            <w:webHidden/>
          </w:rPr>
          <w:t>109</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06" w:history="1">
        <w:r w:rsidR="00E2457B" w:rsidRPr="00E2457B">
          <w:rPr>
            <w:rStyle w:val="Hipercze"/>
            <w:rFonts w:ascii="Lato" w:hAnsi="Lato"/>
            <w:bCs/>
            <w:noProof/>
          </w:rPr>
          <w:t>Tabela 6</w:t>
        </w:r>
        <w:r w:rsidR="00E2457B" w:rsidRPr="00E2457B">
          <w:rPr>
            <w:rStyle w:val="Hipercze"/>
            <w:rFonts w:ascii="Lato" w:hAnsi="Lato"/>
            <w:bCs/>
            <w:noProof/>
          </w:rPr>
          <w:noBreakHyphen/>
          <w:t>4 Zużycie i koszty energii elektrycznej w analizowanej grupie obiektów w roku 2018</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_Toc20219206 \h </w:instrText>
        </w:r>
        <w:r w:rsidR="00E2457B" w:rsidRPr="00E2457B">
          <w:rPr>
            <w:noProof/>
            <w:webHidden/>
          </w:rPr>
        </w:r>
        <w:r w:rsidR="00E2457B" w:rsidRPr="00E2457B">
          <w:rPr>
            <w:noProof/>
            <w:webHidden/>
          </w:rPr>
          <w:fldChar w:fldCharType="separate"/>
        </w:r>
        <w:r w:rsidR="002F538E">
          <w:rPr>
            <w:noProof/>
            <w:webHidden/>
          </w:rPr>
          <w:t>111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07" w:history="1">
        <w:r w:rsidR="00E2457B" w:rsidRPr="00E2457B">
          <w:rPr>
            <w:rStyle w:val="Hipercze"/>
            <w:rFonts w:ascii="Lato" w:hAnsi="Lato"/>
            <w:bCs/>
            <w:noProof/>
          </w:rPr>
          <w:t>Tabela 6</w:t>
        </w:r>
        <w:r w:rsidR="00E2457B" w:rsidRPr="00E2457B">
          <w:rPr>
            <w:rStyle w:val="Hipercze"/>
            <w:rFonts w:ascii="Lato" w:hAnsi="Lato"/>
            <w:bCs/>
            <w:noProof/>
          </w:rPr>
          <w:noBreakHyphen/>
          <w:t>5 Zużycie i koszty ciepła w analizowanej grupie obiektów w roku 2018</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_Toc20219207 \h </w:instrText>
        </w:r>
        <w:r w:rsidR="00E2457B" w:rsidRPr="00E2457B">
          <w:rPr>
            <w:noProof/>
            <w:webHidden/>
          </w:rPr>
        </w:r>
        <w:r w:rsidR="00E2457B" w:rsidRPr="00E2457B">
          <w:rPr>
            <w:noProof/>
            <w:webHidden/>
          </w:rPr>
          <w:fldChar w:fldCharType="separate"/>
        </w:r>
        <w:r w:rsidR="002F538E">
          <w:rPr>
            <w:noProof/>
            <w:webHidden/>
          </w:rPr>
          <w:t>114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08" w:history="1">
        <w:r w:rsidR="00E2457B" w:rsidRPr="00E2457B">
          <w:rPr>
            <w:rStyle w:val="Hipercze"/>
            <w:rFonts w:ascii="Lato" w:hAnsi="Lato"/>
            <w:bCs/>
            <w:noProof/>
          </w:rPr>
          <w:t>Tabela 6</w:t>
        </w:r>
        <w:r w:rsidR="00E2457B" w:rsidRPr="00E2457B">
          <w:rPr>
            <w:rStyle w:val="Hipercze"/>
            <w:rFonts w:ascii="Lato" w:hAnsi="Lato"/>
            <w:bCs/>
            <w:noProof/>
          </w:rPr>
          <w:noBreakHyphen/>
          <w:t xml:space="preserve">6 </w:t>
        </w:r>
        <w:r w:rsidR="00E2457B" w:rsidRPr="00E2457B">
          <w:rPr>
            <w:rStyle w:val="Hipercze"/>
            <w:rFonts w:ascii="Lato" w:hAnsi="Lato"/>
            <w:noProof/>
          </w:rPr>
          <w:t>Klasyfikacja obiektów do poszczególnych gryp priorytetowych</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_Toc20219208 \h </w:instrText>
        </w:r>
        <w:r w:rsidR="00E2457B" w:rsidRPr="00E2457B">
          <w:rPr>
            <w:noProof/>
            <w:webHidden/>
          </w:rPr>
        </w:r>
        <w:r w:rsidR="00E2457B" w:rsidRPr="00E2457B">
          <w:rPr>
            <w:noProof/>
            <w:webHidden/>
          </w:rPr>
          <w:fldChar w:fldCharType="separate"/>
        </w:r>
        <w:r w:rsidR="002F538E">
          <w:rPr>
            <w:noProof/>
            <w:webHidden/>
          </w:rPr>
          <w:t>120</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09" w:history="1">
        <w:r w:rsidR="00E2457B" w:rsidRPr="00E2457B">
          <w:rPr>
            <w:rStyle w:val="Hipercze"/>
            <w:rFonts w:ascii="Lato" w:hAnsi="Lato"/>
            <w:bCs/>
            <w:noProof/>
          </w:rPr>
          <w:t>Tabela 6</w:t>
        </w:r>
        <w:r w:rsidR="00E2457B" w:rsidRPr="00E2457B">
          <w:rPr>
            <w:rStyle w:val="Hipercze"/>
            <w:rFonts w:ascii="Lato" w:hAnsi="Lato"/>
            <w:bCs/>
            <w:noProof/>
          </w:rPr>
          <w:noBreakHyphen/>
          <w:t>7 Zestawienie możliwych do osiągnięcia oszczędności zużycia ciepła w stosunku do stanu przed termomodernizacją dla różnych przedsięwzięć termomodernizacyjnych</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_Toc20219209 \h </w:instrText>
        </w:r>
        <w:r w:rsidR="00E2457B" w:rsidRPr="00E2457B">
          <w:rPr>
            <w:noProof/>
            <w:webHidden/>
          </w:rPr>
        </w:r>
        <w:r w:rsidR="00E2457B" w:rsidRPr="00E2457B">
          <w:rPr>
            <w:noProof/>
            <w:webHidden/>
          </w:rPr>
          <w:fldChar w:fldCharType="separate"/>
        </w:r>
        <w:r w:rsidR="002F538E">
          <w:rPr>
            <w:noProof/>
            <w:webHidden/>
          </w:rPr>
          <w:t>129</w:t>
        </w:r>
        <w:r w:rsidR="00E2457B" w:rsidRPr="00E2457B">
          <w:rPr>
            <w:noProof/>
            <w:webHidden/>
          </w:rPr>
          <w:fldChar w:fldCharType="end"/>
        </w:r>
      </w:hyperlink>
    </w:p>
    <w:p w:rsidR="00BF18AC" w:rsidRPr="00D352C4" w:rsidRDefault="004042AE" w:rsidP="0050013E">
      <w:pPr>
        <w:spacing w:line="480" w:lineRule="auto"/>
        <w:rPr>
          <w:rFonts w:ascii="Lato" w:hAnsi="Lato"/>
          <w:highlight w:val="yellow"/>
        </w:rPr>
      </w:pPr>
      <w:r w:rsidRPr="00D352C4">
        <w:rPr>
          <w:rFonts w:ascii="Lato" w:hAnsi="Lato"/>
          <w:highlight w:val="yellow"/>
        </w:rPr>
        <w:fldChar w:fldCharType="end"/>
      </w:r>
      <w:bookmarkStart w:id="22" w:name="_Toc281999171"/>
    </w:p>
    <w:p w:rsidR="0050013E" w:rsidRPr="00190648" w:rsidRDefault="0050013E" w:rsidP="007650B6">
      <w:pPr>
        <w:spacing w:line="480" w:lineRule="auto"/>
        <w:ind w:firstLine="0"/>
        <w:rPr>
          <w:rFonts w:ascii="Lato" w:hAnsi="Lato"/>
          <w:bCs/>
          <w:iCs/>
          <w:color w:val="365F91"/>
          <w:sz w:val="24"/>
        </w:rPr>
      </w:pPr>
      <w:r w:rsidRPr="00190648">
        <w:rPr>
          <w:rFonts w:ascii="Lato" w:hAnsi="Lato"/>
          <w:bCs/>
          <w:iCs/>
          <w:color w:val="365F91"/>
          <w:sz w:val="24"/>
        </w:rPr>
        <w:t>SPIS RYSUNKÓW</w:t>
      </w:r>
      <w:bookmarkEnd w:id="22"/>
    </w:p>
    <w:p w:rsidR="00E2457B" w:rsidRPr="00E2457B" w:rsidRDefault="004042AE">
      <w:pPr>
        <w:pStyle w:val="Spisilustracji"/>
        <w:tabs>
          <w:tab w:val="right" w:leader="dot" w:pos="9855"/>
        </w:tabs>
        <w:rPr>
          <w:rFonts w:asciiTheme="minorHAnsi" w:eastAsiaTheme="minorEastAsia" w:hAnsiTheme="minorHAnsi" w:cstheme="minorBidi"/>
          <w:smallCaps w:val="0"/>
          <w:noProof/>
          <w:sz w:val="22"/>
          <w:szCs w:val="22"/>
        </w:rPr>
      </w:pPr>
      <w:r w:rsidRPr="00E2457B">
        <w:rPr>
          <w:rFonts w:ascii="Lato" w:hAnsi="Lato"/>
          <w:highlight w:val="yellow"/>
        </w:rPr>
        <w:fldChar w:fldCharType="begin"/>
      </w:r>
      <w:r w:rsidR="0050013E" w:rsidRPr="00E2457B">
        <w:rPr>
          <w:rFonts w:ascii="Lato" w:hAnsi="Lato"/>
          <w:highlight w:val="yellow"/>
        </w:rPr>
        <w:instrText xml:space="preserve"> TOC \h \z \c "Rysunek" </w:instrText>
      </w:r>
      <w:r w:rsidRPr="00E2457B">
        <w:rPr>
          <w:rFonts w:ascii="Lato" w:hAnsi="Lato"/>
          <w:highlight w:val="yellow"/>
        </w:rPr>
        <w:fldChar w:fldCharType="separate"/>
      </w:r>
      <w:hyperlink w:anchor="_Toc20219210" w:history="1">
        <w:r w:rsidR="00E2457B" w:rsidRPr="00E2457B">
          <w:rPr>
            <w:rStyle w:val="Hipercze"/>
            <w:rFonts w:ascii="Lato" w:hAnsi="Lato"/>
            <w:noProof/>
          </w:rPr>
          <w:t>Rysunek 1</w:t>
        </w:r>
        <w:r w:rsidR="00E2457B" w:rsidRPr="00E2457B">
          <w:rPr>
            <w:rStyle w:val="Hipercze"/>
            <w:rFonts w:ascii="Lato" w:hAnsi="Lato"/>
            <w:noProof/>
          </w:rPr>
          <w:noBreakHyphen/>
          <w:t>1 Lokalizacja Gminy Pabianice na tle powiatu pabianickiego</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_Toc20219210 \h </w:instrText>
        </w:r>
        <w:r w:rsidR="00E2457B" w:rsidRPr="00E2457B">
          <w:rPr>
            <w:noProof/>
            <w:webHidden/>
          </w:rPr>
        </w:r>
        <w:r w:rsidR="00E2457B" w:rsidRPr="00E2457B">
          <w:rPr>
            <w:noProof/>
            <w:webHidden/>
          </w:rPr>
          <w:fldChar w:fldCharType="separate"/>
        </w:r>
        <w:r w:rsidR="002F538E">
          <w:rPr>
            <w:noProof/>
            <w:webHidden/>
          </w:rPr>
          <w:t>10</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11" w:history="1">
        <w:r w:rsidR="00E2457B" w:rsidRPr="00E2457B">
          <w:rPr>
            <w:rStyle w:val="Hipercze"/>
            <w:rFonts w:ascii="Lato" w:hAnsi="Lato"/>
            <w:noProof/>
          </w:rPr>
          <w:t>Rysunek 1</w:t>
        </w:r>
        <w:r w:rsidR="00E2457B" w:rsidRPr="00E2457B">
          <w:rPr>
            <w:rStyle w:val="Hipercze"/>
            <w:rFonts w:ascii="Lato" w:hAnsi="Lato"/>
            <w:noProof/>
          </w:rPr>
          <w:noBreakHyphen/>
          <w:t>2 Mapa Gminy Pabianice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_Toc20219211 \h </w:instrText>
        </w:r>
        <w:r w:rsidR="00E2457B" w:rsidRPr="00E2457B">
          <w:rPr>
            <w:noProof/>
            <w:webHidden/>
          </w:rPr>
        </w:r>
        <w:r w:rsidR="00E2457B" w:rsidRPr="00E2457B">
          <w:rPr>
            <w:noProof/>
            <w:webHidden/>
          </w:rPr>
          <w:fldChar w:fldCharType="separate"/>
        </w:r>
        <w:r w:rsidR="002F538E">
          <w:rPr>
            <w:noProof/>
            <w:webHidden/>
          </w:rPr>
          <w:t>11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12" w:history="1">
        <w:r w:rsidR="00E2457B" w:rsidRPr="00E2457B">
          <w:rPr>
            <w:rStyle w:val="Hipercze"/>
            <w:rFonts w:ascii="Lato" w:hAnsi="Lato"/>
            <w:noProof/>
          </w:rPr>
          <w:t>Rysunek 1</w:t>
        </w:r>
        <w:r w:rsidR="00E2457B" w:rsidRPr="00E2457B">
          <w:rPr>
            <w:rStyle w:val="Hipercze"/>
            <w:rFonts w:ascii="Lato" w:hAnsi="Lato"/>
            <w:noProof/>
          </w:rPr>
          <w:noBreakHyphen/>
          <w:t>3 Liczba ludności w Gminie Pabianice w latach 2002 – 2017</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_Toc20219212 \h </w:instrText>
        </w:r>
        <w:r w:rsidR="00E2457B" w:rsidRPr="00E2457B">
          <w:rPr>
            <w:noProof/>
            <w:webHidden/>
          </w:rPr>
        </w:r>
        <w:r w:rsidR="00E2457B" w:rsidRPr="00E2457B">
          <w:rPr>
            <w:noProof/>
            <w:webHidden/>
          </w:rPr>
          <w:fldChar w:fldCharType="separate"/>
        </w:r>
        <w:r w:rsidR="002F538E">
          <w:rPr>
            <w:noProof/>
            <w:webHidden/>
          </w:rPr>
          <w:t>13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13" w:history="1">
        <w:r w:rsidR="00E2457B" w:rsidRPr="00E2457B">
          <w:rPr>
            <w:rStyle w:val="Hipercze"/>
            <w:rFonts w:ascii="Lato" w:hAnsi="Lato"/>
            <w:noProof/>
          </w:rPr>
          <w:t>Rysunek 1</w:t>
        </w:r>
        <w:r w:rsidR="00E2457B" w:rsidRPr="00E2457B">
          <w:rPr>
            <w:rStyle w:val="Hipercze"/>
            <w:rFonts w:ascii="Lato" w:hAnsi="Lato"/>
            <w:noProof/>
          </w:rPr>
          <w:noBreakHyphen/>
          <w:t>4 Prognoza demograficzna dla Gminy Pabianice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_Toc20219213 \h </w:instrText>
        </w:r>
        <w:r w:rsidR="00E2457B" w:rsidRPr="00E2457B">
          <w:rPr>
            <w:noProof/>
            <w:webHidden/>
          </w:rPr>
        </w:r>
        <w:r w:rsidR="00E2457B" w:rsidRPr="00E2457B">
          <w:rPr>
            <w:noProof/>
            <w:webHidden/>
          </w:rPr>
          <w:fldChar w:fldCharType="separate"/>
        </w:r>
        <w:r w:rsidR="002F538E">
          <w:rPr>
            <w:noProof/>
            <w:webHidden/>
          </w:rPr>
          <w:t>15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14" w:history="1">
        <w:r w:rsidR="00E2457B" w:rsidRPr="00E2457B">
          <w:rPr>
            <w:rStyle w:val="Hipercze"/>
            <w:rFonts w:ascii="Lato" w:hAnsi="Lato"/>
            <w:noProof/>
          </w:rPr>
          <w:t>Rysunek 1</w:t>
        </w:r>
        <w:r w:rsidR="00E2457B" w:rsidRPr="00E2457B">
          <w:rPr>
            <w:rStyle w:val="Hipercze"/>
            <w:rFonts w:ascii="Lato" w:hAnsi="Lato"/>
            <w:noProof/>
          </w:rPr>
          <w:noBreakHyphen/>
          <w:t>5 Udział liczby poszczególnych grup wg klasyfikacji PKD 2007</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_Toc20219214 \h </w:instrText>
        </w:r>
        <w:r w:rsidR="00E2457B" w:rsidRPr="00E2457B">
          <w:rPr>
            <w:noProof/>
            <w:webHidden/>
          </w:rPr>
        </w:r>
        <w:r w:rsidR="00E2457B" w:rsidRPr="00E2457B">
          <w:rPr>
            <w:noProof/>
            <w:webHidden/>
          </w:rPr>
          <w:fldChar w:fldCharType="separate"/>
        </w:r>
        <w:r w:rsidR="002F538E">
          <w:rPr>
            <w:noProof/>
            <w:webHidden/>
          </w:rPr>
          <w:t>18</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15" w:history="1">
        <w:r w:rsidR="00E2457B" w:rsidRPr="00E2457B">
          <w:rPr>
            <w:rStyle w:val="Hipercze"/>
            <w:rFonts w:ascii="Lato" w:hAnsi="Lato"/>
            <w:noProof/>
          </w:rPr>
          <w:t>Rysunek 1</w:t>
        </w:r>
        <w:r w:rsidR="00E2457B" w:rsidRPr="00E2457B">
          <w:rPr>
            <w:rStyle w:val="Hipercze"/>
            <w:rFonts w:ascii="Lato" w:hAnsi="Lato"/>
            <w:noProof/>
          </w:rPr>
          <w:noBreakHyphen/>
          <w:t>6 Użytkowanie gruntów na terenie Gminy Pabianice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_Toc20219215 \h </w:instrText>
        </w:r>
        <w:r w:rsidR="00E2457B" w:rsidRPr="00E2457B">
          <w:rPr>
            <w:noProof/>
            <w:webHidden/>
          </w:rPr>
        </w:r>
        <w:r w:rsidR="00E2457B" w:rsidRPr="00E2457B">
          <w:rPr>
            <w:noProof/>
            <w:webHidden/>
          </w:rPr>
          <w:fldChar w:fldCharType="separate"/>
        </w:r>
        <w:r w:rsidR="002F538E">
          <w:rPr>
            <w:noProof/>
            <w:webHidden/>
          </w:rPr>
          <w:t>19</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16" w:history="1">
        <w:r w:rsidR="00E2457B" w:rsidRPr="00E2457B">
          <w:rPr>
            <w:rStyle w:val="Hipercze"/>
            <w:rFonts w:ascii="Lato" w:hAnsi="Lato"/>
            <w:noProof/>
          </w:rPr>
          <w:t>Rysunek 1</w:t>
        </w:r>
        <w:r w:rsidR="00E2457B" w:rsidRPr="00E2457B">
          <w:rPr>
            <w:rStyle w:val="Hipercze"/>
            <w:rFonts w:ascii="Lato" w:hAnsi="Lato"/>
            <w:noProof/>
          </w:rPr>
          <w:noBreakHyphen/>
          <w:t>7 Mapa stref klimatycznych Polski i minimalne temperatury zewnętrzne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_Toc20219216 \h </w:instrText>
        </w:r>
        <w:r w:rsidR="00E2457B" w:rsidRPr="00E2457B">
          <w:rPr>
            <w:noProof/>
            <w:webHidden/>
          </w:rPr>
        </w:r>
        <w:r w:rsidR="00E2457B" w:rsidRPr="00E2457B">
          <w:rPr>
            <w:noProof/>
            <w:webHidden/>
          </w:rPr>
          <w:fldChar w:fldCharType="separate"/>
        </w:r>
        <w:r w:rsidR="002F538E">
          <w:rPr>
            <w:noProof/>
            <w:webHidden/>
          </w:rPr>
          <w:t>20</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17" w:history="1">
        <w:r w:rsidR="00E2457B" w:rsidRPr="00E2457B">
          <w:rPr>
            <w:rStyle w:val="Hipercze"/>
            <w:rFonts w:ascii="Lato" w:hAnsi="Lato"/>
            <w:noProof/>
          </w:rPr>
          <w:t>Rysunek 1</w:t>
        </w:r>
        <w:r w:rsidR="00E2457B" w:rsidRPr="00E2457B">
          <w:rPr>
            <w:rStyle w:val="Hipercze"/>
            <w:rFonts w:ascii="Lato" w:hAnsi="Lato"/>
            <w:noProof/>
          </w:rPr>
          <w:noBreakHyphen/>
          <w:t>8 Przeciętne roczne zapotrzebowanie energii na ogrzewanie w budownictwie mieszkaniowym w kWh/m</w:t>
        </w:r>
        <w:r w:rsidR="00E2457B" w:rsidRPr="00E2457B">
          <w:rPr>
            <w:rStyle w:val="Hipercze"/>
            <w:rFonts w:ascii="Lato" w:hAnsi="Lato"/>
            <w:noProof/>
            <w:vertAlign w:val="superscript"/>
          </w:rPr>
          <w:t>2</w:t>
        </w:r>
        <w:r w:rsidR="00E2457B" w:rsidRPr="00E2457B">
          <w:rPr>
            <w:rStyle w:val="Hipercze"/>
            <w:rFonts w:ascii="Lato" w:hAnsi="Lato"/>
            <w:noProof/>
          </w:rPr>
          <w:t xml:space="preserve"> powierzchni użytkowej</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_Toc20219217 \h </w:instrText>
        </w:r>
        <w:r w:rsidR="00E2457B" w:rsidRPr="00E2457B">
          <w:rPr>
            <w:noProof/>
            <w:webHidden/>
          </w:rPr>
        </w:r>
        <w:r w:rsidR="00E2457B" w:rsidRPr="00E2457B">
          <w:rPr>
            <w:noProof/>
            <w:webHidden/>
          </w:rPr>
          <w:fldChar w:fldCharType="separate"/>
        </w:r>
        <w:r w:rsidR="002F538E">
          <w:rPr>
            <w:noProof/>
            <w:webHidden/>
          </w:rPr>
          <w:t>21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18" w:history="1">
        <w:r w:rsidR="00E2457B" w:rsidRPr="00E2457B">
          <w:rPr>
            <w:rStyle w:val="Hipercze"/>
            <w:rFonts w:ascii="Lato" w:hAnsi="Lato"/>
            <w:noProof/>
          </w:rPr>
          <w:t>Rysunek 1</w:t>
        </w:r>
        <w:r w:rsidR="00E2457B" w:rsidRPr="00E2457B">
          <w:rPr>
            <w:rStyle w:val="Hipercze"/>
            <w:rFonts w:ascii="Lato" w:hAnsi="Lato"/>
            <w:noProof/>
          </w:rPr>
          <w:noBreakHyphen/>
          <w:t>9 Struktura wiekowa budynków wg liczby mieszkań i powierzchni w gminie Pabianice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_Toc20219218 \h </w:instrText>
        </w:r>
        <w:r w:rsidR="00E2457B" w:rsidRPr="00E2457B">
          <w:rPr>
            <w:noProof/>
            <w:webHidden/>
          </w:rPr>
        </w:r>
        <w:r w:rsidR="00E2457B" w:rsidRPr="00E2457B">
          <w:rPr>
            <w:noProof/>
            <w:webHidden/>
          </w:rPr>
          <w:fldChar w:fldCharType="separate"/>
        </w:r>
        <w:r w:rsidR="002F538E">
          <w:rPr>
            <w:noProof/>
            <w:webHidden/>
          </w:rPr>
          <w:t>24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19" w:history="1">
        <w:r w:rsidR="00E2457B" w:rsidRPr="00E2457B">
          <w:rPr>
            <w:rStyle w:val="Hipercze"/>
            <w:rFonts w:ascii="Lato" w:hAnsi="Lato"/>
            <w:noProof/>
          </w:rPr>
          <w:t>Rysunek 1</w:t>
        </w:r>
        <w:r w:rsidR="00E2457B" w:rsidRPr="00E2457B">
          <w:rPr>
            <w:rStyle w:val="Hipercze"/>
            <w:rFonts w:ascii="Lato" w:hAnsi="Lato"/>
            <w:noProof/>
          </w:rPr>
          <w:noBreakHyphen/>
          <w:t>10 Udział liczby mieszkań z piecami w poszczególnych grupach wiekowych</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_Toc20219219 \h </w:instrText>
        </w:r>
        <w:r w:rsidR="00E2457B" w:rsidRPr="00E2457B">
          <w:rPr>
            <w:noProof/>
            <w:webHidden/>
          </w:rPr>
        </w:r>
        <w:r w:rsidR="00E2457B" w:rsidRPr="00E2457B">
          <w:rPr>
            <w:noProof/>
            <w:webHidden/>
          </w:rPr>
          <w:fldChar w:fldCharType="separate"/>
        </w:r>
        <w:r w:rsidR="002F538E">
          <w:rPr>
            <w:noProof/>
            <w:webHidden/>
          </w:rPr>
          <w:t>25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20" w:history="1">
        <w:r w:rsidR="00E2457B" w:rsidRPr="00E2457B">
          <w:rPr>
            <w:rStyle w:val="Hipercze"/>
            <w:rFonts w:ascii="Lato" w:hAnsi="Lato"/>
            <w:bCs/>
            <w:noProof/>
          </w:rPr>
          <w:t>Rysunek 2</w:t>
        </w:r>
        <w:r w:rsidR="00E2457B" w:rsidRPr="00E2457B">
          <w:rPr>
            <w:rStyle w:val="Hipercze"/>
            <w:rFonts w:ascii="Lato" w:hAnsi="Lato"/>
            <w:bCs/>
            <w:noProof/>
          </w:rPr>
          <w:noBreakHyphen/>
          <w:t>1</w:t>
        </w:r>
        <w:r w:rsidR="00E2457B" w:rsidRPr="00E2457B">
          <w:rPr>
            <w:rStyle w:val="Hipercze"/>
            <w:rFonts w:ascii="Lato" w:hAnsi="Lato"/>
            <w:noProof/>
          </w:rPr>
          <w:t xml:space="preserve"> Cele globalne i lokalne w zakresie gospodarki energetycznej</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_Toc20219220 \h </w:instrText>
        </w:r>
        <w:r w:rsidR="00E2457B" w:rsidRPr="00E2457B">
          <w:rPr>
            <w:noProof/>
            <w:webHidden/>
          </w:rPr>
        </w:r>
        <w:r w:rsidR="00E2457B" w:rsidRPr="00E2457B">
          <w:rPr>
            <w:noProof/>
            <w:webHidden/>
          </w:rPr>
          <w:fldChar w:fldCharType="separate"/>
        </w:r>
        <w:r w:rsidR="002F538E">
          <w:rPr>
            <w:noProof/>
            <w:webHidden/>
          </w:rPr>
          <w:t>30</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21" w:history="1">
        <w:r w:rsidR="00E2457B" w:rsidRPr="00E2457B">
          <w:rPr>
            <w:rStyle w:val="Hipercze"/>
            <w:rFonts w:ascii="Lato" w:hAnsi="Lato"/>
            <w:bCs/>
            <w:noProof/>
          </w:rPr>
          <w:t>Rysunek 2</w:t>
        </w:r>
        <w:r w:rsidR="00E2457B" w:rsidRPr="00E2457B">
          <w:rPr>
            <w:rStyle w:val="Hipercze"/>
            <w:rFonts w:ascii="Lato" w:hAnsi="Lato"/>
            <w:bCs/>
            <w:noProof/>
          </w:rPr>
          <w:noBreakHyphen/>
          <w:t>2</w:t>
        </w:r>
        <w:r w:rsidR="00E2457B" w:rsidRPr="00E2457B">
          <w:rPr>
            <w:rStyle w:val="Hipercze"/>
            <w:rFonts w:ascii="Lato" w:hAnsi="Lato"/>
            <w:noProof/>
          </w:rPr>
          <w:t xml:space="preserve"> Udział poszczególnych grup odbiorców w zapotrzebowaniu na energię w 2018 roku</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_Toc20219221 \h </w:instrText>
        </w:r>
        <w:r w:rsidR="00E2457B" w:rsidRPr="00E2457B">
          <w:rPr>
            <w:noProof/>
            <w:webHidden/>
          </w:rPr>
        </w:r>
        <w:r w:rsidR="00E2457B" w:rsidRPr="00E2457B">
          <w:rPr>
            <w:noProof/>
            <w:webHidden/>
          </w:rPr>
          <w:fldChar w:fldCharType="separate"/>
        </w:r>
        <w:r w:rsidR="002F538E">
          <w:rPr>
            <w:noProof/>
            <w:webHidden/>
          </w:rPr>
          <w:t>31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22" w:history="1">
        <w:r w:rsidR="00E2457B" w:rsidRPr="00E2457B">
          <w:rPr>
            <w:rStyle w:val="Hipercze"/>
            <w:rFonts w:ascii="Lato" w:hAnsi="Lato"/>
            <w:bCs/>
            <w:noProof/>
          </w:rPr>
          <w:t>Rysunek 2</w:t>
        </w:r>
        <w:r w:rsidR="00E2457B" w:rsidRPr="00E2457B">
          <w:rPr>
            <w:rStyle w:val="Hipercze"/>
            <w:rFonts w:ascii="Lato" w:hAnsi="Lato"/>
            <w:bCs/>
            <w:noProof/>
          </w:rPr>
          <w:noBreakHyphen/>
          <w:t>3</w:t>
        </w:r>
        <w:r w:rsidR="00E2457B" w:rsidRPr="00E2457B">
          <w:rPr>
            <w:rStyle w:val="Hipercze"/>
            <w:rFonts w:ascii="Lato" w:hAnsi="Lato"/>
            <w:noProof/>
          </w:rPr>
          <w:t xml:space="preserve"> Udział poszczególnych grup odbiorców w zapotrzebowaniu na moc cieplną w 2018 roku</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_Toc20219222 \h </w:instrText>
        </w:r>
        <w:r w:rsidR="00E2457B" w:rsidRPr="00E2457B">
          <w:rPr>
            <w:noProof/>
            <w:webHidden/>
          </w:rPr>
        </w:r>
        <w:r w:rsidR="00E2457B" w:rsidRPr="00E2457B">
          <w:rPr>
            <w:noProof/>
            <w:webHidden/>
          </w:rPr>
          <w:fldChar w:fldCharType="separate"/>
        </w:r>
        <w:r w:rsidR="002F538E">
          <w:rPr>
            <w:noProof/>
            <w:webHidden/>
          </w:rPr>
          <w:t>31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23" w:history="1">
        <w:r w:rsidR="00E2457B" w:rsidRPr="00E2457B">
          <w:rPr>
            <w:rStyle w:val="Hipercze"/>
            <w:rFonts w:ascii="Lato" w:hAnsi="Lato"/>
            <w:bCs/>
            <w:noProof/>
          </w:rPr>
          <w:t>Rysunek 2</w:t>
        </w:r>
        <w:r w:rsidR="00E2457B" w:rsidRPr="00E2457B">
          <w:rPr>
            <w:rStyle w:val="Hipercze"/>
            <w:rFonts w:ascii="Lato" w:hAnsi="Lato"/>
            <w:bCs/>
            <w:noProof/>
          </w:rPr>
          <w:noBreakHyphen/>
          <w:t>4</w:t>
        </w:r>
        <w:r w:rsidR="00E2457B" w:rsidRPr="00E2457B">
          <w:rPr>
            <w:rStyle w:val="Hipercze"/>
            <w:rFonts w:ascii="Lato" w:hAnsi="Lato"/>
            <w:noProof/>
          </w:rPr>
          <w:t xml:space="preserve"> Udział poszczególnych grup odbiorców w zapotrzebowaniu na ciepło w 2018 roku</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_Toc20219223 \h </w:instrText>
        </w:r>
        <w:r w:rsidR="00E2457B" w:rsidRPr="00E2457B">
          <w:rPr>
            <w:noProof/>
            <w:webHidden/>
          </w:rPr>
        </w:r>
        <w:r w:rsidR="00E2457B" w:rsidRPr="00E2457B">
          <w:rPr>
            <w:noProof/>
            <w:webHidden/>
          </w:rPr>
          <w:fldChar w:fldCharType="separate"/>
        </w:r>
        <w:r w:rsidR="002F538E">
          <w:rPr>
            <w:noProof/>
            <w:webHidden/>
          </w:rPr>
          <w:t>32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24" w:history="1">
        <w:r w:rsidR="00E2457B" w:rsidRPr="00E2457B">
          <w:rPr>
            <w:rStyle w:val="Hipercze"/>
            <w:rFonts w:ascii="Lato" w:hAnsi="Lato"/>
            <w:noProof/>
          </w:rPr>
          <w:t>Rysunek 2</w:t>
        </w:r>
        <w:r w:rsidR="00E2457B" w:rsidRPr="00E2457B">
          <w:rPr>
            <w:rStyle w:val="Hipercze"/>
            <w:rFonts w:ascii="Lato" w:hAnsi="Lato"/>
            <w:noProof/>
          </w:rPr>
          <w:noBreakHyphen/>
          <w:t>5 Struktura zużycia paliw i energii na wszystkie cele łącznie w gminie Pabianice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_Toc20219224 \h </w:instrText>
        </w:r>
        <w:r w:rsidR="00E2457B" w:rsidRPr="00E2457B">
          <w:rPr>
            <w:noProof/>
            <w:webHidden/>
          </w:rPr>
        </w:r>
        <w:r w:rsidR="00E2457B" w:rsidRPr="00E2457B">
          <w:rPr>
            <w:noProof/>
            <w:webHidden/>
          </w:rPr>
          <w:fldChar w:fldCharType="separate"/>
        </w:r>
        <w:r w:rsidR="002F538E">
          <w:rPr>
            <w:noProof/>
            <w:webHidden/>
          </w:rPr>
          <w:t>32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25" w:history="1">
        <w:r w:rsidR="00E2457B" w:rsidRPr="00E2457B">
          <w:rPr>
            <w:rStyle w:val="Hipercze"/>
            <w:rFonts w:ascii="Lato" w:hAnsi="Lato"/>
            <w:bCs/>
            <w:noProof/>
          </w:rPr>
          <w:t>Rysunek 2</w:t>
        </w:r>
        <w:r w:rsidR="00E2457B" w:rsidRPr="00E2457B">
          <w:rPr>
            <w:rStyle w:val="Hipercze"/>
            <w:rFonts w:ascii="Lato" w:hAnsi="Lato"/>
            <w:bCs/>
            <w:noProof/>
          </w:rPr>
          <w:noBreakHyphen/>
          <w:t>6</w:t>
        </w:r>
        <w:r w:rsidR="00E2457B" w:rsidRPr="00E2457B">
          <w:rPr>
            <w:rStyle w:val="Hipercze"/>
            <w:rFonts w:ascii="Lato" w:hAnsi="Lato"/>
            <w:noProof/>
          </w:rPr>
          <w:t xml:space="preserve"> Struktura zużycia paliw i energii na cele grzewcze (ogrzewanie pomieszczeń, c.w.u., cele bytowe, technologia)</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_Toc20219225 \h </w:instrText>
        </w:r>
        <w:r w:rsidR="00E2457B" w:rsidRPr="00E2457B">
          <w:rPr>
            <w:noProof/>
            <w:webHidden/>
          </w:rPr>
        </w:r>
        <w:r w:rsidR="00E2457B" w:rsidRPr="00E2457B">
          <w:rPr>
            <w:noProof/>
            <w:webHidden/>
          </w:rPr>
          <w:fldChar w:fldCharType="separate"/>
        </w:r>
        <w:r w:rsidR="002F538E">
          <w:rPr>
            <w:noProof/>
            <w:webHidden/>
          </w:rPr>
          <w:t>33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26" w:history="1">
        <w:r w:rsidR="00E2457B" w:rsidRPr="00E2457B">
          <w:rPr>
            <w:rStyle w:val="Hipercze"/>
            <w:rFonts w:ascii="Lato" w:hAnsi="Lato"/>
            <w:noProof/>
          </w:rPr>
          <w:t>Rysunek 2</w:t>
        </w:r>
        <w:r w:rsidR="00E2457B" w:rsidRPr="00E2457B">
          <w:rPr>
            <w:rStyle w:val="Hipercze"/>
            <w:rFonts w:ascii="Lato" w:hAnsi="Lato"/>
            <w:noProof/>
          </w:rPr>
          <w:noBreakHyphen/>
          <w:t>7 Schemat funkcjonowania oddziałów PSG w Polsce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_Toc20219226 \h </w:instrText>
        </w:r>
        <w:r w:rsidR="00E2457B" w:rsidRPr="00E2457B">
          <w:rPr>
            <w:noProof/>
            <w:webHidden/>
          </w:rPr>
        </w:r>
        <w:r w:rsidR="00E2457B" w:rsidRPr="00E2457B">
          <w:rPr>
            <w:noProof/>
            <w:webHidden/>
          </w:rPr>
          <w:fldChar w:fldCharType="separate"/>
        </w:r>
        <w:r w:rsidR="002F538E">
          <w:rPr>
            <w:noProof/>
            <w:webHidden/>
          </w:rPr>
          <w:t>35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27" w:history="1">
        <w:r w:rsidR="00E2457B" w:rsidRPr="00E2457B">
          <w:rPr>
            <w:rStyle w:val="Hipercze"/>
            <w:rFonts w:ascii="Lato" w:hAnsi="Lato"/>
            <w:noProof/>
          </w:rPr>
          <w:t>Rysunek 2</w:t>
        </w:r>
        <w:r w:rsidR="00E2457B" w:rsidRPr="00E2457B">
          <w:rPr>
            <w:rStyle w:val="Hipercze"/>
            <w:rFonts w:ascii="Lato" w:hAnsi="Lato"/>
            <w:noProof/>
          </w:rPr>
          <w:noBreakHyphen/>
          <w:t>8 Struktura liczby odbiorców gazu ziemnego w poszczególnych grupach taryfowych w 2018 r.</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_Toc20219227 \h </w:instrText>
        </w:r>
        <w:r w:rsidR="00E2457B" w:rsidRPr="00E2457B">
          <w:rPr>
            <w:noProof/>
            <w:webHidden/>
          </w:rPr>
        </w:r>
        <w:r w:rsidR="00E2457B" w:rsidRPr="00E2457B">
          <w:rPr>
            <w:noProof/>
            <w:webHidden/>
          </w:rPr>
          <w:fldChar w:fldCharType="separate"/>
        </w:r>
        <w:r w:rsidR="002F538E">
          <w:rPr>
            <w:noProof/>
            <w:webHidden/>
          </w:rPr>
          <w:t>37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28" w:history="1">
        <w:r w:rsidR="00E2457B" w:rsidRPr="00E2457B">
          <w:rPr>
            <w:rStyle w:val="Hipercze"/>
            <w:rFonts w:ascii="Lato" w:hAnsi="Lato"/>
            <w:noProof/>
          </w:rPr>
          <w:t>Rysunek 2</w:t>
        </w:r>
        <w:r w:rsidR="00E2457B" w:rsidRPr="00E2457B">
          <w:rPr>
            <w:rStyle w:val="Hipercze"/>
            <w:rFonts w:ascii="Lato" w:hAnsi="Lato"/>
            <w:noProof/>
          </w:rPr>
          <w:noBreakHyphen/>
          <w:t>9 Struktura zużycia gazu ziemnego w poszczególnych grupach taryfowych w 2018 r.</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_Toc20219228 \h </w:instrText>
        </w:r>
        <w:r w:rsidR="00E2457B" w:rsidRPr="00E2457B">
          <w:rPr>
            <w:noProof/>
            <w:webHidden/>
          </w:rPr>
        </w:r>
        <w:r w:rsidR="00E2457B" w:rsidRPr="00E2457B">
          <w:rPr>
            <w:noProof/>
            <w:webHidden/>
          </w:rPr>
          <w:fldChar w:fldCharType="separate"/>
        </w:r>
        <w:r w:rsidR="002F538E">
          <w:rPr>
            <w:noProof/>
            <w:webHidden/>
          </w:rPr>
          <w:t>37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29" w:history="1">
        <w:r w:rsidR="00E2457B" w:rsidRPr="00E2457B">
          <w:rPr>
            <w:rStyle w:val="Hipercze"/>
            <w:rFonts w:ascii="Lato" w:hAnsi="Lato"/>
            <w:noProof/>
          </w:rPr>
          <w:t>Rysunek 2</w:t>
        </w:r>
        <w:r w:rsidR="00E2457B" w:rsidRPr="00E2457B">
          <w:rPr>
            <w:rStyle w:val="Hipercze"/>
            <w:rFonts w:ascii="Lato" w:hAnsi="Lato"/>
            <w:noProof/>
          </w:rPr>
          <w:noBreakHyphen/>
          <w:t>10 Trend zmian liczby odbiorców gazu ziemnego w poszczególnych grupach taryfowych  w latach 2016-2018</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_Toc20219229 \h </w:instrText>
        </w:r>
        <w:r w:rsidR="00E2457B" w:rsidRPr="00E2457B">
          <w:rPr>
            <w:noProof/>
            <w:webHidden/>
          </w:rPr>
        </w:r>
        <w:r w:rsidR="00E2457B" w:rsidRPr="00E2457B">
          <w:rPr>
            <w:noProof/>
            <w:webHidden/>
          </w:rPr>
          <w:fldChar w:fldCharType="separate"/>
        </w:r>
        <w:r w:rsidR="002F538E">
          <w:rPr>
            <w:noProof/>
            <w:webHidden/>
          </w:rPr>
          <w:t>38</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30" w:history="1">
        <w:r w:rsidR="00E2457B" w:rsidRPr="00E2457B">
          <w:rPr>
            <w:rStyle w:val="Hipercze"/>
            <w:rFonts w:ascii="Lato" w:hAnsi="Lato"/>
            <w:noProof/>
          </w:rPr>
          <w:t>Rysunek 2</w:t>
        </w:r>
        <w:r w:rsidR="00E2457B" w:rsidRPr="00E2457B">
          <w:rPr>
            <w:rStyle w:val="Hipercze"/>
            <w:rFonts w:ascii="Lato" w:hAnsi="Lato"/>
            <w:noProof/>
          </w:rPr>
          <w:noBreakHyphen/>
          <w:t>11 Trend zmian sprzedaży gazu ziemnego w poszczególnych grupach taryfowych  w latach 2016-2018</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_Toc20219230 \h </w:instrText>
        </w:r>
        <w:r w:rsidR="00E2457B" w:rsidRPr="00E2457B">
          <w:rPr>
            <w:noProof/>
            <w:webHidden/>
          </w:rPr>
        </w:r>
        <w:r w:rsidR="00E2457B" w:rsidRPr="00E2457B">
          <w:rPr>
            <w:noProof/>
            <w:webHidden/>
          </w:rPr>
          <w:fldChar w:fldCharType="separate"/>
        </w:r>
        <w:r w:rsidR="002F538E">
          <w:rPr>
            <w:noProof/>
            <w:webHidden/>
          </w:rPr>
          <w:t>38</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31" w:history="1">
        <w:r w:rsidR="00E2457B" w:rsidRPr="00E2457B">
          <w:rPr>
            <w:rStyle w:val="Hipercze"/>
            <w:rFonts w:ascii="Lato" w:hAnsi="Lato"/>
            <w:noProof/>
          </w:rPr>
          <w:t>Rysunek 2</w:t>
        </w:r>
        <w:r w:rsidR="00E2457B" w:rsidRPr="00E2457B">
          <w:rPr>
            <w:rStyle w:val="Hipercze"/>
            <w:rFonts w:ascii="Lato" w:hAnsi="Lato"/>
            <w:noProof/>
          </w:rPr>
          <w:noBreakHyphen/>
          <w:t>12 Zasięg terytorialny spółek zajmujących się dystrybucją energii elektrycznej</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_Toc20219231 \h </w:instrText>
        </w:r>
        <w:r w:rsidR="00E2457B" w:rsidRPr="00E2457B">
          <w:rPr>
            <w:noProof/>
            <w:webHidden/>
          </w:rPr>
        </w:r>
        <w:r w:rsidR="00E2457B" w:rsidRPr="00E2457B">
          <w:rPr>
            <w:noProof/>
            <w:webHidden/>
          </w:rPr>
          <w:fldChar w:fldCharType="separate"/>
        </w:r>
        <w:r w:rsidR="002F538E">
          <w:rPr>
            <w:noProof/>
            <w:webHidden/>
          </w:rPr>
          <w:t>40</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32" w:history="1">
        <w:r w:rsidR="00E2457B" w:rsidRPr="00E2457B">
          <w:rPr>
            <w:rStyle w:val="Hipercze"/>
            <w:rFonts w:ascii="Lato" w:hAnsi="Lato"/>
            <w:noProof/>
          </w:rPr>
          <w:t>Rysunek 2</w:t>
        </w:r>
        <w:r w:rsidR="00E2457B" w:rsidRPr="00E2457B">
          <w:rPr>
            <w:rStyle w:val="Hipercze"/>
            <w:rFonts w:ascii="Lato" w:hAnsi="Lato"/>
            <w:noProof/>
          </w:rPr>
          <w:noBreakHyphen/>
          <w:t>13 Obszary przekroczeń poziomu celu długoterminowego ozonu – kryterium ochrona zdrowia ludzi</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_Toc20219232 \h </w:instrText>
        </w:r>
        <w:r w:rsidR="00E2457B" w:rsidRPr="00E2457B">
          <w:rPr>
            <w:noProof/>
            <w:webHidden/>
          </w:rPr>
        </w:r>
        <w:r w:rsidR="00E2457B" w:rsidRPr="00E2457B">
          <w:rPr>
            <w:noProof/>
            <w:webHidden/>
          </w:rPr>
          <w:fldChar w:fldCharType="separate"/>
        </w:r>
        <w:r w:rsidR="002F538E">
          <w:rPr>
            <w:noProof/>
            <w:webHidden/>
          </w:rPr>
          <w:t>47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33" w:history="1">
        <w:r w:rsidR="00E2457B" w:rsidRPr="00E2457B">
          <w:rPr>
            <w:rStyle w:val="Hipercze"/>
            <w:rFonts w:ascii="Lato" w:hAnsi="Lato"/>
            <w:noProof/>
          </w:rPr>
          <w:t>Rysunek 2</w:t>
        </w:r>
        <w:r w:rsidR="00E2457B" w:rsidRPr="00E2457B">
          <w:rPr>
            <w:rStyle w:val="Hipercze"/>
            <w:rFonts w:ascii="Lato" w:hAnsi="Lato"/>
            <w:noProof/>
          </w:rPr>
          <w:noBreakHyphen/>
          <w:t>14 Obszary przekroczeń średnich stężeń pyłu zawieszonego PM2,5 – kryterium ochrona zdrowia ludzi</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_Toc20219233 \h </w:instrText>
        </w:r>
        <w:r w:rsidR="00E2457B" w:rsidRPr="00E2457B">
          <w:rPr>
            <w:noProof/>
            <w:webHidden/>
          </w:rPr>
        </w:r>
        <w:r w:rsidR="00E2457B" w:rsidRPr="00E2457B">
          <w:rPr>
            <w:noProof/>
            <w:webHidden/>
          </w:rPr>
          <w:fldChar w:fldCharType="separate"/>
        </w:r>
        <w:r w:rsidR="002F538E">
          <w:rPr>
            <w:noProof/>
            <w:webHidden/>
          </w:rPr>
          <w:t>48</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34" w:history="1">
        <w:r w:rsidR="00E2457B" w:rsidRPr="00E2457B">
          <w:rPr>
            <w:rStyle w:val="Hipercze"/>
            <w:rFonts w:ascii="Lato" w:hAnsi="Lato"/>
            <w:noProof/>
          </w:rPr>
          <w:t>Rysunek 2</w:t>
        </w:r>
        <w:r w:rsidR="00E2457B" w:rsidRPr="00E2457B">
          <w:rPr>
            <w:rStyle w:val="Hipercze"/>
            <w:rFonts w:ascii="Lato" w:hAnsi="Lato"/>
            <w:noProof/>
          </w:rPr>
          <w:noBreakHyphen/>
          <w:t>15 Obszary przekroczeń średnich stężeń rocznych pyłu PM10 - kryterium ochrona zdrowia ludzi</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_Toc20219234 \h </w:instrText>
        </w:r>
        <w:r w:rsidR="00E2457B" w:rsidRPr="00E2457B">
          <w:rPr>
            <w:noProof/>
            <w:webHidden/>
          </w:rPr>
        </w:r>
        <w:r w:rsidR="00E2457B" w:rsidRPr="00E2457B">
          <w:rPr>
            <w:noProof/>
            <w:webHidden/>
          </w:rPr>
          <w:fldChar w:fldCharType="separate"/>
        </w:r>
        <w:r w:rsidR="002F538E">
          <w:rPr>
            <w:noProof/>
            <w:webHidden/>
          </w:rPr>
          <w:t>49</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35" w:history="1">
        <w:r w:rsidR="00E2457B" w:rsidRPr="00E2457B">
          <w:rPr>
            <w:rStyle w:val="Hipercze"/>
            <w:rFonts w:ascii="Lato" w:hAnsi="Lato"/>
            <w:noProof/>
          </w:rPr>
          <w:t>Rysunek 2</w:t>
        </w:r>
        <w:r w:rsidR="00E2457B" w:rsidRPr="00E2457B">
          <w:rPr>
            <w:rStyle w:val="Hipercze"/>
            <w:rFonts w:ascii="Lato" w:hAnsi="Lato"/>
            <w:noProof/>
          </w:rPr>
          <w:noBreakHyphen/>
          <w:t>16 Obszary przekroczeń średnich stężeń rocznych benzo(a)pirenu - kryterium ochrona zdrowia ludzi</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_Toc20219235 \h </w:instrText>
        </w:r>
        <w:r w:rsidR="00E2457B" w:rsidRPr="00E2457B">
          <w:rPr>
            <w:noProof/>
            <w:webHidden/>
          </w:rPr>
        </w:r>
        <w:r w:rsidR="00E2457B" w:rsidRPr="00E2457B">
          <w:rPr>
            <w:noProof/>
            <w:webHidden/>
          </w:rPr>
          <w:fldChar w:fldCharType="separate"/>
        </w:r>
        <w:r w:rsidR="002F538E">
          <w:rPr>
            <w:noProof/>
            <w:webHidden/>
          </w:rPr>
          <w:t>50</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36" w:history="1">
        <w:r w:rsidR="00E2457B" w:rsidRPr="00E2457B">
          <w:rPr>
            <w:rStyle w:val="Hipercze"/>
            <w:rFonts w:ascii="Lato" w:hAnsi="Lato"/>
            <w:noProof/>
          </w:rPr>
          <w:t>Rysunek 2</w:t>
        </w:r>
        <w:r w:rsidR="00E2457B" w:rsidRPr="00E2457B">
          <w:rPr>
            <w:rStyle w:val="Hipercze"/>
            <w:rFonts w:ascii="Lato" w:hAnsi="Lato"/>
            <w:noProof/>
          </w:rPr>
          <w:noBreakHyphen/>
          <w:t>17 Strefy w województwie łódzkim, dla których dokonano ocenę jakości powietrza</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_Toc20219236 \h </w:instrText>
        </w:r>
        <w:r w:rsidR="00E2457B" w:rsidRPr="00E2457B">
          <w:rPr>
            <w:noProof/>
            <w:webHidden/>
          </w:rPr>
        </w:r>
        <w:r w:rsidR="00E2457B" w:rsidRPr="00E2457B">
          <w:rPr>
            <w:noProof/>
            <w:webHidden/>
          </w:rPr>
          <w:fldChar w:fldCharType="separate"/>
        </w:r>
        <w:r w:rsidR="002F538E">
          <w:rPr>
            <w:noProof/>
            <w:webHidden/>
          </w:rPr>
          <w:t>51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37" w:history="1">
        <w:r w:rsidR="00E2457B" w:rsidRPr="00E2457B">
          <w:rPr>
            <w:rStyle w:val="Hipercze"/>
            <w:rFonts w:ascii="Lato" w:hAnsi="Lato"/>
            <w:noProof/>
          </w:rPr>
          <w:t>Rysunek 2</w:t>
        </w:r>
        <w:r w:rsidR="00E2457B" w:rsidRPr="00E2457B">
          <w:rPr>
            <w:rStyle w:val="Hipercze"/>
            <w:rFonts w:ascii="Lato" w:hAnsi="Lato"/>
            <w:noProof/>
          </w:rPr>
          <w:noBreakHyphen/>
          <w:t>18 Widok panelu głównego aplikacji do szacowania emisji ze środków transportu</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_Toc20219237 \h </w:instrText>
        </w:r>
        <w:r w:rsidR="00E2457B" w:rsidRPr="00E2457B">
          <w:rPr>
            <w:noProof/>
            <w:webHidden/>
          </w:rPr>
        </w:r>
        <w:r w:rsidR="00E2457B" w:rsidRPr="00E2457B">
          <w:rPr>
            <w:noProof/>
            <w:webHidden/>
          </w:rPr>
          <w:fldChar w:fldCharType="separate"/>
        </w:r>
        <w:r w:rsidR="002F538E">
          <w:rPr>
            <w:noProof/>
            <w:webHidden/>
          </w:rPr>
          <w:t>54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38" w:history="1">
        <w:r w:rsidR="00E2457B" w:rsidRPr="00E2457B">
          <w:rPr>
            <w:rStyle w:val="Hipercze"/>
            <w:rFonts w:ascii="Lato" w:hAnsi="Lato"/>
            <w:noProof/>
          </w:rPr>
          <w:t>Rysunek 2</w:t>
        </w:r>
        <w:r w:rsidR="00E2457B" w:rsidRPr="00E2457B">
          <w:rPr>
            <w:rStyle w:val="Hipercze"/>
            <w:rFonts w:ascii="Lato" w:hAnsi="Lato"/>
            <w:noProof/>
          </w:rPr>
          <w:noBreakHyphen/>
          <w:t>19 Udział rodzajów źródeł emisji w całkowitej emisji poszczególnych zanieczyszczeń do atmosfery w Gminie Pabianice w 2018 roku</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_Toc20219238 \h </w:instrText>
        </w:r>
        <w:r w:rsidR="00E2457B" w:rsidRPr="00E2457B">
          <w:rPr>
            <w:noProof/>
            <w:webHidden/>
          </w:rPr>
        </w:r>
        <w:r w:rsidR="00E2457B" w:rsidRPr="00E2457B">
          <w:rPr>
            <w:noProof/>
            <w:webHidden/>
          </w:rPr>
          <w:fldChar w:fldCharType="separate"/>
        </w:r>
        <w:r w:rsidR="002F538E">
          <w:rPr>
            <w:noProof/>
            <w:webHidden/>
          </w:rPr>
          <w:t>59</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39" w:history="1">
        <w:r w:rsidR="00E2457B" w:rsidRPr="00E2457B">
          <w:rPr>
            <w:rStyle w:val="Hipercze"/>
            <w:rFonts w:ascii="Lato" w:hAnsi="Lato"/>
            <w:noProof/>
          </w:rPr>
          <w:t>Rysunek 2</w:t>
        </w:r>
        <w:r w:rsidR="00E2457B" w:rsidRPr="00E2457B">
          <w:rPr>
            <w:rStyle w:val="Hipercze"/>
            <w:rFonts w:ascii="Lato" w:hAnsi="Lato"/>
            <w:noProof/>
          </w:rPr>
          <w:noBreakHyphen/>
          <w:t>20 Udział emisji zastępczej z poszczególnych źródeł emisji w całkowitej emisji substancji szkodliwych przeliczonych na emisję równoważną SO</w:t>
        </w:r>
        <w:r w:rsidR="00E2457B" w:rsidRPr="00E2457B">
          <w:rPr>
            <w:rStyle w:val="Hipercze"/>
            <w:rFonts w:ascii="Lato" w:hAnsi="Lato"/>
            <w:noProof/>
            <w:vertAlign w:val="subscript"/>
          </w:rPr>
          <w:t>2</w:t>
        </w:r>
        <w:r w:rsidR="00E2457B" w:rsidRPr="00E2457B">
          <w:rPr>
            <w:rStyle w:val="Hipercze"/>
            <w:rFonts w:ascii="Lato" w:hAnsi="Lato"/>
            <w:noProof/>
          </w:rPr>
          <w:t>w Gminie Pabianice w 2018 roku</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_Toc20219239 \h </w:instrText>
        </w:r>
        <w:r w:rsidR="00E2457B" w:rsidRPr="00E2457B">
          <w:rPr>
            <w:noProof/>
            <w:webHidden/>
          </w:rPr>
        </w:r>
        <w:r w:rsidR="00E2457B" w:rsidRPr="00E2457B">
          <w:rPr>
            <w:noProof/>
            <w:webHidden/>
          </w:rPr>
          <w:fldChar w:fldCharType="separate"/>
        </w:r>
        <w:r w:rsidR="002F538E">
          <w:rPr>
            <w:noProof/>
            <w:webHidden/>
          </w:rPr>
          <w:t>59</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40" w:history="1">
        <w:r w:rsidR="00E2457B" w:rsidRPr="00E2457B">
          <w:rPr>
            <w:rStyle w:val="Hipercze"/>
            <w:rFonts w:ascii="Lato" w:hAnsi="Lato"/>
            <w:bCs/>
            <w:noProof/>
          </w:rPr>
          <w:t>Rysunek 2</w:t>
        </w:r>
        <w:r w:rsidR="00E2457B" w:rsidRPr="00E2457B">
          <w:rPr>
            <w:rStyle w:val="Hipercze"/>
            <w:rFonts w:ascii="Lato" w:hAnsi="Lato"/>
            <w:bCs/>
            <w:noProof/>
          </w:rPr>
          <w:noBreakHyphen/>
          <w:t>21</w:t>
        </w:r>
        <w:r w:rsidR="00E2457B" w:rsidRPr="00E2457B">
          <w:rPr>
            <w:rStyle w:val="Hipercze"/>
            <w:rFonts w:ascii="Lato" w:hAnsi="Lato"/>
            <w:noProof/>
          </w:rPr>
          <w:t xml:space="preserve"> Porównanie kosztów wytworzenia energii w odniesieniu do energii użytecznej dla różnych nośników</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_Toc20219240 \h </w:instrText>
        </w:r>
        <w:r w:rsidR="00E2457B" w:rsidRPr="00E2457B">
          <w:rPr>
            <w:noProof/>
            <w:webHidden/>
          </w:rPr>
        </w:r>
        <w:r w:rsidR="00E2457B" w:rsidRPr="00E2457B">
          <w:rPr>
            <w:noProof/>
            <w:webHidden/>
          </w:rPr>
          <w:fldChar w:fldCharType="separate"/>
        </w:r>
        <w:r w:rsidR="002F538E">
          <w:rPr>
            <w:noProof/>
            <w:webHidden/>
          </w:rPr>
          <w:t>62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41" w:history="1">
        <w:r w:rsidR="00E2457B" w:rsidRPr="00E2457B">
          <w:rPr>
            <w:rStyle w:val="Hipercze"/>
            <w:rFonts w:ascii="Lato" w:hAnsi="Lato"/>
            <w:bCs/>
            <w:noProof/>
          </w:rPr>
          <w:t>Rysunek 2</w:t>
        </w:r>
        <w:r w:rsidR="00E2457B" w:rsidRPr="00E2457B">
          <w:rPr>
            <w:rStyle w:val="Hipercze"/>
            <w:rFonts w:ascii="Lato" w:hAnsi="Lato"/>
            <w:bCs/>
            <w:noProof/>
          </w:rPr>
          <w:noBreakHyphen/>
          <w:t>22</w:t>
        </w:r>
        <w:r w:rsidR="00E2457B" w:rsidRPr="00E2457B">
          <w:rPr>
            <w:rStyle w:val="Hipercze"/>
            <w:rFonts w:ascii="Lato" w:hAnsi="Lato"/>
            <w:noProof/>
          </w:rPr>
          <w:t xml:space="preserve"> Porównanie rocznych kosztów wytworzenia energii w odniesieniu do jednostkowych wskaźników kosztów energii użytecznej dla różnych nośników</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_Toc20219241 \h </w:instrText>
        </w:r>
        <w:r w:rsidR="00E2457B" w:rsidRPr="00E2457B">
          <w:rPr>
            <w:noProof/>
            <w:webHidden/>
          </w:rPr>
        </w:r>
        <w:r w:rsidR="00E2457B" w:rsidRPr="00E2457B">
          <w:rPr>
            <w:noProof/>
            <w:webHidden/>
          </w:rPr>
          <w:fldChar w:fldCharType="separate"/>
        </w:r>
        <w:r w:rsidR="002F538E">
          <w:rPr>
            <w:noProof/>
            <w:webHidden/>
          </w:rPr>
          <w:t>63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42" w:history="1">
        <w:r w:rsidR="00E2457B" w:rsidRPr="00E2457B">
          <w:rPr>
            <w:rStyle w:val="Hipercze"/>
            <w:rFonts w:ascii="Lato" w:hAnsi="Lato"/>
            <w:bCs/>
            <w:noProof/>
          </w:rPr>
          <w:t>Rysunek 3</w:t>
        </w:r>
        <w:r w:rsidR="00E2457B" w:rsidRPr="00E2457B">
          <w:rPr>
            <w:rStyle w:val="Hipercze"/>
            <w:rFonts w:ascii="Lato" w:hAnsi="Lato"/>
            <w:bCs/>
            <w:noProof/>
          </w:rPr>
          <w:noBreakHyphen/>
          <w:t>1 Różnica potencjałów dostępności zasobów odnawialnych źródeł energii</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_Toc20219242 \h </w:instrText>
        </w:r>
        <w:r w:rsidR="00E2457B" w:rsidRPr="00E2457B">
          <w:rPr>
            <w:noProof/>
            <w:webHidden/>
          </w:rPr>
        </w:r>
        <w:r w:rsidR="00E2457B" w:rsidRPr="00E2457B">
          <w:rPr>
            <w:noProof/>
            <w:webHidden/>
          </w:rPr>
          <w:fldChar w:fldCharType="separate"/>
        </w:r>
        <w:r w:rsidR="002F538E">
          <w:rPr>
            <w:noProof/>
            <w:webHidden/>
          </w:rPr>
          <w:t>66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43" w:history="1">
        <w:r w:rsidR="00E2457B" w:rsidRPr="00E2457B">
          <w:rPr>
            <w:rStyle w:val="Hipercze"/>
            <w:rFonts w:ascii="Lato" w:hAnsi="Lato"/>
            <w:bCs/>
            <w:noProof/>
          </w:rPr>
          <w:t>Rysunek 3</w:t>
        </w:r>
        <w:r w:rsidR="00E2457B" w:rsidRPr="00E2457B">
          <w:rPr>
            <w:rStyle w:val="Hipercze"/>
            <w:rFonts w:ascii="Lato" w:hAnsi="Lato"/>
            <w:bCs/>
            <w:noProof/>
          </w:rPr>
          <w:noBreakHyphen/>
          <w:t>2 Struktura produkcji energii elektrycznej w polskim systemie elektroenergetycznym – stan na grudzień 2016</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_Toc20219243 \h </w:instrText>
        </w:r>
        <w:r w:rsidR="00E2457B" w:rsidRPr="00E2457B">
          <w:rPr>
            <w:noProof/>
            <w:webHidden/>
          </w:rPr>
        </w:r>
        <w:r w:rsidR="00E2457B" w:rsidRPr="00E2457B">
          <w:rPr>
            <w:noProof/>
            <w:webHidden/>
          </w:rPr>
          <w:fldChar w:fldCharType="separate"/>
        </w:r>
        <w:r w:rsidR="002F538E">
          <w:rPr>
            <w:noProof/>
            <w:webHidden/>
          </w:rPr>
          <w:t>67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44" w:history="1">
        <w:r w:rsidR="00E2457B" w:rsidRPr="00E2457B">
          <w:rPr>
            <w:rStyle w:val="Hipercze"/>
            <w:rFonts w:ascii="Lato" w:hAnsi="Lato"/>
            <w:bCs/>
            <w:noProof/>
          </w:rPr>
          <w:t>Rysunek 3</w:t>
        </w:r>
        <w:r w:rsidR="00E2457B" w:rsidRPr="00E2457B">
          <w:rPr>
            <w:rStyle w:val="Hipercze"/>
            <w:rFonts w:ascii="Lato" w:hAnsi="Lato"/>
            <w:bCs/>
            <w:noProof/>
          </w:rPr>
          <w:noBreakHyphen/>
          <w:t>3Udział poszczególnych technologii OZE w produkcji energii elektrycznej w Polsce w latach 2005 – 2016</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_Toc20219244 \h </w:instrText>
        </w:r>
        <w:r w:rsidR="00E2457B" w:rsidRPr="00E2457B">
          <w:rPr>
            <w:noProof/>
            <w:webHidden/>
          </w:rPr>
        </w:r>
        <w:r w:rsidR="00E2457B" w:rsidRPr="00E2457B">
          <w:rPr>
            <w:noProof/>
            <w:webHidden/>
          </w:rPr>
          <w:fldChar w:fldCharType="separate"/>
        </w:r>
        <w:r w:rsidR="002F538E">
          <w:rPr>
            <w:noProof/>
            <w:webHidden/>
          </w:rPr>
          <w:t>67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45" w:history="1">
        <w:r w:rsidR="00E2457B" w:rsidRPr="00E2457B">
          <w:rPr>
            <w:rStyle w:val="Hipercze"/>
            <w:rFonts w:ascii="Lato" w:hAnsi="Lato"/>
            <w:bCs/>
            <w:noProof/>
            <w:spacing w:val="-2"/>
          </w:rPr>
          <w:t>Rysunek 3</w:t>
        </w:r>
        <w:r w:rsidR="00E2457B" w:rsidRPr="00E2457B">
          <w:rPr>
            <w:rStyle w:val="Hipercze"/>
            <w:rFonts w:ascii="Lato" w:hAnsi="Lato"/>
            <w:bCs/>
            <w:noProof/>
            <w:spacing w:val="-2"/>
          </w:rPr>
          <w:noBreakHyphen/>
          <w:t>4 Zasoby energii wiatrowej w Polsce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_Toc20219245 \h </w:instrText>
        </w:r>
        <w:r w:rsidR="00E2457B" w:rsidRPr="00E2457B">
          <w:rPr>
            <w:noProof/>
            <w:webHidden/>
          </w:rPr>
        </w:r>
        <w:r w:rsidR="00E2457B" w:rsidRPr="00E2457B">
          <w:rPr>
            <w:noProof/>
            <w:webHidden/>
          </w:rPr>
          <w:fldChar w:fldCharType="separate"/>
        </w:r>
        <w:r w:rsidR="002F538E">
          <w:rPr>
            <w:noProof/>
            <w:webHidden/>
          </w:rPr>
          <w:t>68</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46" w:history="1">
        <w:r w:rsidR="00E2457B" w:rsidRPr="00E2457B">
          <w:rPr>
            <w:rStyle w:val="Hipercze"/>
            <w:rFonts w:ascii="Lato" w:hAnsi="Lato"/>
            <w:bCs/>
            <w:noProof/>
            <w:spacing w:val="-2"/>
          </w:rPr>
          <w:t>Rysunek 3</w:t>
        </w:r>
        <w:r w:rsidR="00E2457B" w:rsidRPr="00E2457B">
          <w:rPr>
            <w:rStyle w:val="Hipercze"/>
            <w:rFonts w:ascii="Lato" w:hAnsi="Lato"/>
            <w:bCs/>
            <w:noProof/>
            <w:spacing w:val="-2"/>
          </w:rPr>
          <w:noBreakHyphen/>
          <w:t>5 Zasoby energii geotermalnej w Polsce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_Toc20219246 \h </w:instrText>
        </w:r>
        <w:r w:rsidR="00E2457B" w:rsidRPr="00E2457B">
          <w:rPr>
            <w:noProof/>
            <w:webHidden/>
          </w:rPr>
        </w:r>
        <w:r w:rsidR="00E2457B" w:rsidRPr="00E2457B">
          <w:rPr>
            <w:noProof/>
            <w:webHidden/>
          </w:rPr>
          <w:fldChar w:fldCharType="separate"/>
        </w:r>
        <w:r w:rsidR="002F538E">
          <w:rPr>
            <w:noProof/>
            <w:webHidden/>
          </w:rPr>
          <w:t>72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47" w:history="1">
        <w:r w:rsidR="00E2457B" w:rsidRPr="00E2457B">
          <w:rPr>
            <w:rStyle w:val="Hipercze"/>
            <w:rFonts w:ascii="Lato" w:hAnsi="Lato"/>
            <w:bCs/>
            <w:noProof/>
            <w:spacing w:val="-2"/>
          </w:rPr>
          <w:t>Rysunek 3</w:t>
        </w:r>
        <w:r w:rsidR="00E2457B" w:rsidRPr="00E2457B">
          <w:rPr>
            <w:rStyle w:val="Hipercze"/>
            <w:rFonts w:ascii="Lato" w:hAnsi="Lato"/>
            <w:bCs/>
            <w:noProof/>
            <w:spacing w:val="-2"/>
          </w:rPr>
          <w:noBreakHyphen/>
          <w:t>6 Schemat instalacji pompy ciepła z wymiennikiem gruntowym</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_Toc20219247 \h </w:instrText>
        </w:r>
        <w:r w:rsidR="00E2457B" w:rsidRPr="00E2457B">
          <w:rPr>
            <w:noProof/>
            <w:webHidden/>
          </w:rPr>
        </w:r>
        <w:r w:rsidR="00E2457B" w:rsidRPr="00E2457B">
          <w:rPr>
            <w:noProof/>
            <w:webHidden/>
          </w:rPr>
          <w:fldChar w:fldCharType="separate"/>
        </w:r>
        <w:r w:rsidR="002F538E">
          <w:rPr>
            <w:noProof/>
            <w:webHidden/>
          </w:rPr>
          <w:t>73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48" w:history="1">
        <w:r w:rsidR="00E2457B" w:rsidRPr="00E2457B">
          <w:rPr>
            <w:rStyle w:val="Hipercze"/>
            <w:rFonts w:ascii="Lato" w:hAnsi="Lato"/>
            <w:bCs/>
            <w:noProof/>
            <w:spacing w:val="-2"/>
          </w:rPr>
          <w:t>Rysunek 3</w:t>
        </w:r>
        <w:r w:rsidR="00E2457B" w:rsidRPr="00E2457B">
          <w:rPr>
            <w:rStyle w:val="Hipercze"/>
            <w:rFonts w:ascii="Lato" w:hAnsi="Lato"/>
            <w:bCs/>
            <w:noProof/>
            <w:spacing w:val="-2"/>
          </w:rPr>
          <w:noBreakHyphen/>
          <w:t>7 Schemat złoża gruntowego wymiennika ciepła</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_Toc20219248 \h </w:instrText>
        </w:r>
        <w:r w:rsidR="00E2457B" w:rsidRPr="00E2457B">
          <w:rPr>
            <w:noProof/>
            <w:webHidden/>
          </w:rPr>
        </w:r>
        <w:r w:rsidR="00E2457B" w:rsidRPr="00E2457B">
          <w:rPr>
            <w:noProof/>
            <w:webHidden/>
          </w:rPr>
          <w:fldChar w:fldCharType="separate"/>
        </w:r>
        <w:r w:rsidR="002F538E">
          <w:rPr>
            <w:noProof/>
            <w:webHidden/>
          </w:rPr>
          <w:t>75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49" w:history="1">
        <w:r w:rsidR="00E2457B" w:rsidRPr="00E2457B">
          <w:rPr>
            <w:rStyle w:val="Hipercze"/>
            <w:rFonts w:ascii="Lato" w:hAnsi="Lato"/>
            <w:bCs/>
            <w:noProof/>
            <w:spacing w:val="-2"/>
          </w:rPr>
          <w:t>Rysunek 3</w:t>
        </w:r>
        <w:r w:rsidR="00E2457B" w:rsidRPr="00E2457B">
          <w:rPr>
            <w:rStyle w:val="Hipercze"/>
            <w:rFonts w:ascii="Lato" w:hAnsi="Lato"/>
            <w:bCs/>
            <w:noProof/>
            <w:spacing w:val="-2"/>
          </w:rPr>
          <w:noBreakHyphen/>
          <w:t>8 Wykres skumulowanych przepływów pieniężnych – c.o. z paliwa węglowego - bez dotacji</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_Toc20219249 \h </w:instrText>
        </w:r>
        <w:r w:rsidR="00E2457B" w:rsidRPr="00E2457B">
          <w:rPr>
            <w:noProof/>
            <w:webHidden/>
          </w:rPr>
        </w:r>
        <w:r w:rsidR="00E2457B" w:rsidRPr="00E2457B">
          <w:rPr>
            <w:noProof/>
            <w:webHidden/>
          </w:rPr>
          <w:fldChar w:fldCharType="separate"/>
        </w:r>
        <w:r w:rsidR="002F538E">
          <w:rPr>
            <w:noProof/>
            <w:webHidden/>
          </w:rPr>
          <w:t>76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50" w:history="1">
        <w:r w:rsidR="00E2457B" w:rsidRPr="00E2457B">
          <w:rPr>
            <w:rStyle w:val="Hipercze"/>
            <w:rFonts w:ascii="Lato" w:hAnsi="Lato"/>
            <w:bCs/>
            <w:noProof/>
            <w:spacing w:val="-2"/>
          </w:rPr>
          <w:t>Rysunek 3</w:t>
        </w:r>
        <w:r w:rsidR="00E2457B" w:rsidRPr="00E2457B">
          <w:rPr>
            <w:rStyle w:val="Hipercze"/>
            <w:rFonts w:ascii="Lato" w:hAnsi="Lato"/>
            <w:bCs/>
            <w:noProof/>
            <w:spacing w:val="-2"/>
          </w:rPr>
          <w:noBreakHyphen/>
          <w:t>9 Wykres skumulowanych przepływów pieniężnych – c.o. z paliwa gazowego - bez dotacji</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_Toc20219250 \h </w:instrText>
        </w:r>
        <w:r w:rsidR="00E2457B" w:rsidRPr="00E2457B">
          <w:rPr>
            <w:noProof/>
            <w:webHidden/>
          </w:rPr>
        </w:r>
        <w:r w:rsidR="00E2457B" w:rsidRPr="00E2457B">
          <w:rPr>
            <w:noProof/>
            <w:webHidden/>
          </w:rPr>
          <w:fldChar w:fldCharType="separate"/>
        </w:r>
        <w:r w:rsidR="002F538E">
          <w:rPr>
            <w:noProof/>
            <w:webHidden/>
          </w:rPr>
          <w:t>77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51" w:history="1">
        <w:r w:rsidR="00E2457B" w:rsidRPr="00E2457B">
          <w:rPr>
            <w:rStyle w:val="Hipercze"/>
            <w:rFonts w:ascii="Lato" w:hAnsi="Lato"/>
            <w:bCs/>
            <w:noProof/>
            <w:spacing w:val="-2"/>
          </w:rPr>
          <w:t>Rysunek 3</w:t>
        </w:r>
        <w:r w:rsidR="00E2457B" w:rsidRPr="00E2457B">
          <w:rPr>
            <w:rStyle w:val="Hipercze"/>
            <w:rFonts w:ascii="Lato" w:hAnsi="Lato"/>
            <w:bCs/>
            <w:noProof/>
            <w:spacing w:val="-2"/>
          </w:rPr>
          <w:noBreakHyphen/>
          <w:t>10 Potencjał techniczny wykorzystania energii słonecznej w Polsce</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_Toc20219251 \h </w:instrText>
        </w:r>
        <w:r w:rsidR="00E2457B" w:rsidRPr="00E2457B">
          <w:rPr>
            <w:noProof/>
            <w:webHidden/>
          </w:rPr>
        </w:r>
        <w:r w:rsidR="00E2457B" w:rsidRPr="00E2457B">
          <w:rPr>
            <w:noProof/>
            <w:webHidden/>
          </w:rPr>
          <w:fldChar w:fldCharType="separate"/>
        </w:r>
        <w:r w:rsidR="002F538E">
          <w:rPr>
            <w:noProof/>
            <w:webHidden/>
          </w:rPr>
          <w:t>79</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52" w:history="1">
        <w:r w:rsidR="00E2457B" w:rsidRPr="00E2457B">
          <w:rPr>
            <w:rStyle w:val="Hipercze"/>
            <w:rFonts w:ascii="Lato" w:hAnsi="Lato"/>
            <w:bCs/>
            <w:noProof/>
            <w:spacing w:val="-2"/>
          </w:rPr>
          <w:t>Rysunek 3</w:t>
        </w:r>
        <w:r w:rsidR="00E2457B" w:rsidRPr="00E2457B">
          <w:rPr>
            <w:rStyle w:val="Hipercze"/>
            <w:rFonts w:ascii="Lato" w:hAnsi="Lato"/>
            <w:bCs/>
            <w:noProof/>
            <w:spacing w:val="-2"/>
          </w:rPr>
          <w:noBreakHyphen/>
          <w:t>11 Schemat funkcjonalny instalacji z obiegiem wymuszonym (system aktywny pośredni)</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_Toc20219252 \h </w:instrText>
        </w:r>
        <w:r w:rsidR="00E2457B" w:rsidRPr="00E2457B">
          <w:rPr>
            <w:noProof/>
            <w:webHidden/>
          </w:rPr>
        </w:r>
        <w:r w:rsidR="00E2457B" w:rsidRPr="00E2457B">
          <w:rPr>
            <w:noProof/>
            <w:webHidden/>
          </w:rPr>
          <w:fldChar w:fldCharType="separate"/>
        </w:r>
        <w:r w:rsidR="002F538E">
          <w:rPr>
            <w:noProof/>
            <w:webHidden/>
          </w:rPr>
          <w:t>81</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53" w:history="1">
        <w:r w:rsidR="00E2457B" w:rsidRPr="00E2457B">
          <w:rPr>
            <w:rStyle w:val="Hipercze"/>
            <w:rFonts w:ascii="Lato" w:hAnsi="Lato"/>
            <w:bCs/>
            <w:noProof/>
            <w:spacing w:val="-2"/>
          </w:rPr>
          <w:t>Rysunek 3</w:t>
        </w:r>
        <w:r w:rsidR="00E2457B" w:rsidRPr="00E2457B">
          <w:rPr>
            <w:rStyle w:val="Hipercze"/>
            <w:rFonts w:ascii="Lato" w:hAnsi="Lato"/>
            <w:bCs/>
            <w:noProof/>
            <w:spacing w:val="-2"/>
          </w:rPr>
          <w:noBreakHyphen/>
          <w:t>12 Wykres skumulowanych przepływów pieniężnych – c.w.u. z węgla kamiennego</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_Toc20219253 \h </w:instrText>
        </w:r>
        <w:r w:rsidR="00E2457B" w:rsidRPr="00E2457B">
          <w:rPr>
            <w:noProof/>
            <w:webHidden/>
          </w:rPr>
        </w:r>
        <w:r w:rsidR="00E2457B" w:rsidRPr="00E2457B">
          <w:rPr>
            <w:noProof/>
            <w:webHidden/>
          </w:rPr>
          <w:fldChar w:fldCharType="separate"/>
        </w:r>
        <w:r w:rsidR="002F538E">
          <w:rPr>
            <w:noProof/>
            <w:webHidden/>
          </w:rPr>
          <w:t>82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54" w:history="1">
        <w:r w:rsidR="00E2457B" w:rsidRPr="00E2457B">
          <w:rPr>
            <w:rStyle w:val="Hipercze"/>
            <w:rFonts w:ascii="Lato" w:hAnsi="Lato"/>
            <w:bCs/>
            <w:noProof/>
            <w:spacing w:val="-2"/>
          </w:rPr>
          <w:t>Rysunek 3</w:t>
        </w:r>
        <w:r w:rsidR="00E2457B" w:rsidRPr="00E2457B">
          <w:rPr>
            <w:rStyle w:val="Hipercze"/>
            <w:rFonts w:ascii="Lato" w:hAnsi="Lato"/>
            <w:bCs/>
            <w:noProof/>
            <w:spacing w:val="-2"/>
          </w:rPr>
          <w:noBreakHyphen/>
          <w:t>13 Wykres skumulowanych przepływów pieniężnych – c.w.u. z energii elektrycznej</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_Toc20219254 \h </w:instrText>
        </w:r>
        <w:r w:rsidR="00E2457B" w:rsidRPr="00E2457B">
          <w:rPr>
            <w:noProof/>
            <w:webHidden/>
          </w:rPr>
        </w:r>
        <w:r w:rsidR="00E2457B" w:rsidRPr="00E2457B">
          <w:rPr>
            <w:noProof/>
            <w:webHidden/>
          </w:rPr>
          <w:fldChar w:fldCharType="separate"/>
        </w:r>
        <w:r w:rsidR="002F538E">
          <w:rPr>
            <w:noProof/>
            <w:webHidden/>
          </w:rPr>
          <w:t>83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55" w:history="1">
        <w:r w:rsidR="00E2457B" w:rsidRPr="00E2457B">
          <w:rPr>
            <w:rStyle w:val="Hipercze"/>
            <w:rFonts w:ascii="Lato" w:hAnsi="Lato"/>
            <w:bCs/>
            <w:noProof/>
            <w:spacing w:val="-2"/>
          </w:rPr>
          <w:t>Rysunek 3</w:t>
        </w:r>
        <w:r w:rsidR="00E2457B" w:rsidRPr="00E2457B">
          <w:rPr>
            <w:rStyle w:val="Hipercze"/>
            <w:rFonts w:ascii="Lato" w:hAnsi="Lato"/>
            <w:bCs/>
            <w:noProof/>
            <w:spacing w:val="-2"/>
          </w:rPr>
          <w:noBreakHyphen/>
          <w:t>14 Wykres skumulowanych przepływów pieniężnych – c.w.u. z gazu ziemnego</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_Toc20219255 \h </w:instrText>
        </w:r>
        <w:r w:rsidR="00E2457B" w:rsidRPr="00E2457B">
          <w:rPr>
            <w:noProof/>
            <w:webHidden/>
          </w:rPr>
        </w:r>
        <w:r w:rsidR="00E2457B" w:rsidRPr="00E2457B">
          <w:rPr>
            <w:noProof/>
            <w:webHidden/>
          </w:rPr>
          <w:fldChar w:fldCharType="separate"/>
        </w:r>
        <w:r w:rsidR="002F538E">
          <w:rPr>
            <w:noProof/>
            <w:webHidden/>
          </w:rPr>
          <w:t>83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56" w:history="1">
        <w:r w:rsidR="00E2457B" w:rsidRPr="00E2457B">
          <w:rPr>
            <w:rStyle w:val="Hipercze"/>
            <w:rFonts w:ascii="Lato" w:hAnsi="Lato"/>
            <w:bCs/>
            <w:noProof/>
          </w:rPr>
          <w:t>Rysunek 5</w:t>
        </w:r>
        <w:r w:rsidR="00E2457B" w:rsidRPr="00E2457B">
          <w:rPr>
            <w:rStyle w:val="Hipercze"/>
            <w:rFonts w:ascii="Lato" w:hAnsi="Lato"/>
            <w:bCs/>
            <w:noProof/>
          </w:rPr>
          <w:noBreakHyphen/>
          <w:t>1</w:t>
        </w:r>
        <w:r w:rsidR="00E2457B" w:rsidRPr="00E2457B">
          <w:rPr>
            <w:rStyle w:val="Hipercze"/>
            <w:rFonts w:ascii="Lato" w:hAnsi="Lato"/>
            <w:noProof/>
          </w:rPr>
          <w:t xml:space="preserve"> Prognozowane zmiany zużycia energii elektrycznej do roku 2035</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_Toc20219256 \h </w:instrText>
        </w:r>
        <w:r w:rsidR="00E2457B" w:rsidRPr="00E2457B">
          <w:rPr>
            <w:noProof/>
            <w:webHidden/>
          </w:rPr>
        </w:r>
        <w:r w:rsidR="00E2457B" w:rsidRPr="00E2457B">
          <w:rPr>
            <w:noProof/>
            <w:webHidden/>
          </w:rPr>
          <w:fldChar w:fldCharType="separate"/>
        </w:r>
        <w:r w:rsidR="002F538E">
          <w:rPr>
            <w:noProof/>
            <w:webHidden/>
          </w:rPr>
          <w:t>102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57" w:history="1">
        <w:r w:rsidR="00E2457B" w:rsidRPr="00E2457B">
          <w:rPr>
            <w:rStyle w:val="Hipercze"/>
            <w:rFonts w:ascii="Lato" w:hAnsi="Lato"/>
            <w:noProof/>
          </w:rPr>
          <w:t>Rysunek 5</w:t>
        </w:r>
        <w:r w:rsidR="00E2457B" w:rsidRPr="00E2457B">
          <w:rPr>
            <w:rStyle w:val="Hipercze"/>
            <w:rFonts w:ascii="Lato" w:hAnsi="Lato"/>
            <w:noProof/>
          </w:rPr>
          <w:noBreakHyphen/>
          <w:t>2 Prognozowane zmiany zużycia gazu ziemnego do roku 2035</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_Toc20219257 \h </w:instrText>
        </w:r>
        <w:r w:rsidR="00E2457B" w:rsidRPr="00E2457B">
          <w:rPr>
            <w:noProof/>
            <w:webHidden/>
          </w:rPr>
        </w:r>
        <w:r w:rsidR="00E2457B" w:rsidRPr="00E2457B">
          <w:rPr>
            <w:noProof/>
            <w:webHidden/>
          </w:rPr>
          <w:fldChar w:fldCharType="separate"/>
        </w:r>
        <w:r w:rsidR="002F538E">
          <w:rPr>
            <w:noProof/>
            <w:webHidden/>
          </w:rPr>
          <w:t>102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58" w:history="1">
        <w:r w:rsidR="00E2457B" w:rsidRPr="00E2457B">
          <w:rPr>
            <w:rStyle w:val="Hipercze"/>
            <w:rFonts w:ascii="Lato" w:hAnsi="Lato"/>
            <w:noProof/>
            <w:spacing w:val="-2"/>
          </w:rPr>
          <w:t>Rysunek 6</w:t>
        </w:r>
        <w:r w:rsidR="00E2457B" w:rsidRPr="00E2457B">
          <w:rPr>
            <w:rStyle w:val="Hipercze"/>
            <w:rFonts w:ascii="Lato" w:hAnsi="Lato"/>
            <w:noProof/>
            <w:spacing w:val="-2"/>
          </w:rPr>
          <w:noBreakHyphen/>
          <w:t>1 Struktura kosztów w obiektach</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_Toc20219258 \h </w:instrText>
        </w:r>
        <w:r w:rsidR="00E2457B" w:rsidRPr="00E2457B">
          <w:rPr>
            <w:noProof/>
            <w:webHidden/>
          </w:rPr>
        </w:r>
        <w:r w:rsidR="00E2457B" w:rsidRPr="00E2457B">
          <w:rPr>
            <w:noProof/>
            <w:webHidden/>
          </w:rPr>
          <w:fldChar w:fldCharType="separate"/>
        </w:r>
        <w:r w:rsidR="002F538E">
          <w:rPr>
            <w:noProof/>
            <w:webHidden/>
          </w:rPr>
          <w:t>107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59" w:history="1">
        <w:r w:rsidR="00E2457B" w:rsidRPr="00E2457B">
          <w:rPr>
            <w:rStyle w:val="Hipercze"/>
            <w:rFonts w:ascii="Lato" w:hAnsi="Lato"/>
            <w:noProof/>
          </w:rPr>
          <w:t>Rysunek 6</w:t>
        </w:r>
        <w:r w:rsidR="00E2457B" w:rsidRPr="00E2457B">
          <w:rPr>
            <w:rStyle w:val="Hipercze"/>
            <w:rFonts w:ascii="Lato" w:hAnsi="Lato"/>
            <w:noProof/>
          </w:rPr>
          <w:noBreakHyphen/>
          <w:t>2 Koszty wody i poszczególnych mediów energetycznych w analizowanej grupie obiektów  w latach 2016 - 2018</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_Toc20219259 \h </w:instrText>
        </w:r>
        <w:r w:rsidR="00E2457B" w:rsidRPr="00E2457B">
          <w:rPr>
            <w:noProof/>
            <w:webHidden/>
          </w:rPr>
        </w:r>
        <w:r w:rsidR="00E2457B" w:rsidRPr="00E2457B">
          <w:rPr>
            <w:noProof/>
            <w:webHidden/>
          </w:rPr>
          <w:fldChar w:fldCharType="separate"/>
        </w:r>
        <w:r w:rsidR="002F538E">
          <w:rPr>
            <w:noProof/>
            <w:webHidden/>
          </w:rPr>
          <w:t>108</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60" w:history="1">
        <w:r w:rsidR="00E2457B" w:rsidRPr="00E2457B">
          <w:rPr>
            <w:rStyle w:val="Hipercze"/>
            <w:rFonts w:ascii="Lato" w:hAnsi="Lato"/>
            <w:noProof/>
            <w:spacing w:val="-2"/>
          </w:rPr>
          <w:t>Rysunek 6</w:t>
        </w:r>
        <w:r w:rsidR="00E2457B" w:rsidRPr="00E2457B">
          <w:rPr>
            <w:rStyle w:val="Hipercze"/>
            <w:rFonts w:ascii="Lato" w:hAnsi="Lato"/>
            <w:noProof/>
            <w:spacing w:val="-2"/>
          </w:rPr>
          <w:noBreakHyphen/>
          <w:t>3 Struktura zużycia paliw i energii w obiektach</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_Toc20219260 \h </w:instrText>
        </w:r>
        <w:r w:rsidR="00E2457B" w:rsidRPr="00E2457B">
          <w:rPr>
            <w:noProof/>
            <w:webHidden/>
          </w:rPr>
        </w:r>
        <w:r w:rsidR="00E2457B" w:rsidRPr="00E2457B">
          <w:rPr>
            <w:noProof/>
            <w:webHidden/>
          </w:rPr>
          <w:fldChar w:fldCharType="separate"/>
        </w:r>
        <w:r w:rsidR="002F538E">
          <w:rPr>
            <w:noProof/>
            <w:webHidden/>
          </w:rPr>
          <w:t>109</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61" w:history="1">
        <w:r w:rsidR="00E2457B" w:rsidRPr="00E2457B">
          <w:rPr>
            <w:rStyle w:val="Hipercze"/>
            <w:rFonts w:ascii="Lato" w:hAnsi="Lato"/>
            <w:noProof/>
          </w:rPr>
          <w:t>Rysunek 6</w:t>
        </w:r>
        <w:r w:rsidR="00E2457B" w:rsidRPr="00E2457B">
          <w:rPr>
            <w:rStyle w:val="Hipercze"/>
            <w:rFonts w:ascii="Lato" w:hAnsi="Lato"/>
            <w:noProof/>
          </w:rPr>
          <w:noBreakHyphen/>
          <w:t>4 Zużycie wody, paliw i energii w grupie analizowanych obiektów w latach 2016 – 2018</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_Toc20219261 \h </w:instrText>
        </w:r>
        <w:r w:rsidR="00E2457B" w:rsidRPr="00E2457B">
          <w:rPr>
            <w:noProof/>
            <w:webHidden/>
          </w:rPr>
        </w:r>
        <w:r w:rsidR="00E2457B" w:rsidRPr="00E2457B">
          <w:rPr>
            <w:noProof/>
            <w:webHidden/>
          </w:rPr>
          <w:fldChar w:fldCharType="separate"/>
        </w:r>
        <w:r w:rsidR="002F538E">
          <w:rPr>
            <w:noProof/>
            <w:webHidden/>
          </w:rPr>
          <w:t>110</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62" w:history="1">
        <w:r w:rsidR="00E2457B" w:rsidRPr="00E2457B">
          <w:rPr>
            <w:rStyle w:val="Hipercze"/>
            <w:rFonts w:ascii="Lato" w:hAnsi="Lato"/>
            <w:noProof/>
          </w:rPr>
          <w:t>Rysunek 6</w:t>
        </w:r>
        <w:r w:rsidR="00E2457B" w:rsidRPr="00E2457B">
          <w:rPr>
            <w:rStyle w:val="Hipercze"/>
            <w:rFonts w:ascii="Lato" w:hAnsi="Lato"/>
            <w:noProof/>
          </w:rPr>
          <w:noBreakHyphen/>
          <w:t>5 Jednostkowe koszty energii elektrycznej</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_Toc20219262 \h </w:instrText>
        </w:r>
        <w:r w:rsidR="00E2457B" w:rsidRPr="00E2457B">
          <w:rPr>
            <w:noProof/>
            <w:webHidden/>
          </w:rPr>
        </w:r>
        <w:r w:rsidR="00E2457B" w:rsidRPr="00E2457B">
          <w:rPr>
            <w:noProof/>
            <w:webHidden/>
          </w:rPr>
          <w:fldChar w:fldCharType="separate"/>
        </w:r>
        <w:r w:rsidR="002F538E">
          <w:rPr>
            <w:noProof/>
            <w:webHidden/>
          </w:rPr>
          <w:t>112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63" w:history="1">
        <w:r w:rsidR="00E2457B" w:rsidRPr="00E2457B">
          <w:rPr>
            <w:rStyle w:val="Hipercze"/>
            <w:rFonts w:ascii="Lato" w:hAnsi="Lato"/>
            <w:noProof/>
          </w:rPr>
          <w:t>Rysunek 6</w:t>
        </w:r>
        <w:r w:rsidR="00E2457B" w:rsidRPr="00E2457B">
          <w:rPr>
            <w:rStyle w:val="Hipercze"/>
            <w:rFonts w:ascii="Lato" w:hAnsi="Lato"/>
            <w:noProof/>
          </w:rPr>
          <w:noBreakHyphen/>
          <w:t>6 Jednostkowe zużycie energii elektrycznej</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_Toc20219263 \h </w:instrText>
        </w:r>
        <w:r w:rsidR="00E2457B" w:rsidRPr="00E2457B">
          <w:rPr>
            <w:noProof/>
            <w:webHidden/>
          </w:rPr>
        </w:r>
        <w:r w:rsidR="00E2457B" w:rsidRPr="00E2457B">
          <w:rPr>
            <w:noProof/>
            <w:webHidden/>
          </w:rPr>
          <w:fldChar w:fldCharType="separate"/>
        </w:r>
        <w:r w:rsidR="002F538E">
          <w:rPr>
            <w:noProof/>
            <w:webHidden/>
          </w:rPr>
          <w:t>112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64" w:history="1">
        <w:r w:rsidR="00E2457B" w:rsidRPr="00E2457B">
          <w:rPr>
            <w:rStyle w:val="Hipercze"/>
            <w:rFonts w:ascii="Lato" w:hAnsi="Lato"/>
            <w:noProof/>
          </w:rPr>
          <w:t>Rysunek 6</w:t>
        </w:r>
        <w:r w:rsidR="00E2457B" w:rsidRPr="00E2457B">
          <w:rPr>
            <w:rStyle w:val="Hipercze"/>
            <w:rFonts w:ascii="Lato" w:hAnsi="Lato"/>
            <w:noProof/>
          </w:rPr>
          <w:noBreakHyphen/>
          <w:t>7 Porównanie kosztów jednostkowych energii elektrycznej w poszczególnych obiektach użyteczności publicznej</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_Toc20219264 \h </w:instrText>
        </w:r>
        <w:r w:rsidR="00E2457B" w:rsidRPr="00E2457B">
          <w:rPr>
            <w:noProof/>
            <w:webHidden/>
          </w:rPr>
        </w:r>
        <w:r w:rsidR="00E2457B" w:rsidRPr="00E2457B">
          <w:rPr>
            <w:noProof/>
            <w:webHidden/>
          </w:rPr>
          <w:fldChar w:fldCharType="separate"/>
        </w:r>
        <w:r w:rsidR="002F538E">
          <w:rPr>
            <w:noProof/>
            <w:webHidden/>
          </w:rPr>
          <w:t>113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65" w:history="1">
        <w:r w:rsidR="00E2457B" w:rsidRPr="00E2457B">
          <w:rPr>
            <w:rStyle w:val="Hipercze"/>
            <w:rFonts w:ascii="Lato" w:hAnsi="Lato"/>
            <w:noProof/>
          </w:rPr>
          <w:t>Rysunek 6</w:t>
        </w:r>
        <w:r w:rsidR="00E2457B" w:rsidRPr="00E2457B">
          <w:rPr>
            <w:rStyle w:val="Hipercze"/>
            <w:rFonts w:ascii="Lato" w:hAnsi="Lato"/>
            <w:noProof/>
          </w:rPr>
          <w:noBreakHyphen/>
          <w:t>8 Porównanie jednostkowego zużycia energii elektrycznej w poszczególnych obiektach użyteczności publicznej</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_Toc20219265 \h </w:instrText>
        </w:r>
        <w:r w:rsidR="00E2457B" w:rsidRPr="00E2457B">
          <w:rPr>
            <w:noProof/>
            <w:webHidden/>
          </w:rPr>
        </w:r>
        <w:r w:rsidR="00E2457B" w:rsidRPr="00E2457B">
          <w:rPr>
            <w:noProof/>
            <w:webHidden/>
          </w:rPr>
          <w:fldChar w:fldCharType="separate"/>
        </w:r>
        <w:r w:rsidR="002F538E">
          <w:rPr>
            <w:noProof/>
            <w:webHidden/>
          </w:rPr>
          <w:t>113</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66" w:history="1">
        <w:r w:rsidR="00E2457B" w:rsidRPr="00E2457B">
          <w:rPr>
            <w:rStyle w:val="Hipercze"/>
            <w:rFonts w:ascii="Lato" w:hAnsi="Lato"/>
            <w:noProof/>
          </w:rPr>
          <w:t>Rysunek 6</w:t>
        </w:r>
        <w:r w:rsidR="00E2457B" w:rsidRPr="00E2457B">
          <w:rPr>
            <w:rStyle w:val="Hipercze"/>
            <w:rFonts w:ascii="Lato" w:hAnsi="Lato"/>
            <w:noProof/>
          </w:rPr>
          <w:noBreakHyphen/>
          <w:t>9 Porównanie jednostkowej ceny energii elektrycznej w poszczególnych obiektach użyteczności publicznej (z wyłączeniem obiektów SWHer oraz BIB_Pia)</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_Toc20219266 \h </w:instrText>
        </w:r>
        <w:r w:rsidR="00E2457B" w:rsidRPr="00E2457B">
          <w:rPr>
            <w:noProof/>
            <w:webHidden/>
          </w:rPr>
        </w:r>
        <w:r w:rsidR="00E2457B" w:rsidRPr="00E2457B">
          <w:rPr>
            <w:noProof/>
            <w:webHidden/>
          </w:rPr>
          <w:fldChar w:fldCharType="separate"/>
        </w:r>
        <w:r w:rsidR="002F538E">
          <w:rPr>
            <w:noProof/>
            <w:webHidden/>
          </w:rPr>
          <w:t>114</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67" w:history="1">
        <w:r w:rsidR="00E2457B" w:rsidRPr="00E2457B">
          <w:rPr>
            <w:rStyle w:val="Hipercze"/>
            <w:rFonts w:ascii="Lato" w:hAnsi="Lato"/>
            <w:noProof/>
          </w:rPr>
          <w:t>Rysunek 6</w:t>
        </w:r>
        <w:r w:rsidR="00E2457B" w:rsidRPr="00E2457B">
          <w:rPr>
            <w:rStyle w:val="Hipercze"/>
            <w:rFonts w:ascii="Lato" w:hAnsi="Lato"/>
            <w:noProof/>
          </w:rPr>
          <w:noBreakHyphen/>
          <w:t>10 Jednostkowe koszty ciepła</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_Toc20219267 \h </w:instrText>
        </w:r>
        <w:r w:rsidR="00E2457B" w:rsidRPr="00E2457B">
          <w:rPr>
            <w:noProof/>
            <w:webHidden/>
          </w:rPr>
        </w:r>
        <w:r w:rsidR="00E2457B" w:rsidRPr="00E2457B">
          <w:rPr>
            <w:noProof/>
            <w:webHidden/>
          </w:rPr>
          <w:fldChar w:fldCharType="separate"/>
        </w:r>
        <w:r w:rsidR="002F538E">
          <w:rPr>
            <w:noProof/>
            <w:webHidden/>
          </w:rPr>
          <w:t>115</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68" w:history="1">
        <w:r w:rsidR="00E2457B" w:rsidRPr="00E2457B">
          <w:rPr>
            <w:rStyle w:val="Hipercze"/>
            <w:rFonts w:ascii="Lato" w:hAnsi="Lato"/>
            <w:noProof/>
          </w:rPr>
          <w:t>Rysunek 6</w:t>
        </w:r>
        <w:r w:rsidR="00E2457B" w:rsidRPr="00E2457B">
          <w:rPr>
            <w:rStyle w:val="Hipercze"/>
            <w:rFonts w:ascii="Lato" w:hAnsi="Lato"/>
            <w:noProof/>
          </w:rPr>
          <w:noBreakHyphen/>
          <w:t>11 Jednostkowe zużycie ciepła w analizowanych obiektach</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_Toc20219268 \h </w:instrText>
        </w:r>
        <w:r w:rsidR="00E2457B" w:rsidRPr="00E2457B">
          <w:rPr>
            <w:noProof/>
            <w:webHidden/>
          </w:rPr>
        </w:r>
        <w:r w:rsidR="00E2457B" w:rsidRPr="00E2457B">
          <w:rPr>
            <w:noProof/>
            <w:webHidden/>
          </w:rPr>
          <w:fldChar w:fldCharType="separate"/>
        </w:r>
        <w:r w:rsidR="002F538E">
          <w:rPr>
            <w:noProof/>
            <w:webHidden/>
          </w:rPr>
          <w:t>116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69" w:history="1">
        <w:r w:rsidR="00E2457B" w:rsidRPr="00E2457B">
          <w:rPr>
            <w:rStyle w:val="Hipercze"/>
            <w:rFonts w:ascii="Lato" w:hAnsi="Lato"/>
            <w:noProof/>
          </w:rPr>
          <w:t>Rysunek 6</w:t>
        </w:r>
        <w:r w:rsidR="00E2457B" w:rsidRPr="00E2457B">
          <w:rPr>
            <w:rStyle w:val="Hipercze"/>
            <w:rFonts w:ascii="Lato" w:hAnsi="Lato"/>
            <w:noProof/>
          </w:rPr>
          <w:noBreakHyphen/>
          <w:t>12 Koszty jednostkowe ciepła</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_Toc20219269 \h </w:instrText>
        </w:r>
        <w:r w:rsidR="00E2457B" w:rsidRPr="00E2457B">
          <w:rPr>
            <w:noProof/>
            <w:webHidden/>
          </w:rPr>
        </w:r>
        <w:r w:rsidR="00E2457B" w:rsidRPr="00E2457B">
          <w:rPr>
            <w:noProof/>
            <w:webHidden/>
          </w:rPr>
          <w:fldChar w:fldCharType="separate"/>
        </w:r>
        <w:r w:rsidR="002F538E">
          <w:rPr>
            <w:noProof/>
            <w:webHidden/>
          </w:rPr>
          <w:t>116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70" w:history="1">
        <w:r w:rsidR="00E2457B" w:rsidRPr="00E2457B">
          <w:rPr>
            <w:rStyle w:val="Hipercze"/>
            <w:rFonts w:ascii="Lato" w:hAnsi="Lato"/>
            <w:noProof/>
          </w:rPr>
          <w:t>Rysunek 6</w:t>
        </w:r>
        <w:r w:rsidR="00E2457B" w:rsidRPr="00E2457B">
          <w:rPr>
            <w:rStyle w:val="Hipercze"/>
            <w:rFonts w:ascii="Lato" w:hAnsi="Lato"/>
            <w:noProof/>
          </w:rPr>
          <w:noBreakHyphen/>
          <w:t>13 Jednostkowe zużycie ciepła</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_Toc20219270 \h </w:instrText>
        </w:r>
        <w:r w:rsidR="00E2457B" w:rsidRPr="00E2457B">
          <w:rPr>
            <w:noProof/>
            <w:webHidden/>
          </w:rPr>
        </w:r>
        <w:r w:rsidR="00E2457B" w:rsidRPr="00E2457B">
          <w:rPr>
            <w:noProof/>
            <w:webHidden/>
          </w:rPr>
          <w:fldChar w:fldCharType="separate"/>
        </w:r>
        <w:r w:rsidR="002F538E">
          <w:rPr>
            <w:noProof/>
            <w:webHidden/>
          </w:rPr>
          <w:t>117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71" w:history="1">
        <w:r w:rsidR="00E2457B" w:rsidRPr="00E2457B">
          <w:rPr>
            <w:rStyle w:val="Hipercze"/>
            <w:rFonts w:ascii="Lato" w:hAnsi="Lato"/>
            <w:noProof/>
          </w:rPr>
          <w:t>Rysunek 6</w:t>
        </w:r>
        <w:r w:rsidR="00E2457B" w:rsidRPr="00E2457B">
          <w:rPr>
            <w:rStyle w:val="Hipercze"/>
            <w:rFonts w:ascii="Lato" w:hAnsi="Lato"/>
            <w:noProof/>
          </w:rPr>
          <w:noBreakHyphen/>
          <w:t>14 Jednostkowa cena ciepła dla poszczególnych obiektów</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_Toc20219271 \h </w:instrText>
        </w:r>
        <w:r w:rsidR="00E2457B" w:rsidRPr="00E2457B">
          <w:rPr>
            <w:noProof/>
            <w:webHidden/>
          </w:rPr>
        </w:r>
        <w:r w:rsidR="00E2457B" w:rsidRPr="00E2457B">
          <w:rPr>
            <w:noProof/>
            <w:webHidden/>
          </w:rPr>
          <w:fldChar w:fldCharType="separate"/>
        </w:r>
        <w:r w:rsidR="002F538E">
          <w:rPr>
            <w:noProof/>
            <w:webHidden/>
          </w:rPr>
          <w:t>117</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72" w:history="1">
        <w:r w:rsidR="00E2457B" w:rsidRPr="00E2457B">
          <w:rPr>
            <w:rStyle w:val="Hipercze"/>
            <w:rFonts w:ascii="Lato" w:hAnsi="Lato"/>
            <w:noProof/>
          </w:rPr>
          <w:t>Rysunek 6</w:t>
        </w:r>
        <w:r w:rsidR="00E2457B" w:rsidRPr="00E2457B">
          <w:rPr>
            <w:rStyle w:val="Hipercze"/>
            <w:rFonts w:ascii="Lato" w:hAnsi="Lato"/>
            <w:noProof/>
          </w:rPr>
          <w:noBreakHyphen/>
          <w:t>15 Klasyfikacja obiektów do poszczególnych grup priorytetowych</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_Toc20219272 \h </w:instrText>
        </w:r>
        <w:r w:rsidR="00E2457B" w:rsidRPr="00E2457B">
          <w:rPr>
            <w:noProof/>
            <w:webHidden/>
          </w:rPr>
        </w:r>
        <w:r w:rsidR="00E2457B" w:rsidRPr="00E2457B">
          <w:rPr>
            <w:noProof/>
            <w:webHidden/>
          </w:rPr>
          <w:fldChar w:fldCharType="separate"/>
        </w:r>
        <w:r w:rsidR="002F538E">
          <w:rPr>
            <w:noProof/>
            <w:webHidden/>
          </w:rPr>
          <w:t>119</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73" w:history="1">
        <w:r w:rsidR="00E2457B" w:rsidRPr="00E2457B">
          <w:rPr>
            <w:rStyle w:val="Hipercze"/>
            <w:rFonts w:ascii="Lato" w:hAnsi="Lato"/>
            <w:bCs/>
            <w:noProof/>
          </w:rPr>
          <w:t>Rysunek 6</w:t>
        </w:r>
        <w:r w:rsidR="00E2457B" w:rsidRPr="00E2457B">
          <w:rPr>
            <w:rStyle w:val="Hipercze"/>
            <w:rFonts w:ascii="Lato" w:hAnsi="Lato"/>
            <w:bCs/>
            <w:noProof/>
          </w:rPr>
          <w:noBreakHyphen/>
          <w:t xml:space="preserve">16 </w:t>
        </w:r>
        <w:r w:rsidR="00E2457B" w:rsidRPr="00E2457B">
          <w:rPr>
            <w:rStyle w:val="Hipercze"/>
            <w:rFonts w:ascii="Lato" w:hAnsi="Lato"/>
            <w:noProof/>
          </w:rPr>
          <w:t>Schemat działań w ramach zarządzania energią</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_Toc20219273 \h </w:instrText>
        </w:r>
        <w:r w:rsidR="00E2457B" w:rsidRPr="00E2457B">
          <w:rPr>
            <w:noProof/>
            <w:webHidden/>
          </w:rPr>
        </w:r>
        <w:r w:rsidR="00E2457B" w:rsidRPr="00E2457B">
          <w:rPr>
            <w:noProof/>
            <w:webHidden/>
          </w:rPr>
          <w:fldChar w:fldCharType="separate"/>
        </w:r>
        <w:r w:rsidR="002F538E">
          <w:rPr>
            <w:noProof/>
            <w:webHidden/>
          </w:rPr>
          <w:t>122</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74" w:history="1">
        <w:r w:rsidR="00E2457B" w:rsidRPr="00E2457B">
          <w:rPr>
            <w:rStyle w:val="Hipercze"/>
            <w:rFonts w:ascii="Lato" w:hAnsi="Lato"/>
            <w:bCs/>
            <w:noProof/>
          </w:rPr>
          <w:t>Rysunek 6</w:t>
        </w:r>
        <w:r w:rsidR="00E2457B" w:rsidRPr="00E2457B">
          <w:rPr>
            <w:rStyle w:val="Hipercze"/>
            <w:rFonts w:ascii="Lato" w:hAnsi="Lato"/>
            <w:bCs/>
            <w:noProof/>
          </w:rPr>
          <w:noBreakHyphen/>
          <w:t>17 Przykładowy algorytm monitoringu</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_Toc20219274 \h </w:instrText>
        </w:r>
        <w:r w:rsidR="00E2457B" w:rsidRPr="00E2457B">
          <w:rPr>
            <w:noProof/>
            <w:webHidden/>
          </w:rPr>
        </w:r>
        <w:r w:rsidR="00E2457B" w:rsidRPr="00E2457B">
          <w:rPr>
            <w:noProof/>
            <w:webHidden/>
          </w:rPr>
          <w:fldChar w:fldCharType="separate"/>
        </w:r>
        <w:r w:rsidR="002F538E">
          <w:rPr>
            <w:noProof/>
            <w:webHidden/>
          </w:rPr>
          <w:t>126</w:t>
        </w:r>
        <w:r w:rsidR="00E2457B" w:rsidRPr="00E2457B">
          <w:rPr>
            <w:noProof/>
            <w:webHidden/>
          </w:rPr>
          <w:fldChar w:fldCharType="end"/>
        </w:r>
      </w:hyperlink>
    </w:p>
    <w:p w:rsidR="00E2457B" w:rsidRPr="00E2457B" w:rsidRDefault="00755C70">
      <w:pPr>
        <w:pStyle w:val="Spisilustracji"/>
        <w:tabs>
          <w:tab w:val="right" w:leader="dot" w:pos="9855"/>
        </w:tabs>
        <w:rPr>
          <w:rFonts w:asciiTheme="minorHAnsi" w:eastAsiaTheme="minorEastAsia" w:hAnsiTheme="minorHAnsi" w:cstheme="minorBidi"/>
          <w:smallCaps w:val="0"/>
          <w:noProof/>
          <w:sz w:val="22"/>
          <w:szCs w:val="22"/>
        </w:rPr>
      </w:pPr>
      <w:hyperlink w:anchor="_Toc20219275" w:history="1">
        <w:r w:rsidR="00E2457B" w:rsidRPr="00E2457B">
          <w:rPr>
            <w:rStyle w:val="Hipercze"/>
            <w:rFonts w:ascii="Lato" w:hAnsi="Lato"/>
            <w:bCs/>
            <w:noProof/>
          </w:rPr>
          <w:t>Rysunek 6</w:t>
        </w:r>
        <w:r w:rsidR="00E2457B" w:rsidRPr="00E2457B">
          <w:rPr>
            <w:rStyle w:val="Hipercze"/>
            <w:rFonts w:ascii="Lato" w:hAnsi="Lato"/>
            <w:bCs/>
            <w:noProof/>
          </w:rPr>
          <w:noBreakHyphen/>
          <w:t>18Przykładowe porównanie, starej i nowej instalacji grzewczej</w:t>
        </w:r>
        <w:r w:rsidR="00E2457B" w:rsidRPr="00E2457B">
          <w:rPr>
            <w:noProof/>
            <w:webHidden/>
          </w:rPr>
          <w:tab/>
        </w:r>
        <w:r w:rsidR="00E2457B" w:rsidRPr="00E2457B">
          <w:rPr>
            <w:noProof/>
            <w:webHidden/>
          </w:rPr>
          <w:fldChar w:fldCharType="begin"/>
        </w:r>
        <w:r w:rsidR="00E2457B" w:rsidRPr="00E2457B">
          <w:rPr>
            <w:noProof/>
            <w:webHidden/>
          </w:rPr>
          <w:instrText xml:space="preserve"> PAGEREF _Toc20219275 \h </w:instrText>
        </w:r>
        <w:r w:rsidR="00E2457B" w:rsidRPr="00E2457B">
          <w:rPr>
            <w:noProof/>
            <w:webHidden/>
          </w:rPr>
        </w:r>
        <w:r w:rsidR="00E2457B" w:rsidRPr="00E2457B">
          <w:rPr>
            <w:noProof/>
            <w:webHidden/>
          </w:rPr>
          <w:fldChar w:fldCharType="separate"/>
        </w:r>
        <w:r w:rsidR="002F538E">
          <w:rPr>
            <w:noProof/>
            <w:webHidden/>
          </w:rPr>
          <w:t>128</w:t>
        </w:r>
        <w:r w:rsidR="00E2457B" w:rsidRPr="00E2457B">
          <w:rPr>
            <w:noProof/>
            <w:webHidden/>
          </w:rPr>
          <w:fldChar w:fldCharType="end"/>
        </w:r>
      </w:hyperlink>
    </w:p>
    <w:p w:rsidR="00D352C4" w:rsidRDefault="004042AE" w:rsidP="00D352C4">
      <w:pPr>
        <w:pStyle w:val="Nagwek1"/>
        <w:numPr>
          <w:ilvl w:val="0"/>
          <w:numId w:val="0"/>
        </w:numPr>
        <w:spacing w:after="480" w:line="276" w:lineRule="auto"/>
        <w:ind w:left="425"/>
        <w:jc w:val="both"/>
        <w:rPr>
          <w:rFonts w:ascii="Lato" w:hAnsi="Lato"/>
          <w:b w:val="0"/>
          <w:i w:val="0"/>
          <w:highlight w:val="yellow"/>
        </w:rPr>
      </w:pPr>
      <w:r w:rsidRPr="00E2457B">
        <w:rPr>
          <w:rFonts w:ascii="Lato" w:hAnsi="Lato"/>
          <w:b w:val="0"/>
          <w:i w:val="0"/>
          <w:highlight w:val="yellow"/>
        </w:rPr>
        <w:fldChar w:fldCharType="end"/>
      </w:r>
    </w:p>
    <w:p w:rsidR="002244B2" w:rsidRPr="00D352C4" w:rsidRDefault="00D352C4" w:rsidP="00D352C4">
      <w:pPr>
        <w:pStyle w:val="Nagwek1"/>
        <w:numPr>
          <w:ilvl w:val="0"/>
          <w:numId w:val="38"/>
        </w:numPr>
        <w:spacing w:after="480" w:line="276" w:lineRule="auto"/>
        <w:ind w:left="425" w:hanging="425"/>
        <w:jc w:val="both"/>
        <w:rPr>
          <w:rFonts w:ascii="Lato" w:hAnsi="Lato"/>
          <w:b w:val="0"/>
          <w:i w:val="0"/>
          <w:color w:val="365F91"/>
        </w:rPr>
      </w:pPr>
      <w:r>
        <w:rPr>
          <w:rFonts w:ascii="Lato" w:hAnsi="Lato"/>
          <w:b w:val="0"/>
          <w:i w:val="0"/>
          <w:highlight w:val="yellow"/>
        </w:rPr>
        <w:br w:type="page"/>
      </w:r>
      <w:bookmarkStart w:id="23" w:name="_Toc20218496"/>
      <w:r w:rsidR="002244B2" w:rsidRPr="00D352C4">
        <w:rPr>
          <w:rFonts w:ascii="Lato" w:hAnsi="Lato"/>
          <w:b w:val="0"/>
          <w:i w:val="0"/>
          <w:color w:val="365F91"/>
        </w:rPr>
        <w:lastRenderedPageBreak/>
        <w:t>Wstęp</w:t>
      </w:r>
      <w:bookmarkEnd w:id="23"/>
    </w:p>
    <w:p w:rsidR="0050013E" w:rsidRPr="00D352C4" w:rsidRDefault="0050013E" w:rsidP="00907272">
      <w:pPr>
        <w:pStyle w:val="Nagwek2"/>
        <w:rPr>
          <w:rFonts w:ascii="Lato" w:hAnsi="Lato" w:cs="Times New Roman"/>
        </w:rPr>
      </w:pPr>
      <w:bookmarkStart w:id="24" w:name="_Toc5957002"/>
      <w:bookmarkStart w:id="25" w:name="_Toc5957232"/>
      <w:bookmarkStart w:id="26" w:name="_Toc5957433"/>
      <w:bookmarkStart w:id="27" w:name="_Toc6216580"/>
      <w:bookmarkStart w:id="28" w:name="_Toc6281593"/>
      <w:bookmarkStart w:id="29" w:name="_Toc6363130"/>
      <w:bookmarkStart w:id="30" w:name="_Toc6472899"/>
      <w:bookmarkStart w:id="31" w:name="_Toc6799160"/>
      <w:bookmarkStart w:id="32" w:name="_Toc6807013"/>
      <w:bookmarkStart w:id="33" w:name="_Toc9734742"/>
      <w:bookmarkStart w:id="34" w:name="_Toc11484910"/>
      <w:bookmarkStart w:id="35" w:name="_Toc13883512"/>
      <w:bookmarkStart w:id="36" w:name="_Toc14764538"/>
      <w:bookmarkStart w:id="37" w:name="_Toc15265925"/>
      <w:bookmarkStart w:id="38" w:name="_Toc17095448"/>
      <w:bookmarkStart w:id="39" w:name="_Toc17102276"/>
      <w:bookmarkStart w:id="40" w:name="_Toc18389057"/>
      <w:bookmarkStart w:id="41" w:name="_Toc23316138"/>
      <w:bookmarkStart w:id="42" w:name="_Toc17180178"/>
      <w:bookmarkStart w:id="43" w:name="_Toc39370551"/>
      <w:bookmarkStart w:id="44" w:name="_Toc39909489"/>
      <w:bookmarkStart w:id="45" w:name="_Toc50264558"/>
      <w:bookmarkStart w:id="46" w:name="_Toc2021849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D352C4">
        <w:rPr>
          <w:rFonts w:ascii="Lato" w:hAnsi="Lato" w:cs="Times New Roman"/>
        </w:rPr>
        <w:t>Podstawa opracowania</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352C4">
        <w:rPr>
          <w:rFonts w:ascii="Lato" w:hAnsi="Lato" w:cs="Times New Roman"/>
        </w:rPr>
        <w:t xml:space="preserve"> dokumentu</w:t>
      </w:r>
      <w:bookmarkEnd w:id="46"/>
    </w:p>
    <w:p w:rsidR="003B205E" w:rsidRPr="00D352C4" w:rsidRDefault="003B205E" w:rsidP="009F0D1C">
      <w:pPr>
        <w:ind w:firstLine="425"/>
        <w:jc w:val="both"/>
        <w:rPr>
          <w:rFonts w:ascii="Lato" w:hAnsi="Lato" w:cs="Tahoma"/>
        </w:rPr>
      </w:pPr>
      <w:r w:rsidRPr="00D352C4">
        <w:rPr>
          <w:rFonts w:ascii="Lato" w:hAnsi="Lato" w:cs="Tahoma"/>
        </w:rPr>
        <w:t>Podstawą formalną opracowania aktualizacji „Założeń do planu zaopatrzenia w ciepło, energię elektryczną i paliwa gazowe dla Gminy Pabianice" jest umowa zawarta w dniu 1 marca 2019 r. pomiędzy Gminą Pabianice z siedzibą w Pabianicach przy ul. Torowej 21, a Fundacją na rzecz Efektywnego Wykorzystania Energii z siedzibą w Katowicach przy ul. Rymera 3/4.</w:t>
      </w:r>
    </w:p>
    <w:p w:rsidR="0050013E" w:rsidRPr="00D352C4" w:rsidRDefault="0050013E" w:rsidP="009F0D1C">
      <w:pPr>
        <w:pStyle w:val="Tekstpodstawowy"/>
        <w:rPr>
          <w:rFonts w:ascii="Lato" w:hAnsi="Lato" w:cs="Times New Roman"/>
        </w:rPr>
      </w:pPr>
    </w:p>
    <w:p w:rsidR="0050013E" w:rsidRPr="00D352C4" w:rsidRDefault="0050013E" w:rsidP="009F0D1C">
      <w:pPr>
        <w:pStyle w:val="Tekstpodstawowy"/>
        <w:rPr>
          <w:rFonts w:ascii="Lato" w:hAnsi="Lato" w:cs="Times New Roman"/>
        </w:rPr>
      </w:pPr>
      <w:r w:rsidRPr="00D352C4">
        <w:rPr>
          <w:rFonts w:ascii="Lato" w:hAnsi="Lato" w:cs="Times New Roman"/>
        </w:rPr>
        <w:t>Niniejsze opracowanie zawiera</w:t>
      </w:r>
      <w:r w:rsidR="002C3FAC" w:rsidRPr="00D352C4">
        <w:rPr>
          <w:rFonts w:ascii="Lato" w:hAnsi="Lato" w:cs="Times New Roman"/>
        </w:rPr>
        <w:t xml:space="preserve"> zgodnie z Ustawą Prawo energetyczne oraz ww. umową</w:t>
      </w:r>
      <w:r w:rsidRPr="00D352C4">
        <w:rPr>
          <w:rFonts w:ascii="Lato" w:hAnsi="Lato" w:cs="Times New Roman"/>
        </w:rPr>
        <w:t>:</w:t>
      </w:r>
    </w:p>
    <w:p w:rsidR="0050013E" w:rsidRPr="00D352C4" w:rsidRDefault="005C65A5" w:rsidP="00CD3DFF">
      <w:pPr>
        <w:pStyle w:val="Tekstpodstawowy"/>
        <w:numPr>
          <w:ilvl w:val="0"/>
          <w:numId w:val="83"/>
        </w:numPr>
        <w:tabs>
          <w:tab w:val="clear" w:pos="360"/>
        </w:tabs>
        <w:ind w:left="709" w:hanging="425"/>
        <w:rPr>
          <w:rFonts w:ascii="Lato" w:hAnsi="Lato" w:cs="Times New Roman"/>
        </w:rPr>
      </w:pPr>
      <w:r w:rsidRPr="00D352C4">
        <w:rPr>
          <w:rFonts w:ascii="Lato" w:hAnsi="Lato" w:cs="Times New Roman"/>
        </w:rPr>
        <w:t>o</w:t>
      </w:r>
      <w:r w:rsidR="0050013E" w:rsidRPr="00D352C4">
        <w:rPr>
          <w:rFonts w:ascii="Lato" w:hAnsi="Lato" w:cs="Times New Roman"/>
        </w:rPr>
        <w:t>cenę stanu aktualnego i przewidywanych zmian zapotrzebowania na</w:t>
      </w:r>
      <w:r w:rsidR="00A32130" w:rsidRPr="00D352C4">
        <w:rPr>
          <w:rFonts w:ascii="Lato" w:hAnsi="Lato" w:cs="Times New Roman"/>
        </w:rPr>
        <w:t xml:space="preserve"> ciepło, energię elektryczną i </w:t>
      </w:r>
      <w:r w:rsidR="0050013E" w:rsidRPr="00D352C4">
        <w:rPr>
          <w:rFonts w:ascii="Lato" w:hAnsi="Lato" w:cs="Times New Roman"/>
        </w:rPr>
        <w:t>paliwa gazowe;</w:t>
      </w:r>
    </w:p>
    <w:p w:rsidR="0050013E" w:rsidRPr="00D352C4" w:rsidRDefault="005C65A5" w:rsidP="00CD3DFF">
      <w:pPr>
        <w:pStyle w:val="Tekstpodstawowy"/>
        <w:numPr>
          <w:ilvl w:val="0"/>
          <w:numId w:val="83"/>
        </w:numPr>
        <w:tabs>
          <w:tab w:val="clear" w:pos="360"/>
        </w:tabs>
        <w:ind w:left="709" w:hanging="425"/>
        <w:rPr>
          <w:rFonts w:ascii="Lato" w:hAnsi="Lato" w:cs="Times New Roman"/>
        </w:rPr>
      </w:pPr>
      <w:r w:rsidRPr="00D352C4">
        <w:rPr>
          <w:rFonts w:ascii="Lato" w:hAnsi="Lato" w:cs="Times New Roman"/>
        </w:rPr>
        <w:t>p</w:t>
      </w:r>
      <w:r w:rsidR="0050013E" w:rsidRPr="00D352C4">
        <w:rPr>
          <w:rFonts w:ascii="Lato" w:hAnsi="Lato" w:cs="Times New Roman"/>
        </w:rPr>
        <w:t>rzedsięwzięcia racjonalizujące użytkowanie ciepła, energii elektrycznej i paliw gazowych;</w:t>
      </w:r>
    </w:p>
    <w:p w:rsidR="00BF55FE" w:rsidRPr="00D352C4" w:rsidRDefault="00BF55FE" w:rsidP="00CD3DFF">
      <w:pPr>
        <w:pStyle w:val="Tekstpodstawowy"/>
        <w:numPr>
          <w:ilvl w:val="0"/>
          <w:numId w:val="83"/>
        </w:numPr>
        <w:tabs>
          <w:tab w:val="clear" w:pos="360"/>
        </w:tabs>
        <w:ind w:left="709" w:hanging="425"/>
        <w:rPr>
          <w:rFonts w:ascii="Lato" w:hAnsi="Lato" w:cs="Times New Roman"/>
        </w:rPr>
      </w:pPr>
      <w:r w:rsidRPr="00D352C4">
        <w:rPr>
          <w:rFonts w:ascii="Lato" w:hAnsi="Lato" w:cs="Times New Roman"/>
        </w:rPr>
        <w:t>możliwości wykorzystania istniejących nadwyżek i lokal</w:t>
      </w:r>
      <w:r w:rsidR="00A32130" w:rsidRPr="00D352C4">
        <w:rPr>
          <w:rFonts w:ascii="Lato" w:hAnsi="Lato" w:cs="Times New Roman"/>
        </w:rPr>
        <w:t>nych zasobów paliw i energii, z </w:t>
      </w:r>
      <w:r w:rsidRPr="00D352C4">
        <w:rPr>
          <w:rFonts w:ascii="Lato" w:hAnsi="Lato" w:cs="Times New Roman"/>
        </w:rPr>
        <w:t>uwzględnieniem energii elektrycznej i ciepła wytwarzanych w odnawialnych źródłach energii, energ</w:t>
      </w:r>
      <w:r w:rsidR="00C56091" w:rsidRPr="00D352C4">
        <w:rPr>
          <w:rFonts w:ascii="Lato" w:hAnsi="Lato" w:cs="Times New Roman"/>
        </w:rPr>
        <w:t>ii elektrycznej i ciepła użytkowego wytwarzanych w kogeneracji oraz zagospodarowania ciepła odpadowego z instalacji przemysłowych;</w:t>
      </w:r>
    </w:p>
    <w:p w:rsidR="0050013E" w:rsidRPr="00D352C4" w:rsidRDefault="00EA4A39" w:rsidP="00CD3DFF">
      <w:pPr>
        <w:pStyle w:val="Tekstpodstawowy"/>
        <w:numPr>
          <w:ilvl w:val="0"/>
          <w:numId w:val="83"/>
        </w:numPr>
        <w:tabs>
          <w:tab w:val="clear" w:pos="360"/>
        </w:tabs>
        <w:ind w:left="709" w:hanging="425"/>
        <w:rPr>
          <w:rFonts w:ascii="Lato" w:hAnsi="Lato" w:cs="Times New Roman"/>
        </w:rPr>
      </w:pPr>
      <w:r w:rsidRPr="00D352C4">
        <w:rPr>
          <w:rFonts w:ascii="Lato" w:hAnsi="Lato" w:cs="Times New Roman"/>
        </w:rPr>
        <w:t>możliwości stosowania środków poprawy efektywności ener</w:t>
      </w:r>
      <w:r w:rsidR="00CD3DFF">
        <w:rPr>
          <w:rFonts w:ascii="Lato" w:hAnsi="Lato" w:cs="Times New Roman"/>
        </w:rPr>
        <w:t>getycznej w rozumieniu ustawy z </w:t>
      </w:r>
      <w:r w:rsidRPr="00D352C4">
        <w:rPr>
          <w:rFonts w:ascii="Lato" w:hAnsi="Lato" w:cs="Times New Roman"/>
        </w:rPr>
        <w:t>dnia 20 maja 2016 r. o efektywności energetycznej</w:t>
      </w:r>
      <w:r w:rsidR="0050013E" w:rsidRPr="00D352C4">
        <w:rPr>
          <w:rFonts w:ascii="Lato" w:hAnsi="Lato" w:cs="Times New Roman"/>
        </w:rPr>
        <w:t>;</w:t>
      </w:r>
    </w:p>
    <w:p w:rsidR="0050013E" w:rsidRPr="00D352C4" w:rsidRDefault="005C65A5" w:rsidP="00CD3DFF">
      <w:pPr>
        <w:pStyle w:val="Tekstpodstawowy"/>
        <w:numPr>
          <w:ilvl w:val="0"/>
          <w:numId w:val="83"/>
        </w:numPr>
        <w:tabs>
          <w:tab w:val="clear" w:pos="360"/>
        </w:tabs>
        <w:ind w:left="709" w:hanging="425"/>
        <w:rPr>
          <w:rFonts w:ascii="Lato" w:hAnsi="Lato" w:cs="Times New Roman"/>
        </w:rPr>
      </w:pPr>
      <w:r w:rsidRPr="00D352C4">
        <w:rPr>
          <w:rFonts w:ascii="Lato" w:hAnsi="Lato" w:cs="Times New Roman"/>
        </w:rPr>
        <w:t>z</w:t>
      </w:r>
      <w:r w:rsidR="0050013E" w:rsidRPr="00D352C4">
        <w:rPr>
          <w:rFonts w:ascii="Lato" w:hAnsi="Lato" w:cs="Times New Roman"/>
        </w:rPr>
        <w:t xml:space="preserve">akres współpracy z </w:t>
      </w:r>
      <w:r w:rsidR="00954A60" w:rsidRPr="00D352C4">
        <w:rPr>
          <w:rFonts w:ascii="Lato" w:hAnsi="Lato" w:cs="Times New Roman"/>
        </w:rPr>
        <w:t xml:space="preserve">sąsiednimi </w:t>
      </w:r>
      <w:r w:rsidR="0050013E" w:rsidRPr="00D352C4">
        <w:rPr>
          <w:rFonts w:ascii="Lato" w:hAnsi="Lato" w:cs="Times New Roman"/>
        </w:rPr>
        <w:t>gminami.</w:t>
      </w:r>
    </w:p>
    <w:p w:rsidR="0050013E" w:rsidRPr="00D352C4" w:rsidRDefault="0050013E" w:rsidP="009F0D1C">
      <w:pPr>
        <w:pStyle w:val="Tekstpodstawowy"/>
        <w:rPr>
          <w:rFonts w:ascii="Lato" w:hAnsi="Lato" w:cs="Times New Roman"/>
        </w:rPr>
      </w:pPr>
    </w:p>
    <w:p w:rsidR="0050013E" w:rsidRPr="00D352C4" w:rsidRDefault="0050013E" w:rsidP="009F0D1C">
      <w:pPr>
        <w:pStyle w:val="Tekstpodstawowy"/>
        <w:rPr>
          <w:rFonts w:ascii="Lato" w:hAnsi="Lato" w:cs="Times New Roman"/>
        </w:rPr>
      </w:pPr>
      <w:r w:rsidRPr="00D352C4">
        <w:rPr>
          <w:rFonts w:ascii="Lato" w:hAnsi="Lato" w:cs="Times New Roman"/>
        </w:rPr>
        <w:t xml:space="preserve">Niniejsza dokumentacja została wykonana zgodnie z umową, obowiązującymi przepisami i zasadami wiedzy technicznej. </w:t>
      </w:r>
    </w:p>
    <w:p w:rsidR="0050013E" w:rsidRPr="00D352C4" w:rsidRDefault="0050013E" w:rsidP="009F0D1C">
      <w:pPr>
        <w:pStyle w:val="Tekstpodstawowy"/>
        <w:rPr>
          <w:rFonts w:ascii="Lato" w:hAnsi="Lato" w:cs="Times New Roman"/>
        </w:rPr>
      </w:pPr>
    </w:p>
    <w:p w:rsidR="0067467F" w:rsidRPr="00D352C4" w:rsidRDefault="00D461E0" w:rsidP="00907272">
      <w:pPr>
        <w:pStyle w:val="Nagwek2"/>
        <w:rPr>
          <w:rFonts w:ascii="Lato" w:hAnsi="Lato" w:cs="Times New Roman"/>
        </w:rPr>
      </w:pPr>
      <w:r>
        <w:rPr>
          <w:rFonts w:ascii="Lato" w:hAnsi="Lato" w:cs="Times New Roman"/>
        </w:rPr>
        <w:br w:type="page"/>
      </w:r>
      <w:bookmarkStart w:id="47" w:name="_Toc20218498"/>
      <w:r w:rsidR="0050013E" w:rsidRPr="00D352C4">
        <w:rPr>
          <w:rFonts w:ascii="Lato" w:hAnsi="Lato" w:cs="Times New Roman"/>
        </w:rPr>
        <w:lastRenderedPageBreak/>
        <w:t>Chara</w:t>
      </w:r>
      <w:r w:rsidR="005C65A5" w:rsidRPr="00D352C4">
        <w:rPr>
          <w:rFonts w:ascii="Lato" w:hAnsi="Lato" w:cs="Times New Roman"/>
        </w:rPr>
        <w:t xml:space="preserve">kterystyka </w:t>
      </w:r>
      <w:r w:rsidR="00605E7D" w:rsidRPr="00D352C4">
        <w:rPr>
          <w:rFonts w:ascii="Lato" w:hAnsi="Lato" w:cs="Times New Roman"/>
        </w:rPr>
        <w:t xml:space="preserve">Gminy </w:t>
      </w:r>
      <w:r w:rsidR="00F42469" w:rsidRPr="00D352C4">
        <w:rPr>
          <w:rFonts w:ascii="Lato" w:hAnsi="Lato" w:cs="Times New Roman"/>
        </w:rPr>
        <w:t>Pabianice</w:t>
      </w:r>
      <w:bookmarkEnd w:id="47"/>
    </w:p>
    <w:p w:rsidR="0067467F" w:rsidRPr="00D352C4" w:rsidRDefault="00456F01" w:rsidP="00AB431C">
      <w:pPr>
        <w:pStyle w:val="Akapitzlist"/>
        <w:keepNext/>
        <w:numPr>
          <w:ilvl w:val="2"/>
          <w:numId w:val="38"/>
        </w:numPr>
        <w:tabs>
          <w:tab w:val="left" w:pos="709"/>
        </w:tabs>
        <w:spacing w:before="180" w:after="180" w:line="288" w:lineRule="auto"/>
        <w:ind w:left="709" w:hanging="709"/>
        <w:jc w:val="both"/>
        <w:outlineLvl w:val="2"/>
        <w:rPr>
          <w:rFonts w:ascii="Lato" w:hAnsi="Lato"/>
          <w:bCs/>
          <w:color w:val="365F91"/>
          <w:lang w:eastAsia="en-US"/>
        </w:rPr>
      </w:pPr>
      <w:bookmarkStart w:id="48" w:name="_Toc20218499"/>
      <w:r w:rsidRPr="00D352C4">
        <w:rPr>
          <w:rFonts w:ascii="Lato" w:hAnsi="Lato"/>
          <w:bCs/>
          <w:color w:val="365F91"/>
          <w:lang w:eastAsia="en-US"/>
        </w:rPr>
        <w:t>Lokalizacja</w:t>
      </w:r>
      <w:bookmarkEnd w:id="48"/>
    </w:p>
    <w:p w:rsidR="00F42469" w:rsidRPr="00D352C4" w:rsidRDefault="00F42469" w:rsidP="009F0D1C">
      <w:pPr>
        <w:pStyle w:val="Tekstpodstawowy"/>
        <w:ind w:firstLine="709"/>
        <w:rPr>
          <w:rFonts w:ascii="Lato" w:hAnsi="Lato" w:cs="Times New Roman"/>
        </w:rPr>
      </w:pPr>
      <w:r w:rsidRPr="00D352C4">
        <w:rPr>
          <w:rFonts w:ascii="Lato" w:hAnsi="Lato" w:cs="Times New Roman"/>
        </w:rPr>
        <w:t>Gmina Pabianice położona jest centralnej części województwa łódzkiego, w powiecie pabianickim. Gmina składa się z dwóch odrębnych części położonych wokół Miasta Pabianice – siedziby powiatu. Część południowa gminy graniczy z gminami Rzgów, Tuszyn, Dłutów i Dobroń, część północna gminy graniczy z miastami Łódź i Konstantynów Łódzki oraz gminami Wodzierady, Lutomiersk i Dobroń. Gmina składa się z 18 sołectw obejmujących 22 wsie: Bychlew, Gorzew Okołowice, Górka Pabianicka, Hermanów, Jadwinin Władysławów, Janowice Huta Janowska, Konin Majówka, Kudrowice, Piątkowisko, Petrykozy Osiedle Petrykozy, Pawlikowice, Rydzyny, Szynkielew, Świątniki, Terenin, Żytowice Wysieradz, Porszewice, Wola Żytowska.</w:t>
      </w:r>
    </w:p>
    <w:p w:rsidR="005F4E95" w:rsidRPr="00D352C4" w:rsidRDefault="00F42469" w:rsidP="009F0D1C">
      <w:pPr>
        <w:pStyle w:val="Tekstpodstawowy"/>
        <w:ind w:firstLine="709"/>
        <w:rPr>
          <w:rFonts w:ascii="Lato" w:hAnsi="Lato" w:cs="Times New Roman"/>
        </w:rPr>
      </w:pPr>
      <w:r w:rsidRPr="00D352C4">
        <w:rPr>
          <w:rFonts w:ascii="Lato" w:hAnsi="Lato" w:cs="Times New Roman"/>
        </w:rPr>
        <w:t>Gmina Pabianice jest czwartą, co do wielkości gminą w powiecie pabianickim. Powierzchnia gminy wynosi 8 769 ha, natomiast liczba mieszkańców 7 238 (GUS, 2017 r.).</w:t>
      </w:r>
    </w:p>
    <w:p w:rsidR="00F42469" w:rsidRDefault="00F42469" w:rsidP="00F42469">
      <w:pPr>
        <w:pStyle w:val="Tekstpodstawowy"/>
        <w:rPr>
          <w:rFonts w:ascii="Lato" w:hAnsi="Lato" w:cs="Times New Roman"/>
        </w:rPr>
      </w:pPr>
    </w:p>
    <w:p w:rsidR="00D352C4" w:rsidRPr="00D352C4" w:rsidRDefault="00D352C4" w:rsidP="00F42469">
      <w:pPr>
        <w:pStyle w:val="Tekstpodstawowy"/>
        <w:rPr>
          <w:rFonts w:ascii="Lato" w:hAnsi="Lato" w:cs="Times New Roman"/>
        </w:rPr>
      </w:pPr>
    </w:p>
    <w:p w:rsidR="00414620" w:rsidRPr="00D352C4" w:rsidRDefault="0006260E" w:rsidP="00777E9E">
      <w:pPr>
        <w:jc w:val="center"/>
        <w:rPr>
          <w:rFonts w:ascii="Lato" w:hAnsi="Lato"/>
          <w:lang w:eastAsia="x-none"/>
        </w:rPr>
      </w:pPr>
      <w:bookmarkStart w:id="49" w:name="_Toc225155555"/>
      <w:r>
        <w:rPr>
          <w:noProof/>
        </w:rPr>
        <w:drawing>
          <wp:inline distT="0" distB="0" distL="0" distR="0" wp14:anchorId="06D0ECD9" wp14:editId="181AE33A">
            <wp:extent cx="4196080" cy="3981450"/>
            <wp:effectExtent l="0" t="0" r="0" b="0"/>
            <wp:docPr id="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6080" cy="3981450"/>
                    </a:xfrm>
                    <a:prstGeom prst="rect">
                      <a:avLst/>
                    </a:prstGeom>
                    <a:noFill/>
                    <a:ln>
                      <a:noFill/>
                    </a:ln>
                  </pic:spPr>
                </pic:pic>
              </a:graphicData>
            </a:graphic>
          </wp:inline>
        </w:drawing>
      </w:r>
    </w:p>
    <w:p w:rsidR="0050013E" w:rsidRPr="00D352C4" w:rsidRDefault="0050013E" w:rsidP="00B75A57">
      <w:pPr>
        <w:pStyle w:val="Legenda"/>
        <w:jc w:val="center"/>
        <w:rPr>
          <w:rFonts w:ascii="Lato" w:hAnsi="Lato"/>
          <w:color w:val="365F91"/>
          <w:sz w:val="20"/>
          <w:szCs w:val="20"/>
          <w:lang w:val="pl-PL"/>
        </w:rPr>
      </w:pPr>
      <w:bookmarkStart w:id="50" w:name="_Toc20219210"/>
      <w:r w:rsidRPr="00D352C4">
        <w:rPr>
          <w:rFonts w:ascii="Lato" w:hAnsi="Lato"/>
          <w:color w:val="365F91"/>
          <w:sz w:val="20"/>
          <w:szCs w:val="20"/>
        </w:rPr>
        <w:t xml:space="preserve">Rysunek </w:t>
      </w:r>
      <w:r w:rsidR="004042AE" w:rsidRPr="00D352C4">
        <w:rPr>
          <w:rFonts w:ascii="Lato" w:hAnsi="Lato"/>
          <w:color w:val="365F91"/>
          <w:sz w:val="20"/>
          <w:szCs w:val="20"/>
        </w:rPr>
        <w:fldChar w:fldCharType="begin"/>
      </w:r>
      <w:r w:rsidR="005430ED" w:rsidRPr="00D352C4">
        <w:rPr>
          <w:rFonts w:ascii="Lato" w:hAnsi="Lato"/>
          <w:color w:val="365F91"/>
          <w:sz w:val="20"/>
          <w:szCs w:val="20"/>
        </w:rPr>
        <w:instrText xml:space="preserve"> STYLEREF 1 \s </w:instrText>
      </w:r>
      <w:r w:rsidR="004042AE" w:rsidRPr="00D352C4">
        <w:rPr>
          <w:rFonts w:ascii="Lato" w:hAnsi="Lato"/>
          <w:color w:val="365F91"/>
          <w:sz w:val="20"/>
          <w:szCs w:val="20"/>
        </w:rPr>
        <w:fldChar w:fldCharType="separate"/>
      </w:r>
      <w:r w:rsidR="0040205B">
        <w:rPr>
          <w:rFonts w:ascii="Lato" w:hAnsi="Lato"/>
          <w:noProof/>
          <w:color w:val="365F91"/>
          <w:sz w:val="20"/>
          <w:szCs w:val="20"/>
        </w:rPr>
        <w:t>1</w:t>
      </w:r>
      <w:r w:rsidR="004042AE" w:rsidRPr="00D352C4">
        <w:rPr>
          <w:rFonts w:ascii="Lato" w:hAnsi="Lato"/>
          <w:color w:val="365F91"/>
          <w:sz w:val="20"/>
          <w:szCs w:val="20"/>
        </w:rPr>
        <w:fldChar w:fldCharType="end"/>
      </w:r>
      <w:r w:rsidR="005430ED" w:rsidRPr="00D352C4">
        <w:rPr>
          <w:rFonts w:ascii="Lato" w:hAnsi="Lato"/>
          <w:color w:val="365F91"/>
          <w:sz w:val="20"/>
          <w:szCs w:val="20"/>
        </w:rPr>
        <w:noBreakHyphen/>
      </w:r>
      <w:r w:rsidR="004042AE" w:rsidRPr="00D352C4">
        <w:rPr>
          <w:rFonts w:ascii="Lato" w:hAnsi="Lato"/>
          <w:color w:val="365F91"/>
          <w:sz w:val="20"/>
          <w:szCs w:val="20"/>
        </w:rPr>
        <w:fldChar w:fldCharType="begin"/>
      </w:r>
      <w:r w:rsidR="005430ED" w:rsidRPr="00D352C4">
        <w:rPr>
          <w:rFonts w:ascii="Lato" w:hAnsi="Lato"/>
          <w:color w:val="365F91"/>
          <w:sz w:val="20"/>
          <w:szCs w:val="20"/>
        </w:rPr>
        <w:instrText xml:space="preserve"> SEQ Rysunek \* ARABIC \s 1 </w:instrText>
      </w:r>
      <w:r w:rsidR="004042AE" w:rsidRPr="00D352C4">
        <w:rPr>
          <w:rFonts w:ascii="Lato" w:hAnsi="Lato"/>
          <w:color w:val="365F91"/>
          <w:sz w:val="20"/>
          <w:szCs w:val="20"/>
        </w:rPr>
        <w:fldChar w:fldCharType="separate"/>
      </w:r>
      <w:r w:rsidR="0040205B">
        <w:rPr>
          <w:rFonts w:ascii="Lato" w:hAnsi="Lato"/>
          <w:noProof/>
          <w:color w:val="365F91"/>
          <w:sz w:val="20"/>
          <w:szCs w:val="20"/>
        </w:rPr>
        <w:t>1</w:t>
      </w:r>
      <w:r w:rsidR="004042AE" w:rsidRPr="00D352C4">
        <w:rPr>
          <w:rFonts w:ascii="Lato" w:hAnsi="Lato"/>
          <w:color w:val="365F91"/>
          <w:sz w:val="20"/>
          <w:szCs w:val="20"/>
        </w:rPr>
        <w:fldChar w:fldCharType="end"/>
      </w:r>
      <w:r w:rsidR="002F760C" w:rsidRPr="00D352C4">
        <w:rPr>
          <w:rFonts w:ascii="Lato" w:hAnsi="Lato"/>
          <w:color w:val="365F91"/>
          <w:sz w:val="20"/>
          <w:szCs w:val="20"/>
        </w:rPr>
        <w:t xml:space="preserve"> Lokalizacja </w:t>
      </w:r>
      <w:r w:rsidR="00414620" w:rsidRPr="00D352C4">
        <w:rPr>
          <w:rFonts w:ascii="Lato" w:hAnsi="Lato"/>
          <w:color w:val="365F91"/>
          <w:sz w:val="20"/>
          <w:szCs w:val="20"/>
          <w:lang w:val="pl-PL"/>
        </w:rPr>
        <w:t xml:space="preserve">Gminy </w:t>
      </w:r>
      <w:r w:rsidR="00F42469" w:rsidRPr="00D352C4">
        <w:rPr>
          <w:rFonts w:ascii="Lato" w:hAnsi="Lato"/>
          <w:color w:val="365F91"/>
          <w:sz w:val="20"/>
          <w:szCs w:val="20"/>
          <w:lang w:val="pl-PL"/>
        </w:rPr>
        <w:t>Pabianice</w:t>
      </w:r>
      <w:r w:rsidR="00414620" w:rsidRPr="00D352C4">
        <w:rPr>
          <w:rFonts w:ascii="Lato" w:hAnsi="Lato"/>
          <w:color w:val="365F91"/>
          <w:sz w:val="20"/>
          <w:szCs w:val="20"/>
          <w:lang w:val="pl-PL"/>
        </w:rPr>
        <w:t xml:space="preserve"> </w:t>
      </w:r>
      <w:r w:rsidRPr="00D352C4">
        <w:rPr>
          <w:rFonts w:ascii="Lato" w:hAnsi="Lato"/>
          <w:color w:val="365F91"/>
          <w:sz w:val="20"/>
          <w:szCs w:val="20"/>
        </w:rPr>
        <w:t xml:space="preserve">na tle </w:t>
      </w:r>
      <w:r w:rsidR="00414620" w:rsidRPr="00D352C4">
        <w:rPr>
          <w:rFonts w:ascii="Lato" w:hAnsi="Lato"/>
          <w:color w:val="365F91"/>
          <w:sz w:val="20"/>
          <w:szCs w:val="20"/>
          <w:lang w:val="pl-PL"/>
        </w:rPr>
        <w:t xml:space="preserve">powiatu </w:t>
      </w:r>
      <w:bookmarkEnd w:id="49"/>
      <w:r w:rsidR="00F42469" w:rsidRPr="00D352C4">
        <w:rPr>
          <w:rFonts w:ascii="Lato" w:hAnsi="Lato"/>
          <w:color w:val="365F91"/>
          <w:sz w:val="20"/>
          <w:szCs w:val="20"/>
          <w:lang w:val="pl-PL"/>
        </w:rPr>
        <w:t>pabianickiego</w:t>
      </w:r>
      <w:bookmarkEnd w:id="50"/>
    </w:p>
    <w:p w:rsidR="0050013E" w:rsidRPr="008F1406" w:rsidRDefault="00E51AB9" w:rsidP="001F2F97">
      <w:pPr>
        <w:pStyle w:val="Tekstpodstawowy"/>
        <w:jc w:val="center"/>
        <w:rPr>
          <w:rFonts w:ascii="Lato" w:hAnsi="Lato" w:cs="Times New Roman"/>
          <w:i/>
          <w:sz w:val="20"/>
          <w:szCs w:val="20"/>
        </w:rPr>
      </w:pPr>
      <w:r w:rsidRPr="008F1406">
        <w:rPr>
          <w:rFonts w:ascii="Lato" w:hAnsi="Lato" w:cs="Times New Roman"/>
          <w:i/>
          <w:sz w:val="20"/>
          <w:szCs w:val="20"/>
        </w:rPr>
        <w:t>Ź</w:t>
      </w:r>
      <w:r w:rsidR="005C65A5" w:rsidRPr="008F1406">
        <w:rPr>
          <w:rFonts w:ascii="Lato" w:hAnsi="Lato" w:cs="Times New Roman"/>
          <w:i/>
          <w:sz w:val="20"/>
          <w:szCs w:val="20"/>
        </w:rPr>
        <w:t>ródło: www.</w:t>
      </w:r>
      <w:r w:rsidR="00C24D72" w:rsidRPr="008F1406">
        <w:rPr>
          <w:rFonts w:ascii="Lato" w:hAnsi="Lato" w:cs="Times New Roman"/>
          <w:i/>
          <w:sz w:val="20"/>
          <w:szCs w:val="20"/>
        </w:rPr>
        <w:t>gminy</w:t>
      </w:r>
      <w:r w:rsidR="005C65A5" w:rsidRPr="008F1406">
        <w:rPr>
          <w:rFonts w:ascii="Lato" w:hAnsi="Lato" w:cs="Times New Roman"/>
          <w:i/>
          <w:sz w:val="20"/>
          <w:szCs w:val="20"/>
        </w:rPr>
        <w:t>.pl</w:t>
      </w:r>
    </w:p>
    <w:p w:rsidR="0050013E" w:rsidRPr="00D352C4" w:rsidRDefault="0050013E" w:rsidP="0050013E">
      <w:pPr>
        <w:pStyle w:val="Tekstpodstawowy"/>
        <w:rPr>
          <w:rFonts w:ascii="Lato" w:hAnsi="Lato" w:cs="Times New Roman"/>
        </w:rPr>
      </w:pPr>
    </w:p>
    <w:tbl>
      <w:tblPr>
        <w:tblW w:w="0" w:type="auto"/>
        <w:tblCellMar>
          <w:left w:w="70" w:type="dxa"/>
          <w:right w:w="70" w:type="dxa"/>
        </w:tblCellMar>
        <w:tblLook w:val="0000" w:firstRow="0" w:lastRow="0" w:firstColumn="0" w:lastColumn="0" w:noHBand="0" w:noVBand="0"/>
      </w:tblPr>
      <w:tblGrid>
        <w:gridCol w:w="9553"/>
      </w:tblGrid>
      <w:tr w:rsidR="0050013E" w:rsidRPr="00D352C4" w:rsidTr="0050013E">
        <w:trPr>
          <w:trHeight w:val="5028"/>
        </w:trPr>
        <w:tc>
          <w:tcPr>
            <w:tcW w:w="9553" w:type="dxa"/>
          </w:tcPr>
          <w:p w:rsidR="000A1E69" w:rsidRPr="00D352C4" w:rsidRDefault="0006260E" w:rsidP="00954A60">
            <w:pPr>
              <w:pStyle w:val="Tekstpodstawowy"/>
              <w:jc w:val="center"/>
              <w:rPr>
                <w:rFonts w:ascii="Lato" w:hAnsi="Lato" w:cs="Times New Roman"/>
              </w:rPr>
            </w:pPr>
            <w:r>
              <w:rPr>
                <w:noProof/>
              </w:rPr>
              <w:lastRenderedPageBreak/>
              <w:drawing>
                <wp:inline distT="0" distB="0" distL="0" distR="0" wp14:anchorId="5A8BE9DB" wp14:editId="449762D4">
                  <wp:extent cx="3891280" cy="3457575"/>
                  <wp:effectExtent l="0" t="0" r="0" b="9525"/>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280" cy="3457575"/>
                          </a:xfrm>
                          <a:prstGeom prst="rect">
                            <a:avLst/>
                          </a:prstGeom>
                          <a:noFill/>
                          <a:ln>
                            <a:noFill/>
                          </a:ln>
                        </pic:spPr>
                      </pic:pic>
                    </a:graphicData>
                  </a:graphic>
                </wp:inline>
              </w:drawing>
            </w:r>
          </w:p>
        </w:tc>
      </w:tr>
    </w:tbl>
    <w:p w:rsidR="0050013E" w:rsidRPr="00D352C4" w:rsidRDefault="0050013E" w:rsidP="001F2F97">
      <w:pPr>
        <w:pStyle w:val="Legenda"/>
        <w:jc w:val="center"/>
        <w:rPr>
          <w:rFonts w:ascii="Lato" w:hAnsi="Lato"/>
          <w:color w:val="365F91"/>
          <w:sz w:val="20"/>
          <w:szCs w:val="20"/>
          <w:lang w:val="pl-PL"/>
        </w:rPr>
      </w:pPr>
      <w:bookmarkStart w:id="51" w:name="_Toc20219211"/>
      <w:r w:rsidRPr="00D352C4">
        <w:rPr>
          <w:rFonts w:ascii="Lato" w:hAnsi="Lato"/>
          <w:color w:val="365F91"/>
          <w:sz w:val="20"/>
          <w:szCs w:val="20"/>
        </w:rPr>
        <w:t xml:space="preserve">Rysunek </w:t>
      </w:r>
      <w:r w:rsidR="004042AE" w:rsidRPr="00D352C4">
        <w:rPr>
          <w:rFonts w:ascii="Lato" w:hAnsi="Lato"/>
          <w:color w:val="365F91"/>
          <w:sz w:val="20"/>
          <w:szCs w:val="20"/>
        </w:rPr>
        <w:fldChar w:fldCharType="begin"/>
      </w:r>
      <w:r w:rsidR="005430ED" w:rsidRPr="00D352C4">
        <w:rPr>
          <w:rFonts w:ascii="Lato" w:hAnsi="Lato"/>
          <w:color w:val="365F91"/>
          <w:sz w:val="20"/>
          <w:szCs w:val="20"/>
        </w:rPr>
        <w:instrText xml:space="preserve"> STYLEREF 1 \s </w:instrText>
      </w:r>
      <w:r w:rsidR="004042AE" w:rsidRPr="00D352C4">
        <w:rPr>
          <w:rFonts w:ascii="Lato" w:hAnsi="Lato"/>
          <w:color w:val="365F91"/>
          <w:sz w:val="20"/>
          <w:szCs w:val="20"/>
        </w:rPr>
        <w:fldChar w:fldCharType="separate"/>
      </w:r>
      <w:r w:rsidR="0040205B">
        <w:rPr>
          <w:rFonts w:ascii="Lato" w:hAnsi="Lato"/>
          <w:noProof/>
          <w:color w:val="365F91"/>
          <w:sz w:val="20"/>
          <w:szCs w:val="20"/>
        </w:rPr>
        <w:t>1</w:t>
      </w:r>
      <w:r w:rsidR="004042AE" w:rsidRPr="00D352C4">
        <w:rPr>
          <w:rFonts w:ascii="Lato" w:hAnsi="Lato"/>
          <w:color w:val="365F91"/>
          <w:sz w:val="20"/>
          <w:szCs w:val="20"/>
        </w:rPr>
        <w:fldChar w:fldCharType="end"/>
      </w:r>
      <w:r w:rsidR="005430ED" w:rsidRPr="00D352C4">
        <w:rPr>
          <w:rFonts w:ascii="Lato" w:hAnsi="Lato"/>
          <w:color w:val="365F91"/>
          <w:sz w:val="20"/>
          <w:szCs w:val="20"/>
        </w:rPr>
        <w:noBreakHyphen/>
      </w:r>
      <w:r w:rsidR="004042AE" w:rsidRPr="00D352C4">
        <w:rPr>
          <w:rFonts w:ascii="Lato" w:hAnsi="Lato"/>
          <w:color w:val="365F91"/>
          <w:sz w:val="20"/>
          <w:szCs w:val="20"/>
        </w:rPr>
        <w:fldChar w:fldCharType="begin"/>
      </w:r>
      <w:r w:rsidR="005430ED" w:rsidRPr="00D352C4">
        <w:rPr>
          <w:rFonts w:ascii="Lato" w:hAnsi="Lato"/>
          <w:color w:val="365F91"/>
          <w:sz w:val="20"/>
          <w:szCs w:val="20"/>
        </w:rPr>
        <w:instrText xml:space="preserve"> SEQ Rysunek \* ARABIC \s 1 </w:instrText>
      </w:r>
      <w:r w:rsidR="004042AE" w:rsidRPr="00D352C4">
        <w:rPr>
          <w:rFonts w:ascii="Lato" w:hAnsi="Lato"/>
          <w:color w:val="365F91"/>
          <w:sz w:val="20"/>
          <w:szCs w:val="20"/>
        </w:rPr>
        <w:fldChar w:fldCharType="separate"/>
      </w:r>
      <w:r w:rsidR="0040205B">
        <w:rPr>
          <w:rFonts w:ascii="Lato" w:hAnsi="Lato"/>
          <w:noProof/>
          <w:color w:val="365F91"/>
          <w:sz w:val="20"/>
          <w:szCs w:val="20"/>
        </w:rPr>
        <w:t>2</w:t>
      </w:r>
      <w:r w:rsidR="004042AE" w:rsidRPr="00D352C4">
        <w:rPr>
          <w:rFonts w:ascii="Lato" w:hAnsi="Lato"/>
          <w:color w:val="365F91"/>
          <w:sz w:val="20"/>
          <w:szCs w:val="20"/>
        </w:rPr>
        <w:fldChar w:fldCharType="end"/>
      </w:r>
      <w:r w:rsidR="002F760C" w:rsidRPr="00D352C4">
        <w:rPr>
          <w:rFonts w:ascii="Lato" w:hAnsi="Lato"/>
          <w:color w:val="365F91"/>
          <w:sz w:val="20"/>
          <w:szCs w:val="20"/>
        </w:rPr>
        <w:t xml:space="preserve"> Mapa </w:t>
      </w:r>
      <w:r w:rsidR="00414620" w:rsidRPr="00D352C4">
        <w:rPr>
          <w:rFonts w:ascii="Lato" w:hAnsi="Lato"/>
          <w:color w:val="365F91"/>
          <w:sz w:val="20"/>
          <w:szCs w:val="20"/>
          <w:lang w:val="pl-PL"/>
        </w:rPr>
        <w:t xml:space="preserve">Gminy </w:t>
      </w:r>
      <w:r w:rsidR="00D352C4" w:rsidRPr="00D352C4">
        <w:rPr>
          <w:rFonts w:ascii="Lato" w:hAnsi="Lato"/>
          <w:color w:val="365F91"/>
          <w:sz w:val="20"/>
          <w:szCs w:val="20"/>
          <w:lang w:val="pl-PL"/>
        </w:rPr>
        <w:t>Pabianice</w:t>
      </w:r>
      <w:bookmarkEnd w:id="51"/>
    </w:p>
    <w:p w:rsidR="009F6510" w:rsidRPr="008F1406" w:rsidRDefault="00E51AB9" w:rsidP="001F2F97">
      <w:pPr>
        <w:pStyle w:val="Tekstpodstawowy"/>
        <w:jc w:val="center"/>
        <w:rPr>
          <w:rFonts w:ascii="Lato" w:hAnsi="Lato" w:cs="Times New Roman"/>
          <w:i/>
          <w:sz w:val="20"/>
          <w:szCs w:val="20"/>
        </w:rPr>
      </w:pPr>
      <w:r w:rsidRPr="008F1406">
        <w:rPr>
          <w:rFonts w:ascii="Lato" w:hAnsi="Lato" w:cs="Times New Roman"/>
          <w:i/>
          <w:sz w:val="20"/>
          <w:szCs w:val="20"/>
        </w:rPr>
        <w:t>Ź</w:t>
      </w:r>
      <w:r w:rsidR="009F6510" w:rsidRPr="008F1406">
        <w:rPr>
          <w:rFonts w:ascii="Lato" w:hAnsi="Lato" w:cs="Times New Roman"/>
          <w:i/>
          <w:sz w:val="20"/>
          <w:szCs w:val="20"/>
        </w:rPr>
        <w:t xml:space="preserve">ródło: </w:t>
      </w:r>
      <w:r w:rsidR="00D352C4" w:rsidRPr="008F1406">
        <w:rPr>
          <w:rFonts w:ascii="Lato" w:hAnsi="Lato" w:cs="Times New Roman"/>
          <w:i/>
          <w:sz w:val="20"/>
          <w:szCs w:val="20"/>
        </w:rPr>
        <w:t>http://pabianice.e-mapa.net/</w:t>
      </w:r>
    </w:p>
    <w:p w:rsidR="00D461E0" w:rsidRDefault="00D461E0" w:rsidP="009F0D1C">
      <w:pPr>
        <w:spacing w:before="120"/>
        <w:ind w:firstLine="709"/>
        <w:jc w:val="both"/>
        <w:rPr>
          <w:rFonts w:ascii="Lato" w:hAnsi="Lato"/>
        </w:rPr>
      </w:pPr>
    </w:p>
    <w:p w:rsidR="00D352C4" w:rsidRPr="00D352C4" w:rsidRDefault="00D352C4" w:rsidP="009F0D1C">
      <w:pPr>
        <w:spacing w:before="120"/>
        <w:ind w:firstLine="709"/>
        <w:jc w:val="both"/>
        <w:rPr>
          <w:rFonts w:ascii="Lato" w:hAnsi="Lato"/>
        </w:rPr>
      </w:pPr>
      <w:r w:rsidRPr="00D352C4">
        <w:rPr>
          <w:rFonts w:ascii="Lato" w:hAnsi="Lato"/>
        </w:rPr>
        <w:t>Gmina Pabianice jest korzystnie położona pod względem komunikacyjnym, przez jej teren przebiega sieć dróg krajowych, wojewódzkich i powiatowych:</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 xml:space="preserve">droga krajowa ekspresowa S14 </w:t>
      </w:r>
      <w:r w:rsidR="00796FA6" w:rsidRPr="00CD3DFF">
        <w:rPr>
          <w:rFonts w:ascii="Lato" w:hAnsi="Lato" w:cs="Times New Roman"/>
        </w:rPr>
        <w:t xml:space="preserve">i S-14 bis (obwodnica Miasta Pabianice) </w:t>
      </w:r>
      <w:r w:rsidRPr="00CD3DFF">
        <w:rPr>
          <w:rFonts w:ascii="Lato" w:hAnsi="Lato" w:cs="Times New Roman"/>
        </w:rPr>
        <w:t>– 7,5 km,</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 xml:space="preserve">droga krajowa ekspresowa S-8 – </w:t>
      </w:r>
      <w:r w:rsidR="00796FA6" w:rsidRPr="00CD3DFF">
        <w:rPr>
          <w:rFonts w:ascii="Lato" w:hAnsi="Lato" w:cs="Times New Roman"/>
        </w:rPr>
        <w:t>8</w:t>
      </w:r>
      <w:r w:rsidRPr="00CD3DFF">
        <w:rPr>
          <w:rFonts w:ascii="Lato" w:hAnsi="Lato" w:cs="Times New Roman"/>
        </w:rPr>
        <w:t xml:space="preserve"> km,</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 xml:space="preserve">droga krajowa nr 71 </w:t>
      </w:r>
      <w:r w:rsidR="000F2422">
        <w:rPr>
          <w:rFonts w:ascii="Lato" w:hAnsi="Lato" w:cs="Times New Roman"/>
        </w:rPr>
        <w:t>–</w:t>
      </w:r>
      <w:r w:rsidRPr="00CD3DFF">
        <w:rPr>
          <w:rFonts w:ascii="Lato" w:hAnsi="Lato" w:cs="Times New Roman"/>
        </w:rPr>
        <w:t xml:space="preserve"> 9 km,</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 xml:space="preserve">droga wojewódzka nr 485 relacji Pabianice </w:t>
      </w:r>
      <w:r w:rsidR="000F2422">
        <w:rPr>
          <w:rFonts w:ascii="Lato" w:hAnsi="Lato" w:cs="Times New Roman"/>
        </w:rPr>
        <w:t>–</w:t>
      </w:r>
      <w:r w:rsidRPr="00CD3DFF">
        <w:rPr>
          <w:rFonts w:ascii="Lato" w:hAnsi="Lato" w:cs="Times New Roman"/>
        </w:rPr>
        <w:t xml:space="preserve"> Bełchatów </w:t>
      </w:r>
      <w:r w:rsidR="000F2422">
        <w:rPr>
          <w:rFonts w:ascii="Lato" w:hAnsi="Lato" w:cs="Times New Roman"/>
        </w:rPr>
        <w:t>–</w:t>
      </w:r>
      <w:r w:rsidRPr="00CD3DFF">
        <w:rPr>
          <w:rFonts w:ascii="Lato" w:hAnsi="Lato" w:cs="Times New Roman"/>
        </w:rPr>
        <w:t xml:space="preserve"> długość 3</w:t>
      </w:r>
      <w:r w:rsidR="00796FA6" w:rsidRPr="00CD3DFF">
        <w:rPr>
          <w:rFonts w:ascii="Lato" w:hAnsi="Lato" w:cs="Times New Roman"/>
        </w:rPr>
        <w:t>,5</w:t>
      </w:r>
      <w:r w:rsidRPr="00CD3DFF">
        <w:rPr>
          <w:rFonts w:ascii="Lato" w:hAnsi="Lato" w:cs="Times New Roman"/>
        </w:rPr>
        <w:t xml:space="preserve"> km,</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 xml:space="preserve">drogi powiatowe </w:t>
      </w:r>
      <w:r w:rsidR="000F2422">
        <w:rPr>
          <w:rFonts w:ascii="Lato" w:hAnsi="Lato" w:cs="Times New Roman"/>
        </w:rPr>
        <w:t>–</w:t>
      </w:r>
      <w:r w:rsidRPr="00CD3DFF">
        <w:rPr>
          <w:rFonts w:ascii="Lato" w:hAnsi="Lato" w:cs="Times New Roman"/>
        </w:rPr>
        <w:t xml:space="preserve"> 33,7 km,</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 xml:space="preserve">drogi gminne </w:t>
      </w:r>
      <w:r w:rsidR="000F2422">
        <w:rPr>
          <w:rFonts w:ascii="Lato" w:hAnsi="Lato" w:cs="Times New Roman"/>
        </w:rPr>
        <w:t>–</w:t>
      </w:r>
      <w:r w:rsidRPr="00CD3DFF">
        <w:rPr>
          <w:rFonts w:ascii="Lato" w:hAnsi="Lato" w:cs="Times New Roman"/>
        </w:rPr>
        <w:t xml:space="preserve"> 69 km.</w:t>
      </w:r>
    </w:p>
    <w:p w:rsidR="00D352C4" w:rsidRPr="00D352C4" w:rsidRDefault="004E5B52" w:rsidP="009F0D1C">
      <w:pPr>
        <w:spacing w:before="120"/>
        <w:ind w:firstLine="0"/>
        <w:jc w:val="both"/>
        <w:rPr>
          <w:rFonts w:ascii="Lato" w:hAnsi="Lato"/>
        </w:rPr>
      </w:pPr>
      <w:r w:rsidRPr="004E5B52">
        <w:rPr>
          <w:rFonts w:ascii="Lato" w:hAnsi="Lato"/>
        </w:rPr>
        <w:t>Odrębną grupę stanowią drogi tzw. wewnętrzne, których długość wynosi ok. 70 km</w:t>
      </w:r>
      <w:r w:rsidR="00D352C4" w:rsidRPr="00D352C4">
        <w:rPr>
          <w:rFonts w:ascii="Lato" w:hAnsi="Lato"/>
        </w:rPr>
        <w:t>.</w:t>
      </w:r>
    </w:p>
    <w:p w:rsidR="004E35ED" w:rsidRPr="00D352C4" w:rsidRDefault="00D352C4" w:rsidP="009F0D1C">
      <w:pPr>
        <w:spacing w:before="120"/>
        <w:ind w:firstLine="709"/>
        <w:jc w:val="both"/>
        <w:rPr>
          <w:rFonts w:ascii="Lato" w:hAnsi="Lato"/>
        </w:rPr>
      </w:pPr>
      <w:r w:rsidRPr="00D352C4">
        <w:rPr>
          <w:rFonts w:ascii="Lato" w:hAnsi="Lato"/>
        </w:rPr>
        <w:t>Część północna gminy położona jest przy jednym z głównych szlaków komunikacji kolejowej. Przez teren gminy biegnie szlak kolejowy z Pabianic przez Szynkielew do Łodzi.</w:t>
      </w:r>
    </w:p>
    <w:p w:rsidR="0050013E" w:rsidRPr="00D352C4" w:rsidRDefault="0050013E" w:rsidP="004E35ED">
      <w:pPr>
        <w:pStyle w:val="Tekstpodstawowy"/>
        <w:rPr>
          <w:rFonts w:ascii="Lato" w:hAnsi="Lato" w:cs="Times New Roman"/>
          <w:highlight w:val="yellow"/>
        </w:rPr>
      </w:pPr>
    </w:p>
    <w:p w:rsidR="006E46CE" w:rsidRPr="00D352C4" w:rsidRDefault="003E42DF" w:rsidP="00AB431C">
      <w:pPr>
        <w:pStyle w:val="Akapitzlist"/>
        <w:keepNext/>
        <w:numPr>
          <w:ilvl w:val="2"/>
          <w:numId w:val="38"/>
        </w:numPr>
        <w:tabs>
          <w:tab w:val="left" w:pos="709"/>
        </w:tabs>
        <w:spacing w:before="180" w:after="180" w:line="288" w:lineRule="auto"/>
        <w:ind w:left="709" w:hanging="709"/>
        <w:jc w:val="both"/>
        <w:outlineLvl w:val="2"/>
        <w:rPr>
          <w:rFonts w:ascii="Lato" w:hAnsi="Lato"/>
          <w:bCs/>
          <w:color w:val="365F91"/>
          <w:lang w:eastAsia="en-US"/>
        </w:rPr>
      </w:pPr>
      <w:r>
        <w:rPr>
          <w:rFonts w:ascii="Lato" w:hAnsi="Lato"/>
          <w:bCs/>
          <w:color w:val="365F91"/>
          <w:lang w:eastAsia="en-US"/>
        </w:rPr>
        <w:br w:type="page"/>
      </w:r>
      <w:bookmarkStart w:id="52" w:name="_Toc20218500"/>
      <w:r w:rsidR="006E46CE" w:rsidRPr="00D352C4">
        <w:rPr>
          <w:rFonts w:ascii="Lato" w:hAnsi="Lato"/>
          <w:bCs/>
          <w:color w:val="365F91"/>
          <w:lang w:eastAsia="en-US"/>
        </w:rPr>
        <w:lastRenderedPageBreak/>
        <w:t>Warunki naturalne</w:t>
      </w:r>
      <w:bookmarkEnd w:id="52"/>
    </w:p>
    <w:p w:rsidR="00D352C4" w:rsidRPr="00D352C4" w:rsidRDefault="00D352C4" w:rsidP="009F0D1C">
      <w:pPr>
        <w:spacing w:before="120"/>
        <w:ind w:firstLine="709"/>
        <w:jc w:val="both"/>
        <w:rPr>
          <w:rFonts w:ascii="Lato" w:hAnsi="Lato"/>
        </w:rPr>
      </w:pPr>
      <w:r w:rsidRPr="00D352C4">
        <w:rPr>
          <w:rFonts w:ascii="Lato" w:hAnsi="Lato"/>
        </w:rPr>
        <w:t>Gmina Pabianice położona jest w prowincji Niżu Środkowoeuropejskiego, podprowincji Niziny Środkowopolskiej, makroregionie Nizina Południowowielkopolska, mezoregionie Wysoczyzna Łaska. Charakterystycznym elementem rzeźby terenu są wydmy w rejonie Rydzyn. Równinę rozcinają doliny rzek: Dobrzynka, Pabianka oraz Ner.</w:t>
      </w:r>
    </w:p>
    <w:p w:rsidR="00D352C4" w:rsidRPr="00D352C4" w:rsidRDefault="00D352C4" w:rsidP="00CD3DFF">
      <w:pPr>
        <w:ind w:firstLine="709"/>
        <w:jc w:val="both"/>
        <w:rPr>
          <w:rFonts w:ascii="Lato" w:hAnsi="Lato"/>
        </w:rPr>
      </w:pPr>
      <w:r w:rsidRPr="00D352C4">
        <w:rPr>
          <w:rFonts w:ascii="Lato" w:hAnsi="Lato"/>
        </w:rPr>
        <w:t xml:space="preserve">Teren Gminy Pabianice leży na granicy dwóch makroregionów: Niziny Południowowielkopolskiej i Wzniesień Południowomazowieckich i należy do dorzecza Warty. Północna część gminy leży w obrębie Wysoczyzny Łaskiej należącej do Niziny Południowowielkopolskiej i stanowi płaską, zdenudowaną wysoczyznę morenową. Natomiast południowa część gminy stanowi fragment Wysoczyzny Bełchatowskiej należącej do Wzniesienia Południowomazowieckiego i leży w strefie wzgórz morenowych i kemowych. </w:t>
      </w:r>
    </w:p>
    <w:p w:rsidR="00D352C4" w:rsidRPr="00D352C4" w:rsidRDefault="00D352C4" w:rsidP="00CD3DFF">
      <w:pPr>
        <w:ind w:firstLine="709"/>
        <w:jc w:val="both"/>
        <w:rPr>
          <w:rFonts w:ascii="Lato" w:hAnsi="Lato"/>
        </w:rPr>
      </w:pPr>
      <w:r w:rsidRPr="00D352C4">
        <w:rPr>
          <w:rFonts w:ascii="Lato" w:hAnsi="Lato"/>
        </w:rPr>
        <w:t>Konsekwencją rzeźby, budowy geologicznej i stosunków wodnych jest wytworzenie się określonych typów gleb. W północnej części gminy występują gleby II, III i IV klasy, natomiast część południowa zasobna jest w gleby klasy V i VI. Wśród gleb na południu gminy wyróżniają się głównie gleby organiczne torfowe i torfowo – mułowe. W dolinach rzecznych i obniżeniach terenu znajdują się w głównej mierze gleby torfowe, mułowo – torfowe i murszowe, rzadziej czarne ziemie.</w:t>
      </w:r>
    </w:p>
    <w:p w:rsidR="00D352C4" w:rsidRDefault="00D352C4" w:rsidP="00CD3DFF">
      <w:pPr>
        <w:ind w:firstLine="709"/>
        <w:jc w:val="both"/>
        <w:rPr>
          <w:rFonts w:ascii="Lato" w:hAnsi="Lato"/>
        </w:rPr>
      </w:pPr>
      <w:r w:rsidRPr="00E56BE8">
        <w:rPr>
          <w:rFonts w:ascii="Lato" w:hAnsi="Lato"/>
        </w:rPr>
        <w:t>Gmina Pabianice znajduje się w regionie Środkowopolskim (VII). W ciągu roku na tym obszarze występuje średnio 30-35 dni z pogodą umiarkowaną ciepłą, z dużym zachmurzeniem i opadami, 30 dni z pogodą przymrozkową, bardzo chłodną z dużym zachmurzeniem i opadami, 7 dni z pogodą umiarkowanie mroźną, z dużym zachmurzeniem i opadami i 8 dni z pogodą dość mroźną, pochmurną bez opadu. Średnioroczna suma opadów wynosi zaledwie ok. 560 mm z objawami niedoboru w miesiącach lipiec - wrzesień.</w:t>
      </w:r>
    </w:p>
    <w:p w:rsidR="00D352C4" w:rsidRPr="00E56BE8" w:rsidRDefault="00D352C4" w:rsidP="00CD3DFF">
      <w:pPr>
        <w:ind w:firstLine="709"/>
        <w:jc w:val="both"/>
        <w:rPr>
          <w:rFonts w:ascii="Lato" w:hAnsi="Lato"/>
        </w:rPr>
      </w:pPr>
      <w:r w:rsidRPr="00E56BE8">
        <w:rPr>
          <w:rFonts w:ascii="Lato" w:hAnsi="Lato"/>
        </w:rPr>
        <w:t xml:space="preserve">Średnia roczna temperatura przekracza nieco 8˚C, przy przeciętnie najchłodniejszym styczniu </w:t>
      </w:r>
      <w:r w:rsidR="00C2097B">
        <w:rPr>
          <w:rFonts w:ascii="Lato" w:hAnsi="Lato"/>
        </w:rPr>
        <w:br/>
      </w:r>
      <w:r w:rsidRPr="00E56BE8">
        <w:rPr>
          <w:rFonts w:ascii="Lato" w:hAnsi="Lato"/>
        </w:rPr>
        <w:t>(-3˚C) i najcieplejszym lipcu (19˚C). W ciągu około 45% dni pogodę kształtują masy powietrza polarnomorskiego (w lecie do 60%, wiosną ponad 30%). W ciągu około 38% dni panują masy powietrza polarnego kontynentalnego, a przez 10% dni - masy powietrza arktycznego (najczęściej wiosną). Powietrze zwrotnikowe występuje bardzo rzadko i przynosi niezwykłe w danej porze okresy ciepła (najczęściej jesienią).</w:t>
      </w:r>
    </w:p>
    <w:p w:rsidR="00D352C4" w:rsidRPr="00E56BE8" w:rsidRDefault="00D352C4" w:rsidP="009F0D1C">
      <w:pPr>
        <w:spacing w:before="120"/>
        <w:ind w:firstLine="0"/>
        <w:jc w:val="both"/>
        <w:rPr>
          <w:rFonts w:ascii="Lato" w:hAnsi="Lato"/>
        </w:rPr>
      </w:pPr>
      <w:r w:rsidRPr="00E56BE8">
        <w:rPr>
          <w:rFonts w:ascii="Lato" w:hAnsi="Lato"/>
        </w:rPr>
        <w:t>Gmina Pabianice leży w dorzeczu Odry. Główne rzeki przepływające przez teren gminy to:</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Ner - rzeka, na wysoczyźnie Łaskiej i Kotlinie Kolskiej,</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Dobrzynka- rzeka Wyżyny Łódzkiej, lewy dopływ Neru; źródła rzeki znajdują się we wsi Górki Duże, zaś ujście w granicach administracyjnych Łodzi,</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Pabianka - jeden z większych dopływów Dobrzynki,</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Wrząca – źródła jej znajdują początek w mieście Zgierz (ul. Mokr</w:t>
      </w:r>
      <w:r w:rsidR="00D03562">
        <w:rPr>
          <w:rFonts w:ascii="Lato" w:hAnsi="Lato" w:cs="Times New Roman"/>
        </w:rPr>
        <w:t>a), natomiast ujście znajduje w </w:t>
      </w:r>
      <w:r w:rsidRPr="00CD3DFF">
        <w:rPr>
          <w:rFonts w:ascii="Lato" w:hAnsi="Lato" w:cs="Times New Roman"/>
        </w:rPr>
        <w:t>rzece Sokołówce.</w:t>
      </w:r>
    </w:p>
    <w:p w:rsidR="00D352C4" w:rsidRPr="00E56BE8" w:rsidRDefault="00D352C4" w:rsidP="009F0D1C">
      <w:pPr>
        <w:spacing w:before="120"/>
        <w:ind w:firstLine="0"/>
        <w:jc w:val="both"/>
        <w:rPr>
          <w:rFonts w:ascii="Lato" w:hAnsi="Lato"/>
        </w:rPr>
      </w:pPr>
      <w:r w:rsidRPr="00E56BE8">
        <w:rPr>
          <w:rFonts w:ascii="Lato" w:hAnsi="Lato"/>
        </w:rPr>
        <w:t>Na terenie gminy znajduje się także 7 zbiorników:</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Rydzyny I - rów o powierzchni zalewu wynoszącej 0,4 ha i pojemności 4,1 tys. m</w:t>
      </w:r>
      <w:r w:rsidRPr="00CD3DFF">
        <w:rPr>
          <w:rFonts w:ascii="Lato" w:hAnsi="Lato" w:cs="Times New Roman"/>
          <w:vertAlign w:val="superscript"/>
        </w:rPr>
        <w:t>3</w:t>
      </w:r>
      <w:r w:rsidRPr="00CD3DFF">
        <w:rPr>
          <w:rFonts w:ascii="Lato" w:hAnsi="Lato" w:cs="Times New Roman"/>
        </w:rPr>
        <w:t xml:space="preserve"> ,</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Rydzyny II - rów R – D- 37, o powierzchni zalewu wyno</w:t>
      </w:r>
      <w:r w:rsidR="008A76CB" w:rsidRPr="00CD3DFF">
        <w:rPr>
          <w:rFonts w:ascii="Lato" w:hAnsi="Lato" w:cs="Times New Roman"/>
        </w:rPr>
        <w:t>szącej 1,4 ha i pojemności 20,4 </w:t>
      </w:r>
      <w:r w:rsidRPr="00CD3DFF">
        <w:rPr>
          <w:rFonts w:ascii="Lato" w:hAnsi="Lato" w:cs="Times New Roman"/>
        </w:rPr>
        <w:t>tys. m</w:t>
      </w:r>
      <w:r w:rsidRPr="00CD3DFF">
        <w:rPr>
          <w:rFonts w:ascii="Lato" w:hAnsi="Lato" w:cs="Times New Roman"/>
          <w:vertAlign w:val="superscript"/>
        </w:rPr>
        <w:t>3</w:t>
      </w:r>
      <w:r w:rsidRPr="00CD3DFF">
        <w:rPr>
          <w:rFonts w:ascii="Lato" w:hAnsi="Lato" w:cs="Times New Roman"/>
        </w:rPr>
        <w:t>,</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Rydzyny IV - rów R – 4, o powierzchni zalewu - 1,4 ha i pojemności - 20,4 tys. m</w:t>
      </w:r>
      <w:r w:rsidRPr="00CD3DFF">
        <w:rPr>
          <w:rFonts w:ascii="Lato" w:hAnsi="Lato" w:cs="Times New Roman"/>
          <w:vertAlign w:val="superscript"/>
        </w:rPr>
        <w:t>3</w:t>
      </w:r>
      <w:r w:rsidRPr="00CD3DFF">
        <w:rPr>
          <w:rFonts w:ascii="Lato" w:hAnsi="Lato" w:cs="Times New Roman"/>
        </w:rPr>
        <w:t>,</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lastRenderedPageBreak/>
        <w:t>Słoneczna Polana - zbiornik na rowie melioracyjnym, o powier</w:t>
      </w:r>
      <w:r w:rsidR="00CD3DFF">
        <w:rPr>
          <w:rFonts w:ascii="Lato" w:hAnsi="Lato" w:cs="Times New Roman"/>
        </w:rPr>
        <w:t>zchni do 5 ha nr aneksu 28/A, w </w:t>
      </w:r>
      <w:r w:rsidRPr="00CD3DFF">
        <w:rPr>
          <w:rFonts w:ascii="Lato" w:hAnsi="Lato" w:cs="Times New Roman"/>
        </w:rPr>
        <w:t>miejscowości Pawlikowice,</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Pawlikowice - zbiornik na rowie melioracyjnym, o powierzchni do 5 ha,</w:t>
      </w:r>
    </w:p>
    <w:p w:rsidR="00D352C4"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Dąbrowa II - zbiornik o powierzchni do 5 ha w miejscowości Pawlikowice,</w:t>
      </w:r>
    </w:p>
    <w:p w:rsidR="000F65C7" w:rsidRPr="00CD3DFF" w:rsidRDefault="00D352C4"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Cukrowizna - zbiornik o powierzchni 0,40 ha i pojemości 5200 m</w:t>
      </w:r>
      <w:r w:rsidRPr="00CD3DFF">
        <w:rPr>
          <w:rFonts w:ascii="Lato" w:hAnsi="Lato" w:cs="Times New Roman"/>
          <w:vertAlign w:val="superscript"/>
        </w:rPr>
        <w:t>3</w:t>
      </w:r>
      <w:r w:rsidRPr="00CD3DFF">
        <w:rPr>
          <w:rFonts w:ascii="Lato" w:hAnsi="Lato" w:cs="Times New Roman"/>
        </w:rPr>
        <w:t>, w miejscowości Rydzyny.</w:t>
      </w:r>
    </w:p>
    <w:p w:rsidR="00CB6DBB" w:rsidRPr="00E56BE8" w:rsidRDefault="00CB6DBB" w:rsidP="009F0D1C">
      <w:pPr>
        <w:pStyle w:val="Tekstpodstawowy"/>
        <w:rPr>
          <w:rFonts w:ascii="Lato" w:hAnsi="Lato" w:cs="Times New Roman"/>
        </w:rPr>
      </w:pPr>
    </w:p>
    <w:p w:rsidR="006E46CE" w:rsidRPr="001118B7" w:rsidRDefault="002D68F3" w:rsidP="00AB431C">
      <w:pPr>
        <w:pStyle w:val="Akapitzlist"/>
        <w:keepNext/>
        <w:numPr>
          <w:ilvl w:val="2"/>
          <w:numId w:val="38"/>
        </w:numPr>
        <w:tabs>
          <w:tab w:val="left" w:pos="709"/>
        </w:tabs>
        <w:spacing w:before="180" w:after="180" w:line="288" w:lineRule="auto"/>
        <w:ind w:left="709" w:hanging="709"/>
        <w:jc w:val="both"/>
        <w:outlineLvl w:val="2"/>
        <w:rPr>
          <w:rFonts w:ascii="Lato" w:hAnsi="Lato"/>
          <w:bCs/>
          <w:color w:val="365F91"/>
          <w:lang w:eastAsia="en-US"/>
        </w:rPr>
      </w:pPr>
      <w:bookmarkStart w:id="53" w:name="_Toc20218501"/>
      <w:r w:rsidRPr="001118B7">
        <w:rPr>
          <w:rFonts w:ascii="Lato" w:hAnsi="Lato"/>
          <w:bCs/>
          <w:color w:val="365F91"/>
          <w:lang w:eastAsia="en-US"/>
        </w:rPr>
        <w:t>Sytuacja społeczno-</w:t>
      </w:r>
      <w:r w:rsidR="006E46CE" w:rsidRPr="001118B7">
        <w:rPr>
          <w:rFonts w:ascii="Lato" w:hAnsi="Lato"/>
          <w:bCs/>
          <w:color w:val="365F91"/>
          <w:lang w:eastAsia="en-US"/>
        </w:rPr>
        <w:t>gospodarcza</w:t>
      </w:r>
      <w:bookmarkEnd w:id="53"/>
    </w:p>
    <w:p w:rsidR="000F65C7" w:rsidRPr="001118B7" w:rsidRDefault="000F65C7" w:rsidP="009F0D1C">
      <w:pPr>
        <w:spacing w:before="120"/>
        <w:ind w:firstLine="709"/>
        <w:jc w:val="both"/>
        <w:rPr>
          <w:rFonts w:ascii="Lato" w:hAnsi="Lato"/>
        </w:rPr>
      </w:pPr>
      <w:r w:rsidRPr="001118B7">
        <w:rPr>
          <w:rFonts w:ascii="Lato" w:hAnsi="Lato"/>
        </w:rPr>
        <w:t xml:space="preserve">W niniejszym </w:t>
      </w:r>
      <w:r w:rsidR="008E423B" w:rsidRPr="001118B7">
        <w:rPr>
          <w:rFonts w:ascii="Lato" w:hAnsi="Lato"/>
        </w:rPr>
        <w:t>roz</w:t>
      </w:r>
      <w:r w:rsidRPr="001118B7">
        <w:rPr>
          <w:rFonts w:ascii="Lato" w:hAnsi="Lato"/>
        </w:rPr>
        <w:t>dziale przedstawiono podstawowe dan</w:t>
      </w:r>
      <w:r w:rsidR="004B5FDB" w:rsidRPr="001118B7">
        <w:rPr>
          <w:rFonts w:ascii="Lato" w:hAnsi="Lato"/>
        </w:rPr>
        <w:t xml:space="preserve">e dotyczące </w:t>
      </w:r>
      <w:r w:rsidR="00AA3BD6" w:rsidRPr="001118B7">
        <w:rPr>
          <w:rFonts w:ascii="Lato" w:hAnsi="Lato"/>
        </w:rPr>
        <w:t xml:space="preserve">Gminy </w:t>
      </w:r>
      <w:r w:rsidR="001118B7" w:rsidRPr="001118B7">
        <w:rPr>
          <w:rFonts w:ascii="Lato" w:hAnsi="Lato"/>
        </w:rPr>
        <w:t>Pabianice</w:t>
      </w:r>
      <w:r w:rsidR="00AA3BD6" w:rsidRPr="001118B7">
        <w:rPr>
          <w:rFonts w:ascii="Lato" w:hAnsi="Lato"/>
        </w:rPr>
        <w:t xml:space="preserve"> </w:t>
      </w:r>
      <w:r w:rsidR="004B5FDB" w:rsidRPr="001118B7">
        <w:rPr>
          <w:rFonts w:ascii="Lato" w:hAnsi="Lato"/>
        </w:rPr>
        <w:t>za 201</w:t>
      </w:r>
      <w:r w:rsidR="00AA3BD6" w:rsidRPr="001118B7">
        <w:rPr>
          <w:rFonts w:ascii="Lato" w:hAnsi="Lato"/>
        </w:rPr>
        <w:t>7</w:t>
      </w:r>
      <w:r w:rsidRPr="001118B7">
        <w:rPr>
          <w:rFonts w:ascii="Lato" w:hAnsi="Lato"/>
        </w:rPr>
        <w:t xml:space="preserve"> rok oraz trendy zmian wskaźników stanu społecznego i gospodarczego w latach </w:t>
      </w:r>
      <w:r w:rsidR="001118B7" w:rsidRPr="001118B7">
        <w:rPr>
          <w:rFonts w:ascii="Lato" w:hAnsi="Lato"/>
        </w:rPr>
        <w:t>2000</w:t>
      </w:r>
      <w:r w:rsidRPr="001118B7">
        <w:rPr>
          <w:rFonts w:ascii="Lato" w:hAnsi="Lato"/>
        </w:rPr>
        <w:t xml:space="preserve"> – 201</w:t>
      </w:r>
      <w:r w:rsidR="00AA3BD6" w:rsidRPr="001118B7">
        <w:rPr>
          <w:rFonts w:ascii="Lato" w:hAnsi="Lato"/>
        </w:rPr>
        <w:t>7</w:t>
      </w:r>
      <w:r w:rsidRPr="001118B7">
        <w:rPr>
          <w:rFonts w:ascii="Lato" w:hAnsi="Lato"/>
        </w:rPr>
        <w:t xml:space="preserve">. Wskaźniki </w:t>
      </w:r>
      <w:r w:rsidR="00730837" w:rsidRPr="001118B7">
        <w:rPr>
          <w:rFonts w:ascii="Lato" w:hAnsi="Lato"/>
        </w:rPr>
        <w:t>opracowano w </w:t>
      </w:r>
      <w:r w:rsidRPr="001118B7">
        <w:rPr>
          <w:rFonts w:ascii="Lato" w:hAnsi="Lato"/>
        </w:rPr>
        <w:t>oparciu o informacje Głównego Urzędu Statystycznego zawarte w Banku Danych Lokalnych (www.stat.gov.pl), raport z wyników Narodowych</w:t>
      </w:r>
      <w:r w:rsidR="001118B7" w:rsidRPr="001118B7">
        <w:rPr>
          <w:rFonts w:ascii="Lato" w:hAnsi="Lato"/>
        </w:rPr>
        <w:t xml:space="preserve"> Spisów Powszechnych Ludności i </w:t>
      </w:r>
      <w:r w:rsidRPr="001118B7">
        <w:rPr>
          <w:rFonts w:ascii="Lato" w:hAnsi="Lato"/>
        </w:rPr>
        <w:t xml:space="preserve">Mieszkań przeprowadzonych w 2002 i 2011 r., a także dane </w:t>
      </w:r>
      <w:r w:rsidR="00AA3BD6" w:rsidRPr="001118B7">
        <w:rPr>
          <w:rFonts w:ascii="Lato" w:hAnsi="Lato"/>
        </w:rPr>
        <w:t xml:space="preserve">Urzędu Gminy w </w:t>
      </w:r>
      <w:r w:rsidR="00150CD6">
        <w:rPr>
          <w:rFonts w:ascii="Lato" w:hAnsi="Lato"/>
        </w:rPr>
        <w:t>Pabiani</w:t>
      </w:r>
      <w:r w:rsidR="00AA3BD6" w:rsidRPr="001118B7">
        <w:rPr>
          <w:rFonts w:ascii="Lato" w:hAnsi="Lato"/>
        </w:rPr>
        <w:t>cach.</w:t>
      </w:r>
    </w:p>
    <w:p w:rsidR="000F65C7" w:rsidRPr="001118B7" w:rsidRDefault="000F65C7" w:rsidP="009F0D1C">
      <w:pPr>
        <w:pStyle w:val="Tekstpodstawowy"/>
        <w:rPr>
          <w:rFonts w:ascii="Lato" w:hAnsi="Lato" w:cs="Times New Roman"/>
        </w:rPr>
      </w:pPr>
    </w:p>
    <w:p w:rsidR="0050013E" w:rsidRPr="001118B7" w:rsidRDefault="0050013E" w:rsidP="00AB431C">
      <w:pPr>
        <w:pStyle w:val="Nagwek4"/>
        <w:numPr>
          <w:ilvl w:val="3"/>
          <w:numId w:val="38"/>
        </w:numPr>
        <w:ind w:left="1134" w:right="52" w:hanging="1134"/>
        <w:jc w:val="both"/>
        <w:rPr>
          <w:rFonts w:ascii="Lato" w:hAnsi="Lato"/>
          <w:b w:val="0"/>
          <w:bCs/>
          <w:i w:val="0"/>
          <w:color w:val="365F91"/>
          <w:szCs w:val="24"/>
          <w:lang w:eastAsia="en-US"/>
        </w:rPr>
      </w:pPr>
      <w:r w:rsidRPr="001118B7">
        <w:rPr>
          <w:rFonts w:ascii="Lato" w:hAnsi="Lato"/>
          <w:b w:val="0"/>
          <w:bCs/>
          <w:i w:val="0"/>
          <w:color w:val="365F91"/>
          <w:szCs w:val="24"/>
          <w:lang w:eastAsia="en-US"/>
        </w:rPr>
        <w:t>Uwarunkowania demograficzne</w:t>
      </w:r>
    </w:p>
    <w:p w:rsidR="00BE7DC0" w:rsidRDefault="00BE7DC0" w:rsidP="009F0D1C">
      <w:pPr>
        <w:spacing w:before="120" w:after="240"/>
        <w:ind w:firstLine="709"/>
        <w:jc w:val="both"/>
      </w:pPr>
      <w:bookmarkStart w:id="54" w:name="_Toc68789301"/>
      <w:bookmarkStart w:id="55" w:name="_Toc88629893"/>
      <w:r w:rsidRPr="001118B7">
        <w:rPr>
          <w:rFonts w:ascii="Lato" w:hAnsi="Lato"/>
        </w:rPr>
        <w:t>Jednym z podstawowych czynników wpływających na rozwój gmin jest sytuacja demograficzna oraz perspektywy jej zmian. Przyrost ludności to przyrost liczby konsumentów, a</w:t>
      </w:r>
      <w:r w:rsidR="000F2422">
        <w:rPr>
          <w:rFonts w:ascii="Lato" w:hAnsi="Lato"/>
        </w:rPr>
        <w:t xml:space="preserve"> </w:t>
      </w:r>
      <w:r w:rsidRPr="001118B7">
        <w:rPr>
          <w:rFonts w:ascii="Lato" w:hAnsi="Lato"/>
        </w:rPr>
        <w:t>zatem wzrost zapotrzebowania na energię oraz jej nośniki, zarówno sieciowe jak</w:t>
      </w:r>
      <w:r w:rsidR="002F0A8F">
        <w:rPr>
          <w:rFonts w:ascii="Lato" w:hAnsi="Lato"/>
        </w:rPr>
        <w:t xml:space="preserve"> i w postaci paliw stałych, czy </w:t>
      </w:r>
      <w:r w:rsidRPr="001118B7">
        <w:rPr>
          <w:rFonts w:ascii="Lato" w:hAnsi="Lato"/>
        </w:rPr>
        <w:t xml:space="preserve">ciekłych. Z poniższego rysunku wynika, że liczba ludności </w:t>
      </w:r>
      <w:r w:rsidR="00AA3BD6" w:rsidRPr="001118B7">
        <w:rPr>
          <w:rFonts w:ascii="Lato" w:hAnsi="Lato"/>
        </w:rPr>
        <w:t xml:space="preserve">w Gminie </w:t>
      </w:r>
      <w:r w:rsidR="001118B7" w:rsidRPr="001118B7">
        <w:rPr>
          <w:rFonts w:ascii="Lato" w:hAnsi="Lato"/>
        </w:rPr>
        <w:t>Pabianice</w:t>
      </w:r>
      <w:r w:rsidRPr="001118B7">
        <w:rPr>
          <w:rFonts w:ascii="Lato" w:hAnsi="Lato"/>
        </w:rPr>
        <w:t xml:space="preserve"> w latach 2002-201</w:t>
      </w:r>
      <w:r w:rsidR="00FD69D9" w:rsidRPr="001118B7">
        <w:rPr>
          <w:rFonts w:ascii="Lato" w:hAnsi="Lato"/>
        </w:rPr>
        <w:t>7</w:t>
      </w:r>
      <w:r w:rsidRPr="001118B7">
        <w:rPr>
          <w:rFonts w:ascii="Lato" w:hAnsi="Lato"/>
        </w:rPr>
        <w:t xml:space="preserve"> </w:t>
      </w:r>
      <w:r w:rsidR="00FD69D9" w:rsidRPr="001118B7">
        <w:rPr>
          <w:rFonts w:ascii="Lato" w:hAnsi="Lato"/>
        </w:rPr>
        <w:t xml:space="preserve">wzrosła o 1 </w:t>
      </w:r>
      <w:r w:rsidR="001118B7" w:rsidRPr="001118B7">
        <w:rPr>
          <w:rFonts w:ascii="Lato" w:hAnsi="Lato"/>
        </w:rPr>
        <w:t>856</w:t>
      </w:r>
      <w:r w:rsidR="00730837" w:rsidRPr="001118B7">
        <w:rPr>
          <w:rFonts w:ascii="Lato" w:hAnsi="Lato"/>
        </w:rPr>
        <w:t xml:space="preserve"> osób</w:t>
      </w:r>
      <w:r w:rsidR="00445F08" w:rsidRPr="001118B7">
        <w:rPr>
          <w:rFonts w:ascii="Lato" w:hAnsi="Lato"/>
        </w:rPr>
        <w:t>.</w:t>
      </w:r>
      <w:r w:rsidR="001118B7" w:rsidRPr="001118B7">
        <w:rPr>
          <w:noProof/>
        </w:rPr>
        <w:t xml:space="preserve"> </w:t>
      </w:r>
    </w:p>
    <w:p w:rsidR="00F76E05" w:rsidRPr="001118B7" w:rsidRDefault="0006260E" w:rsidP="001118B7">
      <w:pPr>
        <w:spacing w:before="120"/>
        <w:ind w:firstLine="0"/>
        <w:jc w:val="center"/>
        <w:rPr>
          <w:rFonts w:ascii="Lato" w:hAnsi="Lato"/>
          <w:noProof/>
          <w:sz w:val="4"/>
          <w:highlight w:val="yellow"/>
        </w:rPr>
      </w:pPr>
      <w:r>
        <w:rPr>
          <w:noProof/>
        </w:rPr>
        <w:drawing>
          <wp:inline distT="0" distB="0" distL="0" distR="0" wp14:anchorId="7EB74AE9" wp14:editId="58C1BC10">
            <wp:extent cx="5977255" cy="3110230"/>
            <wp:effectExtent l="0" t="0" r="0" b="0"/>
            <wp:docPr id="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013E" w:rsidRPr="001D662F" w:rsidRDefault="0050013E" w:rsidP="0030318B">
      <w:pPr>
        <w:pStyle w:val="Legenda"/>
        <w:spacing w:before="0"/>
        <w:jc w:val="center"/>
        <w:rPr>
          <w:rFonts w:ascii="Lato" w:hAnsi="Lato"/>
          <w:color w:val="1F497D"/>
          <w:sz w:val="20"/>
          <w:szCs w:val="20"/>
          <w:lang w:val="pl-PL"/>
        </w:rPr>
      </w:pPr>
      <w:bookmarkStart w:id="56" w:name="_Toc20219212"/>
      <w:bookmarkStart w:id="57" w:name="_Toc225155556"/>
      <w:r w:rsidRPr="001D662F">
        <w:rPr>
          <w:rFonts w:ascii="Lato" w:hAnsi="Lato"/>
          <w:color w:val="365F91"/>
          <w:sz w:val="20"/>
          <w:szCs w:val="20"/>
        </w:rPr>
        <w:t xml:space="preserve">Rysunek </w:t>
      </w:r>
      <w:r w:rsidR="004042AE" w:rsidRPr="001D662F">
        <w:rPr>
          <w:rFonts w:ascii="Lato" w:hAnsi="Lato"/>
          <w:color w:val="365F91"/>
          <w:sz w:val="20"/>
          <w:szCs w:val="20"/>
        </w:rPr>
        <w:fldChar w:fldCharType="begin"/>
      </w:r>
      <w:r w:rsidR="005430ED" w:rsidRPr="001D662F">
        <w:rPr>
          <w:rFonts w:ascii="Lato" w:hAnsi="Lato"/>
          <w:color w:val="365F91"/>
          <w:sz w:val="20"/>
          <w:szCs w:val="20"/>
        </w:rPr>
        <w:instrText xml:space="preserve"> STYLEREF 1 \s </w:instrText>
      </w:r>
      <w:r w:rsidR="004042AE" w:rsidRPr="001D662F">
        <w:rPr>
          <w:rFonts w:ascii="Lato" w:hAnsi="Lato"/>
          <w:color w:val="365F91"/>
          <w:sz w:val="20"/>
          <w:szCs w:val="20"/>
        </w:rPr>
        <w:fldChar w:fldCharType="separate"/>
      </w:r>
      <w:r w:rsidR="0040205B">
        <w:rPr>
          <w:rFonts w:ascii="Lato" w:hAnsi="Lato"/>
          <w:noProof/>
          <w:color w:val="365F91"/>
          <w:sz w:val="20"/>
          <w:szCs w:val="20"/>
        </w:rPr>
        <w:t>1</w:t>
      </w:r>
      <w:r w:rsidR="004042AE" w:rsidRPr="001D662F">
        <w:rPr>
          <w:rFonts w:ascii="Lato" w:hAnsi="Lato"/>
          <w:color w:val="365F91"/>
          <w:sz w:val="20"/>
          <w:szCs w:val="20"/>
        </w:rPr>
        <w:fldChar w:fldCharType="end"/>
      </w:r>
      <w:r w:rsidR="005430ED" w:rsidRPr="001D662F">
        <w:rPr>
          <w:rFonts w:ascii="Lato" w:hAnsi="Lato"/>
          <w:color w:val="365F91"/>
          <w:sz w:val="20"/>
          <w:szCs w:val="20"/>
        </w:rPr>
        <w:noBreakHyphen/>
      </w:r>
      <w:r w:rsidR="004042AE" w:rsidRPr="001D662F">
        <w:rPr>
          <w:rFonts w:ascii="Lato" w:hAnsi="Lato"/>
          <w:color w:val="365F91"/>
          <w:sz w:val="20"/>
          <w:szCs w:val="20"/>
        </w:rPr>
        <w:fldChar w:fldCharType="begin"/>
      </w:r>
      <w:r w:rsidR="005430ED" w:rsidRPr="001D662F">
        <w:rPr>
          <w:rFonts w:ascii="Lato" w:hAnsi="Lato"/>
          <w:color w:val="365F91"/>
          <w:sz w:val="20"/>
          <w:szCs w:val="20"/>
        </w:rPr>
        <w:instrText xml:space="preserve"> SEQ Rysunek \* ARABIC \s 1 </w:instrText>
      </w:r>
      <w:r w:rsidR="004042AE" w:rsidRPr="001D662F">
        <w:rPr>
          <w:rFonts w:ascii="Lato" w:hAnsi="Lato"/>
          <w:color w:val="365F91"/>
          <w:sz w:val="20"/>
          <w:szCs w:val="20"/>
        </w:rPr>
        <w:fldChar w:fldCharType="separate"/>
      </w:r>
      <w:r w:rsidR="0040205B">
        <w:rPr>
          <w:rFonts w:ascii="Lato" w:hAnsi="Lato"/>
          <w:noProof/>
          <w:color w:val="365F91"/>
          <w:sz w:val="20"/>
          <w:szCs w:val="20"/>
        </w:rPr>
        <w:t>3</w:t>
      </w:r>
      <w:r w:rsidR="004042AE" w:rsidRPr="001D662F">
        <w:rPr>
          <w:rFonts w:ascii="Lato" w:hAnsi="Lato"/>
          <w:color w:val="365F91"/>
          <w:sz w:val="20"/>
          <w:szCs w:val="20"/>
        </w:rPr>
        <w:fldChar w:fldCharType="end"/>
      </w:r>
      <w:r w:rsidR="001D1506" w:rsidRPr="001D662F">
        <w:rPr>
          <w:rFonts w:ascii="Lato" w:hAnsi="Lato"/>
          <w:color w:val="365F91"/>
          <w:sz w:val="20"/>
          <w:szCs w:val="20"/>
        </w:rPr>
        <w:t xml:space="preserve"> Liczba ludności w </w:t>
      </w:r>
      <w:r w:rsidR="00FD69D9" w:rsidRPr="001D662F">
        <w:rPr>
          <w:rFonts w:ascii="Lato" w:hAnsi="Lato"/>
          <w:color w:val="365F91"/>
          <w:sz w:val="20"/>
          <w:szCs w:val="20"/>
        </w:rPr>
        <w:t xml:space="preserve">Gminie </w:t>
      </w:r>
      <w:r w:rsidR="001118B7" w:rsidRPr="001D662F">
        <w:rPr>
          <w:rFonts w:ascii="Lato" w:hAnsi="Lato"/>
          <w:color w:val="365F91"/>
          <w:sz w:val="20"/>
          <w:szCs w:val="20"/>
          <w:lang w:val="pl-PL"/>
        </w:rPr>
        <w:t>Pabianice</w:t>
      </w:r>
      <w:r w:rsidR="00FD69D9" w:rsidRPr="001D662F">
        <w:rPr>
          <w:rFonts w:ascii="Lato" w:hAnsi="Lato"/>
          <w:color w:val="365F91"/>
          <w:sz w:val="20"/>
          <w:szCs w:val="20"/>
        </w:rPr>
        <w:t xml:space="preserve"> </w:t>
      </w:r>
      <w:r w:rsidRPr="001D662F">
        <w:rPr>
          <w:rFonts w:ascii="Lato" w:hAnsi="Lato"/>
          <w:color w:val="365F91"/>
          <w:sz w:val="20"/>
          <w:szCs w:val="20"/>
        </w:rPr>
        <w:t>w latach 200</w:t>
      </w:r>
      <w:r w:rsidR="00BE7DC0" w:rsidRPr="001D662F">
        <w:rPr>
          <w:rFonts w:ascii="Lato" w:hAnsi="Lato"/>
          <w:color w:val="365F91"/>
          <w:sz w:val="20"/>
          <w:szCs w:val="20"/>
        </w:rPr>
        <w:t>2</w:t>
      </w:r>
      <w:r w:rsidRPr="001D662F">
        <w:rPr>
          <w:rFonts w:ascii="Lato" w:hAnsi="Lato"/>
          <w:color w:val="365F91"/>
          <w:sz w:val="20"/>
          <w:szCs w:val="20"/>
        </w:rPr>
        <w:t xml:space="preserve"> – 201</w:t>
      </w:r>
      <w:r w:rsidR="00FD69D9" w:rsidRPr="001D662F">
        <w:rPr>
          <w:rFonts w:ascii="Lato" w:hAnsi="Lato"/>
          <w:color w:val="365F91"/>
          <w:sz w:val="20"/>
          <w:szCs w:val="20"/>
          <w:lang w:val="pl-PL"/>
        </w:rPr>
        <w:t>7</w:t>
      </w:r>
      <w:bookmarkEnd w:id="56"/>
    </w:p>
    <w:bookmarkEnd w:id="57"/>
    <w:p w:rsidR="00E77738" w:rsidRPr="008F1406" w:rsidRDefault="00E51AB9" w:rsidP="00815B20">
      <w:pPr>
        <w:pStyle w:val="Tekstpodstawowy"/>
        <w:jc w:val="center"/>
        <w:rPr>
          <w:rFonts w:ascii="Lato" w:hAnsi="Lato" w:cs="Times New Roman"/>
          <w:i/>
          <w:sz w:val="20"/>
          <w:szCs w:val="20"/>
        </w:rPr>
      </w:pPr>
      <w:r w:rsidRPr="008F1406">
        <w:rPr>
          <w:rFonts w:ascii="Lato" w:hAnsi="Lato" w:cs="Times New Roman"/>
          <w:i/>
          <w:sz w:val="20"/>
          <w:szCs w:val="20"/>
        </w:rPr>
        <w:t>Ź</w:t>
      </w:r>
      <w:r w:rsidR="00E77738" w:rsidRPr="008F1406">
        <w:rPr>
          <w:rFonts w:ascii="Lato" w:hAnsi="Lato" w:cs="Times New Roman"/>
          <w:i/>
          <w:sz w:val="20"/>
          <w:szCs w:val="20"/>
        </w:rPr>
        <w:t>ródło: GUS</w:t>
      </w:r>
    </w:p>
    <w:p w:rsidR="001118B7" w:rsidRPr="00B33581" w:rsidRDefault="001118B7" w:rsidP="00BE7DC0">
      <w:pPr>
        <w:ind w:firstLine="540"/>
        <w:jc w:val="both"/>
        <w:rPr>
          <w:rFonts w:ascii="Lato" w:hAnsi="Lato"/>
          <w:sz w:val="20"/>
          <w:highlight w:val="yellow"/>
        </w:rPr>
      </w:pPr>
    </w:p>
    <w:p w:rsidR="00BE7DC0" w:rsidRPr="00D372C1" w:rsidRDefault="00BE7DC0" w:rsidP="009F0D1C">
      <w:pPr>
        <w:ind w:firstLine="540"/>
        <w:jc w:val="both"/>
        <w:rPr>
          <w:rFonts w:ascii="Lato" w:hAnsi="Lato"/>
        </w:rPr>
      </w:pPr>
      <w:r w:rsidRPr="00D372C1">
        <w:rPr>
          <w:rFonts w:ascii="Lato" w:hAnsi="Lato"/>
        </w:rPr>
        <w:t xml:space="preserve">Duży wpływ na zmiany demograficzne mają takie czynniki jak: przyrost naturalny będący pochodną liczby zgonów i narodzin, a także migracje krajowe oraz zagraniczne, które w wyniku otwarcia zagranicznych </w:t>
      </w:r>
      <w:r w:rsidRPr="00D372C1">
        <w:rPr>
          <w:rFonts w:ascii="Lato" w:hAnsi="Lato"/>
        </w:rPr>
        <w:lastRenderedPageBreak/>
        <w:t xml:space="preserve">rynków pracy szczególnie przybrały na sile, praktycznie w skali całego kraju. </w:t>
      </w:r>
      <w:r w:rsidR="008A76CB">
        <w:rPr>
          <w:rFonts w:ascii="Lato" w:hAnsi="Lato"/>
        </w:rPr>
        <w:t>W </w:t>
      </w:r>
      <w:r w:rsidR="008A76CB" w:rsidRPr="008A76CB">
        <w:rPr>
          <w:rFonts w:ascii="Lato" w:hAnsi="Lato"/>
        </w:rPr>
        <w:t>przypadku Gminy Pabianice duże znaczenie ma coraz większa liczba mieszkańców gminy osiedlających się w jej nowych obszarach mieszkalnych. Ma to związek z sukcesywnym odpływem ludności z miast, zwłaszcza tych zlokalizowanych w sąsiedztwie gminy (Łódź, Pabianice).</w:t>
      </w:r>
    </w:p>
    <w:p w:rsidR="0050013E" w:rsidRDefault="0050013E" w:rsidP="009F0D1C">
      <w:pPr>
        <w:ind w:firstLine="540"/>
        <w:jc w:val="both"/>
        <w:rPr>
          <w:rFonts w:ascii="Lato" w:hAnsi="Lato"/>
        </w:rPr>
      </w:pPr>
      <w:r w:rsidRPr="00D372C1">
        <w:rPr>
          <w:rFonts w:ascii="Lato" w:hAnsi="Lato"/>
        </w:rPr>
        <w:t>W tabeli 1-</w:t>
      </w:r>
      <w:r w:rsidR="002F760C" w:rsidRPr="00D372C1">
        <w:rPr>
          <w:rFonts w:ascii="Lato" w:hAnsi="Lato"/>
        </w:rPr>
        <w:t>1</w:t>
      </w:r>
      <w:r w:rsidRPr="00D372C1">
        <w:rPr>
          <w:rFonts w:ascii="Lato" w:hAnsi="Lato"/>
        </w:rPr>
        <w:t xml:space="preserve"> porównano podstawowe wskaźniki demograficzne d</w:t>
      </w:r>
      <w:r w:rsidR="002F760C" w:rsidRPr="00D372C1">
        <w:rPr>
          <w:rFonts w:ascii="Lato" w:hAnsi="Lato"/>
        </w:rPr>
        <w:t xml:space="preserve">otyczące </w:t>
      </w:r>
      <w:r w:rsidR="00FD69D9" w:rsidRPr="00D372C1">
        <w:rPr>
          <w:rFonts w:ascii="Lato" w:hAnsi="Lato"/>
        </w:rPr>
        <w:t xml:space="preserve">Gminy </w:t>
      </w:r>
      <w:r w:rsidR="00D372C1" w:rsidRPr="00D372C1">
        <w:rPr>
          <w:rFonts w:ascii="Lato" w:hAnsi="Lato"/>
        </w:rPr>
        <w:t>Pabianice</w:t>
      </w:r>
      <w:r w:rsidR="00FD69D9" w:rsidRPr="00D372C1">
        <w:rPr>
          <w:rFonts w:ascii="Lato" w:hAnsi="Lato"/>
        </w:rPr>
        <w:t xml:space="preserve"> </w:t>
      </w:r>
      <w:r w:rsidR="00730837" w:rsidRPr="00D372C1">
        <w:rPr>
          <w:rFonts w:ascii="Lato" w:hAnsi="Lato"/>
        </w:rPr>
        <w:t>w zestawieniu z </w:t>
      </w:r>
      <w:r w:rsidRPr="00D372C1">
        <w:rPr>
          <w:rFonts w:ascii="Lato" w:hAnsi="Lato"/>
        </w:rPr>
        <w:t xml:space="preserve">analogicznymi wskaźnikami dla województwa </w:t>
      </w:r>
      <w:r w:rsidR="00D372C1" w:rsidRPr="00D372C1">
        <w:rPr>
          <w:rFonts w:ascii="Lato" w:hAnsi="Lato"/>
        </w:rPr>
        <w:t>łódzkiego</w:t>
      </w:r>
      <w:r w:rsidRPr="00D372C1">
        <w:rPr>
          <w:rFonts w:ascii="Lato" w:hAnsi="Lato"/>
        </w:rPr>
        <w:t xml:space="preserve"> oraz </w:t>
      </w:r>
      <w:r w:rsidR="005C65A5" w:rsidRPr="00D372C1">
        <w:rPr>
          <w:rFonts w:ascii="Lato" w:hAnsi="Lato"/>
        </w:rPr>
        <w:t xml:space="preserve">dla </w:t>
      </w:r>
      <w:r w:rsidRPr="00D372C1">
        <w:rPr>
          <w:rFonts w:ascii="Lato" w:hAnsi="Lato"/>
        </w:rPr>
        <w:t>Polski.</w:t>
      </w:r>
    </w:p>
    <w:p w:rsidR="003E42DF" w:rsidRPr="00D372C1" w:rsidRDefault="003E42DF" w:rsidP="009F0D1C">
      <w:pPr>
        <w:ind w:firstLine="540"/>
        <w:jc w:val="both"/>
        <w:rPr>
          <w:rFonts w:ascii="Lato" w:hAnsi="Lato"/>
        </w:rPr>
      </w:pPr>
    </w:p>
    <w:p w:rsidR="0050013E" w:rsidRPr="00B87F44" w:rsidRDefault="0050013E" w:rsidP="0030318B">
      <w:pPr>
        <w:pStyle w:val="Legenda"/>
        <w:spacing w:before="0"/>
        <w:rPr>
          <w:rFonts w:ascii="Lato" w:hAnsi="Lato"/>
          <w:color w:val="365F91"/>
          <w:sz w:val="20"/>
          <w:szCs w:val="20"/>
        </w:rPr>
      </w:pPr>
      <w:bookmarkStart w:id="58" w:name="_Toc140645015"/>
      <w:bookmarkStart w:id="59" w:name="_Toc217206088"/>
      <w:bookmarkStart w:id="60" w:name="_Toc20219160"/>
      <w:r w:rsidRPr="00B87F44">
        <w:rPr>
          <w:rFonts w:ascii="Lato" w:hAnsi="Lato"/>
          <w:color w:val="365F91"/>
          <w:sz w:val="20"/>
          <w:szCs w:val="20"/>
        </w:rPr>
        <w:t xml:space="preserve">Tabela </w:t>
      </w:r>
      <w:r w:rsidR="004042AE" w:rsidRPr="00B87F44">
        <w:rPr>
          <w:rFonts w:ascii="Lato" w:hAnsi="Lato"/>
          <w:color w:val="365F91"/>
          <w:sz w:val="20"/>
          <w:szCs w:val="20"/>
        </w:rPr>
        <w:fldChar w:fldCharType="begin"/>
      </w:r>
      <w:r w:rsidR="005430ED" w:rsidRPr="00B87F44">
        <w:rPr>
          <w:rFonts w:ascii="Lato" w:hAnsi="Lato"/>
          <w:color w:val="365F91"/>
          <w:sz w:val="20"/>
          <w:szCs w:val="20"/>
        </w:rPr>
        <w:instrText xml:space="preserve"> STYLEREF 1 \s </w:instrText>
      </w:r>
      <w:r w:rsidR="004042AE" w:rsidRPr="00B87F44">
        <w:rPr>
          <w:rFonts w:ascii="Lato" w:hAnsi="Lato"/>
          <w:color w:val="365F91"/>
          <w:sz w:val="20"/>
          <w:szCs w:val="20"/>
        </w:rPr>
        <w:fldChar w:fldCharType="separate"/>
      </w:r>
      <w:r w:rsidR="0040205B">
        <w:rPr>
          <w:rFonts w:ascii="Lato" w:hAnsi="Lato"/>
          <w:noProof/>
          <w:color w:val="365F91"/>
          <w:sz w:val="20"/>
          <w:szCs w:val="20"/>
        </w:rPr>
        <w:t>1</w:t>
      </w:r>
      <w:r w:rsidR="004042AE" w:rsidRPr="00B87F44">
        <w:rPr>
          <w:rFonts w:ascii="Lato" w:hAnsi="Lato"/>
          <w:color w:val="365F91"/>
          <w:sz w:val="20"/>
          <w:szCs w:val="20"/>
        </w:rPr>
        <w:fldChar w:fldCharType="end"/>
      </w:r>
      <w:r w:rsidR="005430ED" w:rsidRPr="00B87F44">
        <w:rPr>
          <w:rFonts w:ascii="Lato" w:hAnsi="Lato"/>
          <w:color w:val="365F91"/>
          <w:sz w:val="20"/>
          <w:szCs w:val="20"/>
        </w:rPr>
        <w:noBreakHyphen/>
      </w:r>
      <w:r w:rsidR="004042AE" w:rsidRPr="00B87F44">
        <w:rPr>
          <w:rFonts w:ascii="Lato" w:hAnsi="Lato"/>
          <w:color w:val="365F91"/>
          <w:sz w:val="20"/>
          <w:szCs w:val="20"/>
        </w:rPr>
        <w:fldChar w:fldCharType="begin"/>
      </w:r>
      <w:r w:rsidR="005430ED" w:rsidRPr="00B87F44">
        <w:rPr>
          <w:rFonts w:ascii="Lato" w:hAnsi="Lato"/>
          <w:color w:val="365F91"/>
          <w:sz w:val="20"/>
          <w:szCs w:val="20"/>
        </w:rPr>
        <w:instrText xml:space="preserve"> SEQ Tabela \* ARABIC \s 1 </w:instrText>
      </w:r>
      <w:r w:rsidR="004042AE" w:rsidRPr="00B87F44">
        <w:rPr>
          <w:rFonts w:ascii="Lato" w:hAnsi="Lato"/>
          <w:color w:val="365F91"/>
          <w:sz w:val="20"/>
          <w:szCs w:val="20"/>
        </w:rPr>
        <w:fldChar w:fldCharType="separate"/>
      </w:r>
      <w:r w:rsidR="0040205B">
        <w:rPr>
          <w:rFonts w:ascii="Lato" w:hAnsi="Lato"/>
          <w:noProof/>
          <w:color w:val="365F91"/>
          <w:sz w:val="20"/>
          <w:szCs w:val="20"/>
        </w:rPr>
        <w:t>1</w:t>
      </w:r>
      <w:r w:rsidR="004042AE" w:rsidRPr="00B87F44">
        <w:rPr>
          <w:rFonts w:ascii="Lato" w:hAnsi="Lato"/>
          <w:color w:val="365F91"/>
          <w:sz w:val="20"/>
          <w:szCs w:val="20"/>
        </w:rPr>
        <w:fldChar w:fldCharType="end"/>
      </w:r>
      <w:r w:rsidRPr="00B87F44">
        <w:rPr>
          <w:rFonts w:ascii="Lato" w:hAnsi="Lato"/>
          <w:color w:val="365F91"/>
          <w:sz w:val="20"/>
          <w:szCs w:val="20"/>
        </w:rPr>
        <w:t xml:space="preserve"> Porównanie podstawowych wskaźników demograficznych</w:t>
      </w:r>
      <w:bookmarkEnd w:id="58"/>
      <w:bookmarkEnd w:id="59"/>
      <w:bookmarkEnd w:id="60"/>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70" w:type="dxa"/>
          <w:right w:w="70" w:type="dxa"/>
        </w:tblCellMar>
        <w:tblLook w:val="04A0" w:firstRow="1" w:lastRow="0" w:firstColumn="1" w:lastColumn="0" w:noHBand="0" w:noVBand="1"/>
      </w:tblPr>
      <w:tblGrid>
        <w:gridCol w:w="3887"/>
        <w:gridCol w:w="1853"/>
        <w:gridCol w:w="1561"/>
        <w:gridCol w:w="1475"/>
        <w:gridCol w:w="1229"/>
      </w:tblGrid>
      <w:tr w:rsidR="00F43B71" w:rsidRPr="00D352C4" w:rsidTr="00145E29">
        <w:trPr>
          <w:cantSplit/>
          <w:trHeight w:val="555"/>
          <w:tblHeader/>
        </w:trPr>
        <w:tc>
          <w:tcPr>
            <w:tcW w:w="2869" w:type="pct"/>
            <w:gridSpan w:val="2"/>
            <w:shd w:val="clear" w:color="auto" w:fill="DBE5F1"/>
            <w:noWrap/>
            <w:vAlign w:val="center"/>
            <w:hideMark/>
          </w:tcPr>
          <w:p w:rsidR="00F43B71" w:rsidRPr="00B33581" w:rsidRDefault="00F43B71" w:rsidP="00EF696D">
            <w:pPr>
              <w:spacing w:line="240" w:lineRule="auto"/>
              <w:ind w:firstLine="0"/>
              <w:jc w:val="center"/>
              <w:rPr>
                <w:rFonts w:ascii="Lato" w:hAnsi="Lato"/>
                <w:b/>
                <w:bCs/>
                <w:color w:val="1F497D"/>
                <w:sz w:val="18"/>
                <w:szCs w:val="18"/>
              </w:rPr>
            </w:pPr>
            <w:r w:rsidRPr="00B33581">
              <w:rPr>
                <w:rFonts w:ascii="Lato" w:hAnsi="Lato"/>
                <w:b/>
                <w:bCs/>
                <w:color w:val="1F497D"/>
                <w:sz w:val="18"/>
                <w:szCs w:val="18"/>
              </w:rPr>
              <w:t>Wskaźnik</w:t>
            </w:r>
          </w:p>
        </w:tc>
        <w:tc>
          <w:tcPr>
            <w:tcW w:w="780" w:type="pct"/>
            <w:shd w:val="clear" w:color="auto" w:fill="DBE5F1"/>
            <w:noWrap/>
            <w:vAlign w:val="center"/>
            <w:hideMark/>
          </w:tcPr>
          <w:p w:rsidR="00F43B71" w:rsidRPr="00B33581" w:rsidRDefault="00F43B71" w:rsidP="00EF696D">
            <w:pPr>
              <w:spacing w:line="240" w:lineRule="auto"/>
              <w:ind w:firstLine="0"/>
              <w:jc w:val="center"/>
              <w:rPr>
                <w:rFonts w:ascii="Lato" w:hAnsi="Lato"/>
                <w:b/>
                <w:bCs/>
                <w:color w:val="1F497D"/>
                <w:sz w:val="18"/>
                <w:szCs w:val="18"/>
              </w:rPr>
            </w:pPr>
            <w:r w:rsidRPr="00B33581">
              <w:rPr>
                <w:rFonts w:ascii="Lato" w:hAnsi="Lato"/>
                <w:b/>
                <w:bCs/>
                <w:color w:val="1F497D"/>
                <w:sz w:val="18"/>
                <w:szCs w:val="18"/>
              </w:rPr>
              <w:t>Wielkość</w:t>
            </w:r>
          </w:p>
        </w:tc>
        <w:tc>
          <w:tcPr>
            <w:tcW w:w="737" w:type="pct"/>
            <w:shd w:val="clear" w:color="auto" w:fill="DBE5F1"/>
            <w:noWrap/>
            <w:vAlign w:val="center"/>
            <w:hideMark/>
          </w:tcPr>
          <w:p w:rsidR="00F43B71" w:rsidRPr="00B33581" w:rsidRDefault="00F43B71" w:rsidP="00EF696D">
            <w:pPr>
              <w:spacing w:line="240" w:lineRule="auto"/>
              <w:ind w:firstLine="0"/>
              <w:jc w:val="center"/>
              <w:rPr>
                <w:rFonts w:ascii="Lato" w:hAnsi="Lato"/>
                <w:b/>
                <w:bCs/>
                <w:color w:val="1F497D"/>
                <w:sz w:val="18"/>
                <w:szCs w:val="18"/>
              </w:rPr>
            </w:pPr>
            <w:r w:rsidRPr="00B33581">
              <w:rPr>
                <w:rFonts w:ascii="Lato" w:hAnsi="Lato"/>
                <w:b/>
                <w:bCs/>
                <w:color w:val="1F497D"/>
                <w:sz w:val="18"/>
                <w:szCs w:val="18"/>
              </w:rPr>
              <w:t>Jednostka</w:t>
            </w:r>
          </w:p>
        </w:tc>
        <w:tc>
          <w:tcPr>
            <w:tcW w:w="615" w:type="pct"/>
            <w:shd w:val="clear" w:color="auto" w:fill="DBE5F1"/>
            <w:vAlign w:val="center"/>
            <w:hideMark/>
          </w:tcPr>
          <w:p w:rsidR="00F43B71" w:rsidRPr="00B33581" w:rsidRDefault="00F43B71" w:rsidP="007A0293">
            <w:pPr>
              <w:spacing w:line="240" w:lineRule="auto"/>
              <w:ind w:firstLine="0"/>
              <w:jc w:val="center"/>
              <w:rPr>
                <w:rFonts w:ascii="Lato" w:hAnsi="Lato"/>
                <w:b/>
                <w:bCs/>
                <w:color w:val="1F497D"/>
                <w:sz w:val="18"/>
                <w:szCs w:val="18"/>
              </w:rPr>
            </w:pPr>
            <w:r w:rsidRPr="00B33581">
              <w:rPr>
                <w:rFonts w:ascii="Lato" w:hAnsi="Lato"/>
                <w:b/>
                <w:bCs/>
                <w:color w:val="1F497D"/>
                <w:sz w:val="18"/>
                <w:szCs w:val="18"/>
              </w:rPr>
              <w:t>Trend z lat 1995-201</w:t>
            </w:r>
            <w:r w:rsidR="007A0293" w:rsidRPr="00B33581">
              <w:rPr>
                <w:rFonts w:ascii="Lato" w:hAnsi="Lato"/>
                <w:b/>
                <w:bCs/>
                <w:color w:val="1F497D"/>
                <w:sz w:val="18"/>
                <w:szCs w:val="18"/>
              </w:rPr>
              <w:t>7</w:t>
            </w:r>
          </w:p>
        </w:tc>
      </w:tr>
      <w:tr w:rsidR="00F43B71" w:rsidRPr="00D352C4" w:rsidTr="00B33581">
        <w:trPr>
          <w:trHeight w:val="282"/>
        </w:trPr>
        <w:tc>
          <w:tcPr>
            <w:tcW w:w="2869" w:type="pct"/>
            <w:gridSpan w:val="2"/>
            <w:shd w:val="clear" w:color="auto" w:fill="auto"/>
            <w:noWrap/>
            <w:vAlign w:val="center"/>
            <w:hideMark/>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Stan ludności na dzień 31 grudnia</w:t>
            </w:r>
            <w:r w:rsidR="007A0293" w:rsidRPr="00B33581">
              <w:rPr>
                <w:rFonts w:ascii="Lato" w:hAnsi="Lato"/>
                <w:color w:val="1F497D"/>
                <w:sz w:val="18"/>
                <w:szCs w:val="18"/>
              </w:rPr>
              <w:t xml:space="preserve"> 2017 r.</w:t>
            </w:r>
          </w:p>
        </w:tc>
        <w:tc>
          <w:tcPr>
            <w:tcW w:w="780" w:type="pct"/>
            <w:shd w:val="clear" w:color="auto" w:fill="auto"/>
            <w:noWrap/>
            <w:vAlign w:val="center"/>
          </w:tcPr>
          <w:p w:rsidR="00F43B71" w:rsidRPr="00B33581" w:rsidRDefault="00B33581" w:rsidP="00EF696D">
            <w:pPr>
              <w:spacing w:line="240" w:lineRule="auto"/>
              <w:ind w:firstLine="0"/>
              <w:jc w:val="center"/>
              <w:rPr>
                <w:rFonts w:ascii="Lato" w:hAnsi="Lato"/>
                <w:b/>
                <w:bCs/>
                <w:color w:val="1F497D"/>
                <w:sz w:val="18"/>
                <w:szCs w:val="18"/>
              </w:rPr>
            </w:pPr>
            <w:r w:rsidRPr="00B33581">
              <w:rPr>
                <w:rFonts w:ascii="Lato" w:hAnsi="Lato"/>
                <w:b/>
                <w:bCs/>
                <w:color w:val="1F497D"/>
                <w:sz w:val="18"/>
                <w:szCs w:val="18"/>
              </w:rPr>
              <w:t>7 238</w:t>
            </w:r>
          </w:p>
        </w:tc>
        <w:tc>
          <w:tcPr>
            <w:tcW w:w="737" w:type="pct"/>
            <w:shd w:val="clear" w:color="auto" w:fill="auto"/>
            <w:noWrap/>
            <w:vAlign w:val="center"/>
            <w:hideMark/>
          </w:tcPr>
          <w:p w:rsidR="00F43B71" w:rsidRPr="00B33581" w:rsidRDefault="00F43B71" w:rsidP="00EF696D">
            <w:pPr>
              <w:spacing w:line="240" w:lineRule="auto"/>
              <w:ind w:firstLine="0"/>
              <w:jc w:val="center"/>
              <w:rPr>
                <w:rFonts w:ascii="Lato" w:hAnsi="Lato"/>
                <w:bCs/>
                <w:color w:val="1F497D"/>
                <w:sz w:val="18"/>
                <w:szCs w:val="18"/>
              </w:rPr>
            </w:pPr>
            <w:r w:rsidRPr="00B33581">
              <w:rPr>
                <w:rFonts w:ascii="Lato" w:hAnsi="Lato"/>
                <w:bCs/>
                <w:color w:val="1F497D"/>
                <w:sz w:val="18"/>
                <w:szCs w:val="18"/>
              </w:rPr>
              <w:t>osoby</w:t>
            </w:r>
          </w:p>
        </w:tc>
        <w:tc>
          <w:tcPr>
            <w:tcW w:w="615" w:type="pct"/>
            <w:shd w:val="clear" w:color="auto" w:fill="auto"/>
            <w:noWrap/>
            <w:vAlign w:val="center"/>
            <w:hideMark/>
          </w:tcPr>
          <w:p w:rsidR="00F43B71" w:rsidRPr="00B33581" w:rsidRDefault="00570AA5" w:rsidP="00EF696D">
            <w:pPr>
              <w:spacing w:line="240" w:lineRule="auto"/>
              <w:ind w:firstLine="0"/>
              <w:jc w:val="center"/>
              <w:rPr>
                <w:rFonts w:ascii="Wingdings" w:hAnsi="Wingdings"/>
                <w:color w:val="FF0000"/>
              </w:rPr>
            </w:pPr>
            <w:r w:rsidRPr="00B33581">
              <w:rPr>
                <w:rFonts w:ascii="Wingdings" w:hAnsi="Wingdings"/>
                <w:color w:val="008000"/>
              </w:rPr>
              <w:t></w:t>
            </w:r>
          </w:p>
        </w:tc>
      </w:tr>
      <w:tr w:rsidR="00F43B71" w:rsidRPr="00D352C4" w:rsidTr="00B33581">
        <w:trPr>
          <w:trHeight w:val="300"/>
        </w:trPr>
        <w:tc>
          <w:tcPr>
            <w:tcW w:w="2869" w:type="pct"/>
            <w:gridSpan w:val="2"/>
            <w:shd w:val="clear" w:color="auto" w:fill="auto"/>
            <w:noWrap/>
            <w:vAlign w:val="center"/>
            <w:hideMark/>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 xml:space="preserve">Powierzchnia gminy </w:t>
            </w:r>
          </w:p>
        </w:tc>
        <w:tc>
          <w:tcPr>
            <w:tcW w:w="780" w:type="pct"/>
            <w:shd w:val="clear" w:color="auto" w:fill="auto"/>
            <w:noWrap/>
            <w:vAlign w:val="center"/>
          </w:tcPr>
          <w:p w:rsidR="00F43B71" w:rsidRPr="00B33581" w:rsidRDefault="00B33581" w:rsidP="00EF696D">
            <w:pPr>
              <w:spacing w:line="240" w:lineRule="auto"/>
              <w:ind w:firstLine="0"/>
              <w:jc w:val="center"/>
              <w:rPr>
                <w:rFonts w:ascii="Lato" w:hAnsi="Lato"/>
                <w:b/>
                <w:bCs/>
                <w:color w:val="1F497D"/>
                <w:sz w:val="18"/>
                <w:szCs w:val="18"/>
              </w:rPr>
            </w:pPr>
            <w:r w:rsidRPr="00B33581">
              <w:rPr>
                <w:rFonts w:ascii="Lato" w:hAnsi="Lato"/>
                <w:b/>
                <w:bCs/>
                <w:color w:val="1F497D"/>
                <w:sz w:val="18"/>
                <w:szCs w:val="18"/>
              </w:rPr>
              <w:t>87,7</w:t>
            </w:r>
          </w:p>
        </w:tc>
        <w:tc>
          <w:tcPr>
            <w:tcW w:w="737" w:type="pct"/>
            <w:shd w:val="clear" w:color="auto" w:fill="auto"/>
            <w:noWrap/>
            <w:vAlign w:val="center"/>
            <w:hideMark/>
          </w:tcPr>
          <w:p w:rsidR="00F43B71" w:rsidRPr="00B33581" w:rsidRDefault="00F43B71" w:rsidP="00EF696D">
            <w:pPr>
              <w:spacing w:line="240" w:lineRule="auto"/>
              <w:ind w:firstLine="0"/>
              <w:jc w:val="center"/>
              <w:rPr>
                <w:rFonts w:ascii="Lato" w:hAnsi="Lato"/>
                <w:bCs/>
                <w:color w:val="1F497D"/>
                <w:sz w:val="18"/>
                <w:szCs w:val="18"/>
              </w:rPr>
            </w:pPr>
            <w:r w:rsidRPr="00B33581">
              <w:rPr>
                <w:rFonts w:ascii="Lato" w:hAnsi="Lato"/>
                <w:bCs/>
                <w:color w:val="1F497D"/>
                <w:sz w:val="18"/>
                <w:szCs w:val="18"/>
              </w:rPr>
              <w:t>km</w:t>
            </w:r>
            <w:r w:rsidRPr="00B33581">
              <w:rPr>
                <w:rFonts w:ascii="Lato" w:hAnsi="Lato"/>
                <w:bCs/>
                <w:color w:val="1F497D"/>
                <w:sz w:val="18"/>
                <w:szCs w:val="18"/>
                <w:vertAlign w:val="superscript"/>
              </w:rPr>
              <w:t>2</w:t>
            </w:r>
          </w:p>
        </w:tc>
        <w:tc>
          <w:tcPr>
            <w:tcW w:w="615" w:type="pct"/>
            <w:shd w:val="clear" w:color="auto" w:fill="auto"/>
            <w:noWrap/>
            <w:vAlign w:val="center"/>
            <w:hideMark/>
          </w:tcPr>
          <w:p w:rsidR="00F43B71" w:rsidRPr="00B33581" w:rsidRDefault="00570AA5" w:rsidP="00EF696D">
            <w:pPr>
              <w:spacing w:line="240" w:lineRule="auto"/>
              <w:ind w:firstLine="0"/>
              <w:jc w:val="center"/>
              <w:rPr>
                <w:rFonts w:ascii="Wingdings" w:hAnsi="Wingdings"/>
                <w:color w:val="008000"/>
              </w:rPr>
            </w:pPr>
            <w:r w:rsidRPr="00B33581">
              <w:rPr>
                <w:rFonts w:ascii="Wingdings" w:hAnsi="Wingdings"/>
                <w:color w:val="008000"/>
              </w:rPr>
              <w:t></w:t>
            </w:r>
          </w:p>
        </w:tc>
      </w:tr>
      <w:tr w:rsidR="00F43B71" w:rsidRPr="00D352C4" w:rsidTr="00B33581">
        <w:trPr>
          <w:trHeight w:val="244"/>
        </w:trPr>
        <w:tc>
          <w:tcPr>
            <w:tcW w:w="1943" w:type="pct"/>
            <w:vMerge w:val="restart"/>
            <w:shd w:val="clear" w:color="auto" w:fill="auto"/>
            <w:noWrap/>
            <w:vAlign w:val="center"/>
            <w:hideMark/>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Gęstość zaludnienia</w:t>
            </w:r>
          </w:p>
        </w:tc>
        <w:tc>
          <w:tcPr>
            <w:tcW w:w="926" w:type="pct"/>
            <w:shd w:val="clear" w:color="auto" w:fill="auto"/>
            <w:noWrap/>
            <w:vAlign w:val="center"/>
            <w:hideMark/>
          </w:tcPr>
          <w:p w:rsidR="00F43B71" w:rsidRPr="00B33581" w:rsidRDefault="00F43B71" w:rsidP="00EF696D">
            <w:pPr>
              <w:spacing w:line="240" w:lineRule="auto"/>
              <w:ind w:firstLine="0"/>
              <w:jc w:val="both"/>
              <w:rPr>
                <w:rFonts w:ascii="Lato" w:hAnsi="Lato"/>
                <w:b/>
                <w:color w:val="1F497D"/>
                <w:sz w:val="18"/>
                <w:szCs w:val="18"/>
              </w:rPr>
            </w:pPr>
            <w:r w:rsidRPr="00B33581">
              <w:rPr>
                <w:rFonts w:ascii="Lato" w:hAnsi="Lato"/>
                <w:b/>
                <w:color w:val="1F497D"/>
                <w:sz w:val="18"/>
                <w:szCs w:val="18"/>
              </w:rPr>
              <w:t>gmina</w:t>
            </w:r>
          </w:p>
        </w:tc>
        <w:tc>
          <w:tcPr>
            <w:tcW w:w="780" w:type="pct"/>
            <w:shd w:val="clear" w:color="auto" w:fill="auto"/>
            <w:noWrap/>
            <w:vAlign w:val="center"/>
          </w:tcPr>
          <w:p w:rsidR="00F43B71" w:rsidRPr="00B33581" w:rsidRDefault="00B33581" w:rsidP="00EF696D">
            <w:pPr>
              <w:spacing w:line="240" w:lineRule="auto"/>
              <w:ind w:firstLine="0"/>
              <w:jc w:val="center"/>
              <w:rPr>
                <w:rFonts w:ascii="Lato" w:hAnsi="Lato"/>
                <w:b/>
                <w:bCs/>
                <w:color w:val="1F497D"/>
                <w:sz w:val="18"/>
                <w:szCs w:val="18"/>
              </w:rPr>
            </w:pPr>
            <w:r w:rsidRPr="00B33581">
              <w:rPr>
                <w:rFonts w:ascii="Lato" w:hAnsi="Lato"/>
                <w:b/>
                <w:bCs/>
                <w:color w:val="1F497D"/>
                <w:sz w:val="18"/>
                <w:szCs w:val="18"/>
              </w:rPr>
              <w:t>82,5</w:t>
            </w:r>
          </w:p>
        </w:tc>
        <w:tc>
          <w:tcPr>
            <w:tcW w:w="737" w:type="pct"/>
            <w:shd w:val="clear" w:color="auto" w:fill="auto"/>
            <w:noWrap/>
            <w:vAlign w:val="center"/>
            <w:hideMark/>
          </w:tcPr>
          <w:p w:rsidR="00F43B71" w:rsidRPr="00B33581" w:rsidRDefault="00F43B71" w:rsidP="00EF696D">
            <w:pPr>
              <w:spacing w:line="240" w:lineRule="auto"/>
              <w:ind w:firstLine="0"/>
              <w:jc w:val="center"/>
              <w:rPr>
                <w:rFonts w:ascii="Lato" w:hAnsi="Lato"/>
                <w:b/>
                <w:bCs/>
                <w:color w:val="1F497D"/>
                <w:sz w:val="18"/>
                <w:szCs w:val="18"/>
              </w:rPr>
            </w:pPr>
            <w:r w:rsidRPr="00B33581">
              <w:rPr>
                <w:rFonts w:ascii="Lato" w:hAnsi="Lato"/>
                <w:b/>
                <w:bCs/>
                <w:color w:val="1F497D"/>
                <w:sz w:val="18"/>
                <w:szCs w:val="18"/>
              </w:rPr>
              <w:t xml:space="preserve"> os./km</w:t>
            </w:r>
            <w:r w:rsidRPr="00B33581">
              <w:rPr>
                <w:rFonts w:ascii="Lato" w:hAnsi="Lato"/>
                <w:b/>
                <w:bCs/>
                <w:color w:val="1F497D"/>
                <w:sz w:val="18"/>
                <w:szCs w:val="18"/>
                <w:vertAlign w:val="superscript"/>
              </w:rPr>
              <w:t>2</w:t>
            </w:r>
            <w:r w:rsidRPr="00B33581">
              <w:rPr>
                <w:rFonts w:ascii="Lato" w:hAnsi="Lato"/>
                <w:b/>
                <w:bCs/>
                <w:color w:val="1F497D"/>
                <w:sz w:val="18"/>
                <w:szCs w:val="18"/>
              </w:rPr>
              <w:t xml:space="preserve"> </w:t>
            </w:r>
          </w:p>
        </w:tc>
        <w:tc>
          <w:tcPr>
            <w:tcW w:w="615" w:type="pct"/>
            <w:shd w:val="clear" w:color="auto" w:fill="auto"/>
            <w:noWrap/>
            <w:vAlign w:val="center"/>
            <w:hideMark/>
          </w:tcPr>
          <w:p w:rsidR="00F43B71" w:rsidRPr="00B33581" w:rsidRDefault="00570AA5" w:rsidP="00EF696D">
            <w:pPr>
              <w:spacing w:line="240" w:lineRule="auto"/>
              <w:ind w:firstLine="0"/>
              <w:jc w:val="center"/>
              <w:rPr>
                <w:rFonts w:ascii="Wingdings" w:hAnsi="Wingdings"/>
                <w:color w:val="FF0000"/>
              </w:rPr>
            </w:pPr>
            <w:r w:rsidRPr="00B33581">
              <w:rPr>
                <w:rFonts w:ascii="Wingdings" w:hAnsi="Wingdings"/>
                <w:color w:val="008000"/>
              </w:rPr>
              <w:t></w:t>
            </w:r>
          </w:p>
        </w:tc>
      </w:tr>
      <w:tr w:rsidR="00F43B71" w:rsidRPr="00D352C4" w:rsidTr="00145E29">
        <w:trPr>
          <w:trHeight w:val="285"/>
        </w:trPr>
        <w:tc>
          <w:tcPr>
            <w:tcW w:w="1943" w:type="pct"/>
            <w:vMerge/>
            <w:vAlign w:val="center"/>
          </w:tcPr>
          <w:p w:rsidR="00F43B71" w:rsidRPr="00B33581" w:rsidRDefault="00F43B71" w:rsidP="00EF696D">
            <w:pPr>
              <w:spacing w:line="240" w:lineRule="auto"/>
              <w:ind w:firstLine="0"/>
              <w:jc w:val="both"/>
              <w:rPr>
                <w:rFonts w:ascii="Lato" w:hAnsi="Lato"/>
                <w:color w:val="1F497D"/>
                <w:sz w:val="18"/>
                <w:szCs w:val="18"/>
              </w:rPr>
            </w:pPr>
          </w:p>
        </w:tc>
        <w:tc>
          <w:tcPr>
            <w:tcW w:w="926" w:type="pct"/>
            <w:shd w:val="clear" w:color="auto" w:fill="auto"/>
            <w:noWrap/>
            <w:vAlign w:val="center"/>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powiat</w:t>
            </w:r>
          </w:p>
        </w:tc>
        <w:tc>
          <w:tcPr>
            <w:tcW w:w="780" w:type="pct"/>
            <w:shd w:val="clear" w:color="auto" w:fill="auto"/>
            <w:noWrap/>
            <w:vAlign w:val="center"/>
          </w:tcPr>
          <w:p w:rsidR="00F43B71" w:rsidRPr="00B33581" w:rsidRDefault="00B33581" w:rsidP="00EC7682">
            <w:pPr>
              <w:spacing w:line="240" w:lineRule="auto"/>
              <w:ind w:firstLine="0"/>
              <w:jc w:val="center"/>
              <w:rPr>
                <w:rFonts w:ascii="Lato" w:hAnsi="Lato"/>
                <w:bCs/>
                <w:color w:val="1F497D"/>
                <w:sz w:val="18"/>
                <w:szCs w:val="18"/>
              </w:rPr>
            </w:pPr>
            <w:r w:rsidRPr="00B33581">
              <w:rPr>
                <w:rFonts w:ascii="Lato" w:hAnsi="Lato"/>
                <w:bCs/>
                <w:color w:val="1F497D"/>
                <w:sz w:val="18"/>
                <w:szCs w:val="18"/>
              </w:rPr>
              <w:t>242,4</w:t>
            </w:r>
          </w:p>
        </w:tc>
        <w:tc>
          <w:tcPr>
            <w:tcW w:w="737" w:type="pct"/>
            <w:shd w:val="clear" w:color="auto" w:fill="auto"/>
            <w:noWrap/>
            <w:vAlign w:val="center"/>
          </w:tcPr>
          <w:p w:rsidR="00F43B71" w:rsidRPr="00B33581" w:rsidRDefault="00F43B71" w:rsidP="00EF696D">
            <w:pPr>
              <w:spacing w:line="240" w:lineRule="auto"/>
              <w:ind w:firstLine="0"/>
              <w:jc w:val="center"/>
              <w:rPr>
                <w:rFonts w:ascii="Lato" w:hAnsi="Lato"/>
                <w:bCs/>
                <w:color w:val="1F497D"/>
                <w:sz w:val="18"/>
                <w:szCs w:val="18"/>
              </w:rPr>
            </w:pPr>
            <w:r w:rsidRPr="00B33581">
              <w:rPr>
                <w:rFonts w:ascii="Lato" w:hAnsi="Lato"/>
                <w:bCs/>
                <w:color w:val="1F497D"/>
                <w:sz w:val="18"/>
                <w:szCs w:val="18"/>
              </w:rPr>
              <w:t>os./km</w:t>
            </w:r>
            <w:r w:rsidRPr="00B33581">
              <w:rPr>
                <w:rFonts w:ascii="Lato" w:hAnsi="Lato"/>
                <w:bCs/>
                <w:color w:val="1F497D"/>
                <w:sz w:val="18"/>
                <w:szCs w:val="18"/>
                <w:vertAlign w:val="superscript"/>
              </w:rPr>
              <w:t>2</w:t>
            </w:r>
          </w:p>
        </w:tc>
        <w:tc>
          <w:tcPr>
            <w:tcW w:w="615" w:type="pct"/>
            <w:shd w:val="clear" w:color="auto" w:fill="auto"/>
            <w:noWrap/>
            <w:vAlign w:val="center"/>
          </w:tcPr>
          <w:p w:rsidR="00F43B71" w:rsidRPr="00B33581" w:rsidRDefault="00F43B71" w:rsidP="00EF696D">
            <w:pPr>
              <w:spacing w:line="240" w:lineRule="auto"/>
              <w:ind w:firstLine="0"/>
              <w:jc w:val="center"/>
              <w:rPr>
                <w:rFonts w:ascii="Wingdings" w:hAnsi="Wingdings"/>
                <w:color w:val="FF0000"/>
              </w:rPr>
            </w:pPr>
            <w:r w:rsidRPr="00B33581">
              <w:rPr>
                <w:rFonts w:ascii="Wingdings" w:hAnsi="Wingdings"/>
                <w:color w:val="FF0000"/>
              </w:rPr>
              <w:t></w:t>
            </w:r>
          </w:p>
        </w:tc>
      </w:tr>
      <w:tr w:rsidR="00F43B71" w:rsidRPr="00D352C4" w:rsidTr="00B33581">
        <w:trPr>
          <w:trHeight w:val="285"/>
        </w:trPr>
        <w:tc>
          <w:tcPr>
            <w:tcW w:w="1943" w:type="pct"/>
            <w:vMerge/>
            <w:vAlign w:val="center"/>
            <w:hideMark/>
          </w:tcPr>
          <w:p w:rsidR="00F43B71" w:rsidRPr="00B33581" w:rsidRDefault="00F43B71" w:rsidP="00EF696D">
            <w:pPr>
              <w:spacing w:line="240" w:lineRule="auto"/>
              <w:ind w:firstLine="0"/>
              <w:jc w:val="both"/>
              <w:rPr>
                <w:rFonts w:ascii="Lato" w:hAnsi="Lato"/>
                <w:color w:val="1F497D"/>
                <w:sz w:val="18"/>
                <w:szCs w:val="18"/>
              </w:rPr>
            </w:pPr>
          </w:p>
        </w:tc>
        <w:tc>
          <w:tcPr>
            <w:tcW w:w="926" w:type="pct"/>
            <w:shd w:val="clear" w:color="auto" w:fill="auto"/>
            <w:noWrap/>
            <w:vAlign w:val="center"/>
            <w:hideMark/>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województwo</w:t>
            </w:r>
          </w:p>
        </w:tc>
        <w:tc>
          <w:tcPr>
            <w:tcW w:w="780" w:type="pct"/>
            <w:shd w:val="clear" w:color="auto" w:fill="auto"/>
            <w:noWrap/>
            <w:vAlign w:val="center"/>
          </w:tcPr>
          <w:p w:rsidR="00F43B71" w:rsidRPr="00B33581" w:rsidRDefault="00B33581" w:rsidP="00EC7682">
            <w:pPr>
              <w:spacing w:line="240" w:lineRule="auto"/>
              <w:ind w:firstLine="0"/>
              <w:jc w:val="center"/>
              <w:rPr>
                <w:rFonts w:ascii="Lato" w:hAnsi="Lato"/>
                <w:bCs/>
                <w:color w:val="1F497D"/>
                <w:sz w:val="18"/>
                <w:szCs w:val="18"/>
              </w:rPr>
            </w:pPr>
            <w:r w:rsidRPr="00B33581">
              <w:rPr>
                <w:rFonts w:ascii="Lato" w:hAnsi="Lato"/>
                <w:bCs/>
                <w:color w:val="1F497D"/>
                <w:sz w:val="18"/>
                <w:szCs w:val="18"/>
              </w:rPr>
              <w:t>135,9</w:t>
            </w:r>
          </w:p>
        </w:tc>
        <w:tc>
          <w:tcPr>
            <w:tcW w:w="737" w:type="pct"/>
            <w:shd w:val="clear" w:color="auto" w:fill="auto"/>
            <w:noWrap/>
            <w:vAlign w:val="center"/>
            <w:hideMark/>
          </w:tcPr>
          <w:p w:rsidR="00F43B71" w:rsidRPr="00B33581" w:rsidRDefault="00F43B71" w:rsidP="00EF696D">
            <w:pPr>
              <w:spacing w:line="240" w:lineRule="auto"/>
              <w:ind w:firstLine="0"/>
              <w:jc w:val="center"/>
              <w:rPr>
                <w:rFonts w:ascii="Lato" w:hAnsi="Lato"/>
                <w:bCs/>
                <w:color w:val="1F497D"/>
                <w:sz w:val="18"/>
                <w:szCs w:val="18"/>
              </w:rPr>
            </w:pPr>
            <w:r w:rsidRPr="00B33581">
              <w:rPr>
                <w:rFonts w:ascii="Lato" w:hAnsi="Lato"/>
                <w:bCs/>
                <w:color w:val="1F497D"/>
                <w:sz w:val="18"/>
                <w:szCs w:val="18"/>
              </w:rPr>
              <w:t xml:space="preserve"> os./km</w:t>
            </w:r>
            <w:r w:rsidRPr="00B33581">
              <w:rPr>
                <w:rFonts w:ascii="Lato" w:hAnsi="Lato"/>
                <w:bCs/>
                <w:color w:val="1F497D"/>
                <w:sz w:val="18"/>
                <w:szCs w:val="18"/>
                <w:vertAlign w:val="superscript"/>
              </w:rPr>
              <w:t>2</w:t>
            </w:r>
            <w:r w:rsidRPr="00B33581">
              <w:rPr>
                <w:rFonts w:ascii="Lato" w:hAnsi="Lato"/>
                <w:bCs/>
                <w:color w:val="1F497D"/>
                <w:sz w:val="18"/>
                <w:szCs w:val="18"/>
              </w:rPr>
              <w:t xml:space="preserve"> </w:t>
            </w:r>
          </w:p>
        </w:tc>
        <w:tc>
          <w:tcPr>
            <w:tcW w:w="615" w:type="pct"/>
            <w:shd w:val="clear" w:color="auto" w:fill="auto"/>
            <w:noWrap/>
            <w:vAlign w:val="center"/>
            <w:hideMark/>
          </w:tcPr>
          <w:p w:rsidR="00F43B71" w:rsidRPr="00B33581" w:rsidRDefault="00F43B71" w:rsidP="00EF696D">
            <w:pPr>
              <w:spacing w:line="240" w:lineRule="auto"/>
              <w:ind w:firstLine="0"/>
              <w:jc w:val="center"/>
              <w:rPr>
                <w:rFonts w:ascii="Wingdings" w:hAnsi="Wingdings"/>
                <w:color w:val="FF0000"/>
              </w:rPr>
            </w:pPr>
            <w:r w:rsidRPr="00B33581">
              <w:rPr>
                <w:rFonts w:ascii="Wingdings" w:hAnsi="Wingdings"/>
                <w:color w:val="FF0000"/>
              </w:rPr>
              <w:t></w:t>
            </w:r>
          </w:p>
        </w:tc>
      </w:tr>
      <w:tr w:rsidR="00F43B71" w:rsidRPr="00D352C4" w:rsidTr="00B33581">
        <w:trPr>
          <w:trHeight w:val="285"/>
        </w:trPr>
        <w:tc>
          <w:tcPr>
            <w:tcW w:w="1943" w:type="pct"/>
            <w:vMerge/>
            <w:vAlign w:val="center"/>
            <w:hideMark/>
          </w:tcPr>
          <w:p w:rsidR="00F43B71" w:rsidRPr="00B33581" w:rsidRDefault="00F43B71" w:rsidP="00EF696D">
            <w:pPr>
              <w:spacing w:line="240" w:lineRule="auto"/>
              <w:ind w:firstLine="0"/>
              <w:jc w:val="both"/>
              <w:rPr>
                <w:rFonts w:ascii="Lato" w:hAnsi="Lato"/>
                <w:color w:val="1F497D"/>
                <w:sz w:val="18"/>
                <w:szCs w:val="18"/>
              </w:rPr>
            </w:pPr>
          </w:p>
        </w:tc>
        <w:tc>
          <w:tcPr>
            <w:tcW w:w="926" w:type="pct"/>
            <w:shd w:val="clear" w:color="auto" w:fill="auto"/>
            <w:noWrap/>
            <w:vAlign w:val="center"/>
            <w:hideMark/>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kraj</w:t>
            </w:r>
          </w:p>
        </w:tc>
        <w:tc>
          <w:tcPr>
            <w:tcW w:w="780" w:type="pct"/>
            <w:shd w:val="clear" w:color="auto" w:fill="auto"/>
            <w:noWrap/>
            <w:vAlign w:val="center"/>
          </w:tcPr>
          <w:p w:rsidR="00F43B71" w:rsidRPr="00B33581" w:rsidRDefault="00B33581" w:rsidP="00EC7682">
            <w:pPr>
              <w:spacing w:line="240" w:lineRule="auto"/>
              <w:ind w:firstLine="0"/>
              <w:jc w:val="center"/>
              <w:rPr>
                <w:rFonts w:ascii="Lato" w:hAnsi="Lato"/>
                <w:bCs/>
                <w:color w:val="1F497D"/>
                <w:sz w:val="18"/>
                <w:szCs w:val="18"/>
              </w:rPr>
            </w:pPr>
            <w:r w:rsidRPr="00B33581">
              <w:rPr>
                <w:rFonts w:ascii="Lato" w:hAnsi="Lato"/>
                <w:bCs/>
                <w:color w:val="1F497D"/>
                <w:sz w:val="18"/>
                <w:szCs w:val="18"/>
              </w:rPr>
              <w:t>122,9</w:t>
            </w:r>
          </w:p>
        </w:tc>
        <w:tc>
          <w:tcPr>
            <w:tcW w:w="737" w:type="pct"/>
            <w:shd w:val="clear" w:color="auto" w:fill="auto"/>
            <w:noWrap/>
            <w:vAlign w:val="center"/>
            <w:hideMark/>
          </w:tcPr>
          <w:p w:rsidR="00F43B71" w:rsidRPr="00B33581" w:rsidRDefault="00F43B71" w:rsidP="00EF696D">
            <w:pPr>
              <w:spacing w:line="240" w:lineRule="auto"/>
              <w:ind w:firstLine="0"/>
              <w:jc w:val="center"/>
              <w:rPr>
                <w:rFonts w:ascii="Lato" w:hAnsi="Lato"/>
                <w:bCs/>
                <w:color w:val="1F497D"/>
                <w:sz w:val="18"/>
                <w:szCs w:val="18"/>
              </w:rPr>
            </w:pPr>
            <w:r w:rsidRPr="00B33581">
              <w:rPr>
                <w:rFonts w:ascii="Lato" w:hAnsi="Lato"/>
                <w:bCs/>
                <w:color w:val="1F497D"/>
                <w:sz w:val="18"/>
                <w:szCs w:val="18"/>
              </w:rPr>
              <w:t xml:space="preserve"> os./km</w:t>
            </w:r>
            <w:r w:rsidRPr="00B33581">
              <w:rPr>
                <w:rFonts w:ascii="Lato" w:hAnsi="Lato"/>
                <w:bCs/>
                <w:color w:val="1F497D"/>
                <w:sz w:val="18"/>
                <w:szCs w:val="18"/>
                <w:vertAlign w:val="superscript"/>
              </w:rPr>
              <w:t>2</w:t>
            </w:r>
            <w:r w:rsidRPr="00B33581">
              <w:rPr>
                <w:rFonts w:ascii="Lato" w:hAnsi="Lato"/>
                <w:bCs/>
                <w:color w:val="1F497D"/>
                <w:sz w:val="18"/>
                <w:szCs w:val="18"/>
              </w:rPr>
              <w:t xml:space="preserve"> </w:t>
            </w:r>
          </w:p>
        </w:tc>
        <w:tc>
          <w:tcPr>
            <w:tcW w:w="615" w:type="pct"/>
            <w:shd w:val="clear" w:color="auto" w:fill="auto"/>
            <w:noWrap/>
            <w:vAlign w:val="center"/>
            <w:hideMark/>
          </w:tcPr>
          <w:p w:rsidR="00F43B71" w:rsidRPr="00B33581" w:rsidRDefault="00B33581" w:rsidP="00EF696D">
            <w:pPr>
              <w:spacing w:line="240" w:lineRule="auto"/>
              <w:ind w:firstLine="0"/>
              <w:jc w:val="center"/>
              <w:rPr>
                <w:rFonts w:ascii="Wingdings" w:hAnsi="Wingdings"/>
                <w:color w:val="FF0000"/>
              </w:rPr>
            </w:pPr>
            <w:r w:rsidRPr="00B33581">
              <w:rPr>
                <w:rFonts w:ascii="Wingdings" w:hAnsi="Wingdings"/>
                <w:color w:val="008000"/>
              </w:rPr>
              <w:t></w:t>
            </w:r>
          </w:p>
        </w:tc>
      </w:tr>
      <w:tr w:rsidR="00F43B71" w:rsidRPr="00D352C4" w:rsidTr="00145E29">
        <w:trPr>
          <w:trHeight w:val="228"/>
        </w:trPr>
        <w:tc>
          <w:tcPr>
            <w:tcW w:w="1943" w:type="pct"/>
            <w:vMerge w:val="restart"/>
            <w:shd w:val="clear" w:color="auto" w:fill="auto"/>
            <w:noWrap/>
            <w:vAlign w:val="center"/>
            <w:hideMark/>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Przyrost naturalny</w:t>
            </w:r>
          </w:p>
        </w:tc>
        <w:tc>
          <w:tcPr>
            <w:tcW w:w="926" w:type="pct"/>
            <w:shd w:val="clear" w:color="auto" w:fill="auto"/>
            <w:noWrap/>
            <w:vAlign w:val="center"/>
            <w:hideMark/>
          </w:tcPr>
          <w:p w:rsidR="00F43B71" w:rsidRPr="00B33581" w:rsidRDefault="00F43B71" w:rsidP="00EF696D">
            <w:pPr>
              <w:spacing w:line="240" w:lineRule="auto"/>
              <w:ind w:firstLine="0"/>
              <w:jc w:val="both"/>
              <w:rPr>
                <w:rFonts w:ascii="Lato" w:hAnsi="Lato"/>
                <w:b/>
                <w:color w:val="1F497D"/>
                <w:sz w:val="18"/>
                <w:szCs w:val="18"/>
              </w:rPr>
            </w:pPr>
            <w:r w:rsidRPr="00B33581">
              <w:rPr>
                <w:rFonts w:ascii="Lato" w:hAnsi="Lato"/>
                <w:b/>
                <w:color w:val="1F497D"/>
                <w:sz w:val="18"/>
                <w:szCs w:val="18"/>
              </w:rPr>
              <w:t>gmina</w:t>
            </w:r>
          </w:p>
        </w:tc>
        <w:tc>
          <w:tcPr>
            <w:tcW w:w="780" w:type="pct"/>
            <w:shd w:val="clear" w:color="auto" w:fill="auto"/>
            <w:noWrap/>
            <w:vAlign w:val="center"/>
          </w:tcPr>
          <w:p w:rsidR="00F43B71" w:rsidRPr="00B33581" w:rsidRDefault="00B33581" w:rsidP="00EC7682">
            <w:pPr>
              <w:spacing w:line="240" w:lineRule="auto"/>
              <w:ind w:firstLine="0"/>
              <w:jc w:val="center"/>
              <w:rPr>
                <w:rFonts w:ascii="Lato" w:hAnsi="Lato"/>
                <w:b/>
                <w:bCs/>
                <w:color w:val="1F497D"/>
                <w:sz w:val="18"/>
                <w:szCs w:val="18"/>
              </w:rPr>
            </w:pPr>
            <w:r w:rsidRPr="00B33581">
              <w:rPr>
                <w:rFonts w:ascii="Lato" w:hAnsi="Lato"/>
                <w:b/>
                <w:bCs/>
                <w:color w:val="1F497D"/>
                <w:sz w:val="18"/>
                <w:szCs w:val="18"/>
              </w:rPr>
              <w:t>-0,10</w:t>
            </w:r>
          </w:p>
        </w:tc>
        <w:tc>
          <w:tcPr>
            <w:tcW w:w="737" w:type="pct"/>
            <w:shd w:val="clear" w:color="auto" w:fill="auto"/>
            <w:noWrap/>
            <w:vAlign w:val="center"/>
            <w:hideMark/>
          </w:tcPr>
          <w:p w:rsidR="00F43B71" w:rsidRPr="00B33581" w:rsidRDefault="00F43B71" w:rsidP="00EF696D">
            <w:pPr>
              <w:spacing w:line="240" w:lineRule="auto"/>
              <w:ind w:firstLine="0"/>
              <w:jc w:val="center"/>
              <w:rPr>
                <w:rFonts w:ascii="Lato" w:hAnsi="Lato"/>
                <w:b/>
                <w:bCs/>
                <w:color w:val="1F497D"/>
                <w:sz w:val="18"/>
                <w:szCs w:val="18"/>
              </w:rPr>
            </w:pPr>
            <w:r w:rsidRPr="00B33581">
              <w:rPr>
                <w:rFonts w:ascii="Lato" w:hAnsi="Lato"/>
                <w:b/>
                <w:bCs/>
                <w:color w:val="1F497D"/>
                <w:sz w:val="18"/>
                <w:szCs w:val="18"/>
              </w:rPr>
              <w:t>%</w:t>
            </w:r>
          </w:p>
        </w:tc>
        <w:tc>
          <w:tcPr>
            <w:tcW w:w="615" w:type="pct"/>
            <w:shd w:val="clear" w:color="auto" w:fill="auto"/>
            <w:noWrap/>
            <w:vAlign w:val="center"/>
            <w:hideMark/>
          </w:tcPr>
          <w:p w:rsidR="00F43B71" w:rsidRPr="00B33581" w:rsidRDefault="00B33581" w:rsidP="00EF696D">
            <w:pPr>
              <w:spacing w:line="240" w:lineRule="auto"/>
              <w:ind w:firstLine="0"/>
              <w:jc w:val="center"/>
              <w:rPr>
                <w:rFonts w:ascii="Wingdings" w:hAnsi="Wingdings"/>
                <w:color w:val="FF0000"/>
              </w:rPr>
            </w:pPr>
            <w:r w:rsidRPr="00B33581">
              <w:rPr>
                <w:rFonts w:ascii="Wingdings" w:hAnsi="Wingdings"/>
                <w:color w:val="008000"/>
              </w:rPr>
              <w:t></w:t>
            </w:r>
          </w:p>
        </w:tc>
      </w:tr>
      <w:tr w:rsidR="00F43B71" w:rsidRPr="00D352C4" w:rsidTr="00145E29">
        <w:trPr>
          <w:trHeight w:val="282"/>
        </w:trPr>
        <w:tc>
          <w:tcPr>
            <w:tcW w:w="1943" w:type="pct"/>
            <w:vMerge/>
            <w:vAlign w:val="center"/>
          </w:tcPr>
          <w:p w:rsidR="00F43B71" w:rsidRPr="00B33581" w:rsidRDefault="00F43B71" w:rsidP="00EF696D">
            <w:pPr>
              <w:spacing w:line="240" w:lineRule="auto"/>
              <w:ind w:firstLine="0"/>
              <w:jc w:val="both"/>
              <w:rPr>
                <w:rFonts w:ascii="Lato" w:hAnsi="Lato"/>
                <w:color w:val="1F497D"/>
                <w:sz w:val="18"/>
                <w:szCs w:val="18"/>
              </w:rPr>
            </w:pPr>
          </w:p>
        </w:tc>
        <w:tc>
          <w:tcPr>
            <w:tcW w:w="926" w:type="pct"/>
            <w:shd w:val="clear" w:color="auto" w:fill="auto"/>
            <w:noWrap/>
            <w:vAlign w:val="center"/>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powiat</w:t>
            </w:r>
          </w:p>
        </w:tc>
        <w:tc>
          <w:tcPr>
            <w:tcW w:w="780" w:type="pct"/>
            <w:shd w:val="clear" w:color="auto" w:fill="auto"/>
            <w:noWrap/>
            <w:vAlign w:val="center"/>
          </w:tcPr>
          <w:p w:rsidR="00F43B71" w:rsidRPr="00B33581" w:rsidRDefault="00B33581" w:rsidP="00EC7682">
            <w:pPr>
              <w:spacing w:line="240" w:lineRule="auto"/>
              <w:ind w:firstLine="0"/>
              <w:jc w:val="center"/>
              <w:rPr>
                <w:rFonts w:ascii="Lato" w:hAnsi="Lato"/>
                <w:bCs/>
                <w:color w:val="1F497D"/>
                <w:sz w:val="18"/>
                <w:szCs w:val="18"/>
              </w:rPr>
            </w:pPr>
            <w:r w:rsidRPr="00B33581">
              <w:rPr>
                <w:rFonts w:ascii="Lato" w:hAnsi="Lato"/>
                <w:bCs/>
                <w:color w:val="1F497D"/>
                <w:sz w:val="18"/>
                <w:szCs w:val="18"/>
              </w:rPr>
              <w:t>-0,37</w:t>
            </w:r>
          </w:p>
        </w:tc>
        <w:tc>
          <w:tcPr>
            <w:tcW w:w="737" w:type="pct"/>
            <w:shd w:val="clear" w:color="auto" w:fill="auto"/>
            <w:noWrap/>
            <w:vAlign w:val="center"/>
          </w:tcPr>
          <w:p w:rsidR="00F43B71" w:rsidRPr="00B33581" w:rsidRDefault="00F43B71" w:rsidP="00EF696D">
            <w:pPr>
              <w:spacing w:line="240" w:lineRule="auto"/>
              <w:ind w:firstLine="0"/>
              <w:jc w:val="center"/>
              <w:rPr>
                <w:rFonts w:ascii="Lato" w:hAnsi="Lato"/>
                <w:bCs/>
                <w:color w:val="1F497D"/>
                <w:sz w:val="18"/>
                <w:szCs w:val="18"/>
              </w:rPr>
            </w:pPr>
            <w:r w:rsidRPr="00B33581">
              <w:rPr>
                <w:rFonts w:ascii="Lato" w:hAnsi="Lato"/>
                <w:bCs/>
                <w:color w:val="1F497D"/>
                <w:sz w:val="18"/>
                <w:szCs w:val="18"/>
              </w:rPr>
              <w:t>%</w:t>
            </w:r>
          </w:p>
        </w:tc>
        <w:tc>
          <w:tcPr>
            <w:tcW w:w="615" w:type="pct"/>
            <w:shd w:val="clear" w:color="auto" w:fill="auto"/>
            <w:noWrap/>
            <w:vAlign w:val="center"/>
          </w:tcPr>
          <w:p w:rsidR="00F43B71" w:rsidRPr="00B33581" w:rsidRDefault="00B33581" w:rsidP="00EF696D">
            <w:pPr>
              <w:spacing w:line="240" w:lineRule="auto"/>
              <w:ind w:firstLine="0"/>
              <w:jc w:val="center"/>
              <w:rPr>
                <w:rFonts w:ascii="Wingdings" w:hAnsi="Wingdings"/>
                <w:color w:val="FF0000"/>
              </w:rPr>
            </w:pPr>
            <w:r w:rsidRPr="00B33581">
              <w:rPr>
                <w:rFonts w:ascii="Wingdings" w:hAnsi="Wingdings"/>
                <w:color w:val="008000"/>
              </w:rPr>
              <w:t></w:t>
            </w:r>
          </w:p>
        </w:tc>
      </w:tr>
      <w:tr w:rsidR="00F43B71" w:rsidRPr="00D352C4" w:rsidTr="00145E29">
        <w:trPr>
          <w:trHeight w:val="282"/>
        </w:trPr>
        <w:tc>
          <w:tcPr>
            <w:tcW w:w="1943" w:type="pct"/>
            <w:vMerge/>
            <w:vAlign w:val="center"/>
            <w:hideMark/>
          </w:tcPr>
          <w:p w:rsidR="00F43B71" w:rsidRPr="00B33581" w:rsidRDefault="00F43B71" w:rsidP="00EF696D">
            <w:pPr>
              <w:spacing w:line="240" w:lineRule="auto"/>
              <w:ind w:firstLine="0"/>
              <w:jc w:val="both"/>
              <w:rPr>
                <w:rFonts w:ascii="Lato" w:hAnsi="Lato"/>
                <w:color w:val="1F497D"/>
                <w:sz w:val="18"/>
                <w:szCs w:val="18"/>
              </w:rPr>
            </w:pPr>
          </w:p>
        </w:tc>
        <w:tc>
          <w:tcPr>
            <w:tcW w:w="926" w:type="pct"/>
            <w:shd w:val="clear" w:color="auto" w:fill="auto"/>
            <w:noWrap/>
            <w:vAlign w:val="center"/>
            <w:hideMark/>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województwo</w:t>
            </w:r>
          </w:p>
        </w:tc>
        <w:tc>
          <w:tcPr>
            <w:tcW w:w="780" w:type="pct"/>
            <w:shd w:val="clear" w:color="auto" w:fill="auto"/>
            <w:noWrap/>
            <w:vAlign w:val="center"/>
          </w:tcPr>
          <w:p w:rsidR="00F43B71" w:rsidRPr="00B33581" w:rsidRDefault="00B33581" w:rsidP="00EC7682">
            <w:pPr>
              <w:spacing w:line="240" w:lineRule="auto"/>
              <w:ind w:firstLine="0"/>
              <w:jc w:val="center"/>
              <w:rPr>
                <w:rFonts w:ascii="Lato" w:hAnsi="Lato"/>
                <w:bCs/>
                <w:color w:val="1F497D"/>
                <w:sz w:val="18"/>
                <w:szCs w:val="18"/>
              </w:rPr>
            </w:pPr>
            <w:r w:rsidRPr="00B33581">
              <w:rPr>
                <w:rFonts w:ascii="Lato" w:hAnsi="Lato"/>
                <w:bCs/>
                <w:color w:val="1F497D"/>
                <w:sz w:val="18"/>
                <w:szCs w:val="18"/>
              </w:rPr>
              <w:t>-0,30</w:t>
            </w:r>
          </w:p>
        </w:tc>
        <w:tc>
          <w:tcPr>
            <w:tcW w:w="737" w:type="pct"/>
            <w:shd w:val="clear" w:color="auto" w:fill="auto"/>
            <w:noWrap/>
            <w:vAlign w:val="center"/>
            <w:hideMark/>
          </w:tcPr>
          <w:p w:rsidR="00F43B71" w:rsidRPr="00B33581" w:rsidRDefault="00F43B71" w:rsidP="00EF696D">
            <w:pPr>
              <w:spacing w:line="240" w:lineRule="auto"/>
              <w:ind w:firstLine="0"/>
              <w:jc w:val="center"/>
              <w:rPr>
                <w:rFonts w:ascii="Lato" w:hAnsi="Lato"/>
                <w:bCs/>
                <w:color w:val="1F497D"/>
                <w:sz w:val="18"/>
                <w:szCs w:val="18"/>
              </w:rPr>
            </w:pPr>
            <w:r w:rsidRPr="00B33581">
              <w:rPr>
                <w:rFonts w:ascii="Lato" w:hAnsi="Lato"/>
                <w:bCs/>
                <w:color w:val="1F497D"/>
                <w:sz w:val="18"/>
                <w:szCs w:val="18"/>
              </w:rPr>
              <w:t>%</w:t>
            </w:r>
          </w:p>
        </w:tc>
        <w:tc>
          <w:tcPr>
            <w:tcW w:w="615" w:type="pct"/>
            <w:shd w:val="clear" w:color="auto" w:fill="auto"/>
            <w:noWrap/>
            <w:vAlign w:val="center"/>
            <w:hideMark/>
          </w:tcPr>
          <w:p w:rsidR="00F43B71" w:rsidRPr="00B33581" w:rsidRDefault="00B33581" w:rsidP="00EF696D">
            <w:pPr>
              <w:spacing w:line="240" w:lineRule="auto"/>
              <w:ind w:firstLine="0"/>
              <w:jc w:val="center"/>
              <w:rPr>
                <w:rFonts w:ascii="Wingdings" w:hAnsi="Wingdings"/>
                <w:color w:val="FF0000"/>
              </w:rPr>
            </w:pPr>
            <w:r w:rsidRPr="00B33581">
              <w:rPr>
                <w:rFonts w:ascii="Wingdings" w:hAnsi="Wingdings"/>
                <w:color w:val="008000"/>
              </w:rPr>
              <w:t></w:t>
            </w:r>
          </w:p>
        </w:tc>
      </w:tr>
      <w:tr w:rsidR="00F43B71" w:rsidRPr="00D352C4" w:rsidTr="00145E29">
        <w:trPr>
          <w:trHeight w:val="282"/>
        </w:trPr>
        <w:tc>
          <w:tcPr>
            <w:tcW w:w="1943" w:type="pct"/>
            <w:vMerge/>
            <w:vAlign w:val="center"/>
            <w:hideMark/>
          </w:tcPr>
          <w:p w:rsidR="00F43B71" w:rsidRPr="00B33581" w:rsidRDefault="00F43B71" w:rsidP="00EF696D">
            <w:pPr>
              <w:spacing w:line="240" w:lineRule="auto"/>
              <w:ind w:firstLine="0"/>
              <w:jc w:val="both"/>
              <w:rPr>
                <w:rFonts w:ascii="Lato" w:hAnsi="Lato"/>
                <w:color w:val="1F497D"/>
                <w:sz w:val="18"/>
                <w:szCs w:val="18"/>
              </w:rPr>
            </w:pPr>
          </w:p>
        </w:tc>
        <w:tc>
          <w:tcPr>
            <w:tcW w:w="926" w:type="pct"/>
            <w:shd w:val="clear" w:color="auto" w:fill="auto"/>
            <w:noWrap/>
            <w:vAlign w:val="center"/>
            <w:hideMark/>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kraj</w:t>
            </w:r>
          </w:p>
        </w:tc>
        <w:tc>
          <w:tcPr>
            <w:tcW w:w="780" w:type="pct"/>
            <w:shd w:val="clear" w:color="auto" w:fill="auto"/>
            <w:noWrap/>
            <w:vAlign w:val="center"/>
          </w:tcPr>
          <w:p w:rsidR="00F43B71" w:rsidRPr="00B33581" w:rsidRDefault="00B33581" w:rsidP="00346900">
            <w:pPr>
              <w:spacing w:line="240" w:lineRule="auto"/>
              <w:ind w:firstLine="0"/>
              <w:jc w:val="center"/>
              <w:rPr>
                <w:rFonts w:ascii="Lato" w:hAnsi="Lato"/>
                <w:bCs/>
                <w:color w:val="1F497D"/>
                <w:sz w:val="18"/>
                <w:szCs w:val="18"/>
              </w:rPr>
            </w:pPr>
            <w:r w:rsidRPr="00B33581">
              <w:rPr>
                <w:rFonts w:ascii="Lato" w:hAnsi="Lato"/>
                <w:bCs/>
                <w:color w:val="1F497D"/>
                <w:sz w:val="18"/>
                <w:szCs w:val="18"/>
              </w:rPr>
              <w:t>0</w:t>
            </w:r>
          </w:p>
        </w:tc>
        <w:tc>
          <w:tcPr>
            <w:tcW w:w="737" w:type="pct"/>
            <w:shd w:val="clear" w:color="auto" w:fill="auto"/>
            <w:noWrap/>
            <w:vAlign w:val="center"/>
            <w:hideMark/>
          </w:tcPr>
          <w:p w:rsidR="00F43B71" w:rsidRPr="00B33581" w:rsidRDefault="00F43B71" w:rsidP="00EF696D">
            <w:pPr>
              <w:spacing w:line="240" w:lineRule="auto"/>
              <w:ind w:firstLine="0"/>
              <w:jc w:val="center"/>
              <w:rPr>
                <w:rFonts w:ascii="Lato" w:hAnsi="Lato"/>
                <w:bCs/>
                <w:color w:val="1F497D"/>
                <w:sz w:val="18"/>
                <w:szCs w:val="18"/>
              </w:rPr>
            </w:pPr>
            <w:r w:rsidRPr="00B33581">
              <w:rPr>
                <w:rFonts w:ascii="Lato" w:hAnsi="Lato"/>
                <w:bCs/>
                <w:color w:val="1F497D"/>
                <w:sz w:val="18"/>
                <w:szCs w:val="18"/>
              </w:rPr>
              <w:t>%</w:t>
            </w:r>
          </w:p>
        </w:tc>
        <w:tc>
          <w:tcPr>
            <w:tcW w:w="615" w:type="pct"/>
            <w:shd w:val="clear" w:color="auto" w:fill="auto"/>
            <w:noWrap/>
            <w:vAlign w:val="center"/>
            <w:hideMark/>
          </w:tcPr>
          <w:p w:rsidR="00F43B71" w:rsidRPr="00B33581" w:rsidRDefault="00F43B71" w:rsidP="00EF696D">
            <w:pPr>
              <w:spacing w:line="240" w:lineRule="auto"/>
              <w:ind w:firstLine="0"/>
              <w:jc w:val="center"/>
              <w:rPr>
                <w:rFonts w:ascii="Wingdings" w:hAnsi="Wingdings"/>
                <w:color w:val="FF0000"/>
              </w:rPr>
            </w:pPr>
            <w:r w:rsidRPr="00B33581">
              <w:rPr>
                <w:rFonts w:ascii="Wingdings" w:hAnsi="Wingdings"/>
                <w:color w:val="FF0000"/>
              </w:rPr>
              <w:t></w:t>
            </w:r>
          </w:p>
        </w:tc>
      </w:tr>
      <w:tr w:rsidR="00F43B71" w:rsidRPr="00D352C4" w:rsidTr="00145E29">
        <w:trPr>
          <w:trHeight w:val="212"/>
        </w:trPr>
        <w:tc>
          <w:tcPr>
            <w:tcW w:w="1943" w:type="pct"/>
            <w:vMerge w:val="restart"/>
            <w:shd w:val="clear" w:color="auto" w:fill="auto"/>
            <w:noWrap/>
            <w:vAlign w:val="center"/>
            <w:hideMark/>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Saldo migracji</w:t>
            </w:r>
          </w:p>
        </w:tc>
        <w:tc>
          <w:tcPr>
            <w:tcW w:w="926" w:type="pct"/>
            <w:shd w:val="clear" w:color="auto" w:fill="auto"/>
            <w:noWrap/>
            <w:vAlign w:val="center"/>
            <w:hideMark/>
          </w:tcPr>
          <w:p w:rsidR="00F43B71" w:rsidRPr="00B33581" w:rsidRDefault="00F43B71" w:rsidP="00EF696D">
            <w:pPr>
              <w:spacing w:line="240" w:lineRule="auto"/>
              <w:ind w:firstLine="0"/>
              <w:jc w:val="both"/>
              <w:rPr>
                <w:rFonts w:ascii="Lato" w:hAnsi="Lato"/>
                <w:b/>
                <w:color w:val="1F497D"/>
                <w:sz w:val="18"/>
                <w:szCs w:val="18"/>
              </w:rPr>
            </w:pPr>
            <w:r w:rsidRPr="00B33581">
              <w:rPr>
                <w:rFonts w:ascii="Lato" w:hAnsi="Lato"/>
                <w:b/>
                <w:color w:val="1F497D"/>
                <w:sz w:val="18"/>
                <w:szCs w:val="18"/>
              </w:rPr>
              <w:t>gmina</w:t>
            </w:r>
          </w:p>
        </w:tc>
        <w:tc>
          <w:tcPr>
            <w:tcW w:w="780" w:type="pct"/>
            <w:shd w:val="clear" w:color="auto" w:fill="auto"/>
            <w:noWrap/>
            <w:vAlign w:val="center"/>
          </w:tcPr>
          <w:p w:rsidR="00F43B71" w:rsidRPr="00B33581" w:rsidRDefault="00B33581" w:rsidP="00EC7682">
            <w:pPr>
              <w:spacing w:line="240" w:lineRule="auto"/>
              <w:ind w:firstLine="0"/>
              <w:jc w:val="center"/>
              <w:rPr>
                <w:rFonts w:ascii="Lato" w:hAnsi="Lato"/>
                <w:b/>
                <w:bCs/>
                <w:color w:val="1F497D"/>
                <w:sz w:val="18"/>
                <w:szCs w:val="18"/>
              </w:rPr>
            </w:pPr>
            <w:r w:rsidRPr="00B33581">
              <w:rPr>
                <w:rFonts w:ascii="Lato" w:hAnsi="Lato"/>
                <w:b/>
                <w:bCs/>
                <w:color w:val="1F497D"/>
                <w:sz w:val="18"/>
                <w:szCs w:val="18"/>
              </w:rPr>
              <w:t>2,02</w:t>
            </w:r>
          </w:p>
        </w:tc>
        <w:tc>
          <w:tcPr>
            <w:tcW w:w="737" w:type="pct"/>
            <w:shd w:val="clear" w:color="auto" w:fill="auto"/>
            <w:noWrap/>
            <w:vAlign w:val="center"/>
            <w:hideMark/>
          </w:tcPr>
          <w:p w:rsidR="00F43B71" w:rsidRPr="00B33581" w:rsidRDefault="00F43B71" w:rsidP="00EF696D">
            <w:pPr>
              <w:spacing w:line="240" w:lineRule="auto"/>
              <w:ind w:firstLine="0"/>
              <w:jc w:val="center"/>
              <w:rPr>
                <w:rFonts w:ascii="Lato" w:hAnsi="Lato"/>
                <w:b/>
                <w:bCs/>
                <w:color w:val="1F497D"/>
                <w:sz w:val="18"/>
                <w:szCs w:val="18"/>
              </w:rPr>
            </w:pPr>
            <w:r w:rsidRPr="00B33581">
              <w:rPr>
                <w:rFonts w:ascii="Lato" w:hAnsi="Lato"/>
                <w:b/>
                <w:bCs/>
                <w:color w:val="1F497D"/>
                <w:sz w:val="18"/>
                <w:szCs w:val="18"/>
              </w:rPr>
              <w:t>%</w:t>
            </w:r>
          </w:p>
        </w:tc>
        <w:tc>
          <w:tcPr>
            <w:tcW w:w="615" w:type="pct"/>
            <w:shd w:val="clear" w:color="auto" w:fill="auto"/>
            <w:noWrap/>
            <w:vAlign w:val="center"/>
            <w:hideMark/>
          </w:tcPr>
          <w:p w:rsidR="00F43B71" w:rsidRPr="00B33581" w:rsidRDefault="00B33581" w:rsidP="00EF696D">
            <w:pPr>
              <w:spacing w:line="240" w:lineRule="auto"/>
              <w:ind w:firstLine="0"/>
              <w:jc w:val="center"/>
              <w:rPr>
                <w:rFonts w:ascii="Wingdings" w:hAnsi="Wingdings"/>
                <w:color w:val="008000"/>
              </w:rPr>
            </w:pPr>
            <w:r w:rsidRPr="00B33581">
              <w:rPr>
                <w:rFonts w:ascii="Wingdings" w:hAnsi="Wingdings"/>
                <w:color w:val="008000"/>
              </w:rPr>
              <w:t></w:t>
            </w:r>
          </w:p>
        </w:tc>
      </w:tr>
      <w:tr w:rsidR="00F43B71" w:rsidRPr="00D352C4" w:rsidTr="00145E29">
        <w:trPr>
          <w:trHeight w:val="282"/>
        </w:trPr>
        <w:tc>
          <w:tcPr>
            <w:tcW w:w="1943" w:type="pct"/>
            <w:vMerge/>
            <w:vAlign w:val="center"/>
          </w:tcPr>
          <w:p w:rsidR="00F43B71" w:rsidRPr="00B33581" w:rsidRDefault="00F43B71" w:rsidP="00EF696D">
            <w:pPr>
              <w:spacing w:line="240" w:lineRule="auto"/>
              <w:ind w:firstLine="0"/>
              <w:jc w:val="both"/>
              <w:rPr>
                <w:rFonts w:ascii="Lato" w:hAnsi="Lato"/>
                <w:color w:val="1F497D"/>
                <w:sz w:val="18"/>
                <w:szCs w:val="18"/>
              </w:rPr>
            </w:pPr>
          </w:p>
        </w:tc>
        <w:tc>
          <w:tcPr>
            <w:tcW w:w="926" w:type="pct"/>
            <w:shd w:val="clear" w:color="auto" w:fill="auto"/>
            <w:noWrap/>
            <w:vAlign w:val="center"/>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powiat</w:t>
            </w:r>
          </w:p>
        </w:tc>
        <w:tc>
          <w:tcPr>
            <w:tcW w:w="780" w:type="pct"/>
            <w:shd w:val="clear" w:color="auto" w:fill="auto"/>
            <w:noWrap/>
            <w:vAlign w:val="center"/>
          </w:tcPr>
          <w:p w:rsidR="00F43B71" w:rsidRPr="00B33581" w:rsidRDefault="00B33581" w:rsidP="00EC7682">
            <w:pPr>
              <w:spacing w:line="240" w:lineRule="auto"/>
              <w:ind w:firstLine="0"/>
              <w:jc w:val="center"/>
              <w:rPr>
                <w:rFonts w:ascii="Lato" w:hAnsi="Lato"/>
                <w:bCs/>
                <w:color w:val="1F497D"/>
                <w:sz w:val="18"/>
                <w:szCs w:val="18"/>
              </w:rPr>
            </w:pPr>
            <w:r w:rsidRPr="00B33581">
              <w:rPr>
                <w:rFonts w:ascii="Lato" w:hAnsi="Lato"/>
                <w:bCs/>
                <w:color w:val="1F497D"/>
                <w:sz w:val="18"/>
                <w:szCs w:val="18"/>
              </w:rPr>
              <w:t>0,36</w:t>
            </w:r>
          </w:p>
        </w:tc>
        <w:tc>
          <w:tcPr>
            <w:tcW w:w="737" w:type="pct"/>
            <w:shd w:val="clear" w:color="auto" w:fill="auto"/>
            <w:noWrap/>
            <w:vAlign w:val="center"/>
          </w:tcPr>
          <w:p w:rsidR="00F43B71" w:rsidRPr="00B33581" w:rsidRDefault="00F43B71" w:rsidP="00EF696D">
            <w:pPr>
              <w:spacing w:line="240" w:lineRule="auto"/>
              <w:ind w:firstLine="0"/>
              <w:jc w:val="center"/>
              <w:rPr>
                <w:rFonts w:ascii="Lato" w:hAnsi="Lato"/>
                <w:bCs/>
                <w:color w:val="1F497D"/>
                <w:sz w:val="18"/>
                <w:szCs w:val="18"/>
              </w:rPr>
            </w:pPr>
            <w:r w:rsidRPr="00B33581">
              <w:rPr>
                <w:rFonts w:ascii="Lato" w:hAnsi="Lato"/>
                <w:bCs/>
                <w:color w:val="1F497D"/>
                <w:sz w:val="18"/>
                <w:szCs w:val="18"/>
              </w:rPr>
              <w:t>%</w:t>
            </w:r>
          </w:p>
        </w:tc>
        <w:tc>
          <w:tcPr>
            <w:tcW w:w="615" w:type="pct"/>
            <w:shd w:val="clear" w:color="auto" w:fill="auto"/>
            <w:noWrap/>
            <w:vAlign w:val="center"/>
          </w:tcPr>
          <w:p w:rsidR="00F43B71" w:rsidRPr="00B33581" w:rsidRDefault="00B33581" w:rsidP="00EF696D">
            <w:pPr>
              <w:spacing w:line="240" w:lineRule="auto"/>
              <w:ind w:firstLine="0"/>
              <w:jc w:val="center"/>
              <w:rPr>
                <w:rFonts w:ascii="Wingdings" w:hAnsi="Wingdings"/>
                <w:color w:val="FF0000"/>
              </w:rPr>
            </w:pPr>
            <w:r w:rsidRPr="00B33581">
              <w:rPr>
                <w:rFonts w:ascii="Wingdings" w:hAnsi="Wingdings"/>
                <w:color w:val="008000"/>
              </w:rPr>
              <w:t></w:t>
            </w:r>
          </w:p>
        </w:tc>
      </w:tr>
      <w:tr w:rsidR="00F43B71" w:rsidRPr="00D352C4" w:rsidTr="00145E29">
        <w:trPr>
          <w:trHeight w:val="282"/>
        </w:trPr>
        <w:tc>
          <w:tcPr>
            <w:tcW w:w="1943" w:type="pct"/>
            <w:vMerge/>
            <w:vAlign w:val="center"/>
            <w:hideMark/>
          </w:tcPr>
          <w:p w:rsidR="00F43B71" w:rsidRPr="00B33581" w:rsidRDefault="00F43B71" w:rsidP="00EF696D">
            <w:pPr>
              <w:spacing w:line="240" w:lineRule="auto"/>
              <w:ind w:firstLine="0"/>
              <w:jc w:val="both"/>
              <w:rPr>
                <w:rFonts w:ascii="Lato" w:hAnsi="Lato"/>
                <w:color w:val="1F497D"/>
                <w:sz w:val="18"/>
                <w:szCs w:val="18"/>
              </w:rPr>
            </w:pPr>
          </w:p>
        </w:tc>
        <w:tc>
          <w:tcPr>
            <w:tcW w:w="926" w:type="pct"/>
            <w:shd w:val="clear" w:color="auto" w:fill="auto"/>
            <w:noWrap/>
            <w:vAlign w:val="center"/>
            <w:hideMark/>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województwo</w:t>
            </w:r>
          </w:p>
        </w:tc>
        <w:tc>
          <w:tcPr>
            <w:tcW w:w="780" w:type="pct"/>
            <w:shd w:val="clear" w:color="auto" w:fill="auto"/>
            <w:noWrap/>
            <w:vAlign w:val="center"/>
          </w:tcPr>
          <w:p w:rsidR="00F43B71" w:rsidRPr="00B33581" w:rsidRDefault="00B33581" w:rsidP="00346900">
            <w:pPr>
              <w:spacing w:line="240" w:lineRule="auto"/>
              <w:ind w:firstLine="0"/>
              <w:jc w:val="center"/>
              <w:rPr>
                <w:rFonts w:ascii="Lato" w:hAnsi="Lato"/>
                <w:bCs/>
                <w:color w:val="1F497D"/>
                <w:sz w:val="18"/>
                <w:szCs w:val="18"/>
              </w:rPr>
            </w:pPr>
            <w:r w:rsidRPr="00B33581">
              <w:rPr>
                <w:rFonts w:ascii="Lato" w:hAnsi="Lato"/>
                <w:bCs/>
                <w:color w:val="1F497D"/>
                <w:sz w:val="18"/>
                <w:szCs w:val="18"/>
              </w:rPr>
              <w:t>-0,07</w:t>
            </w:r>
          </w:p>
        </w:tc>
        <w:tc>
          <w:tcPr>
            <w:tcW w:w="737" w:type="pct"/>
            <w:shd w:val="clear" w:color="auto" w:fill="auto"/>
            <w:noWrap/>
            <w:vAlign w:val="center"/>
            <w:hideMark/>
          </w:tcPr>
          <w:p w:rsidR="00F43B71" w:rsidRPr="00B33581" w:rsidRDefault="00F43B71" w:rsidP="00EF696D">
            <w:pPr>
              <w:spacing w:line="240" w:lineRule="auto"/>
              <w:ind w:firstLine="0"/>
              <w:jc w:val="center"/>
              <w:rPr>
                <w:rFonts w:ascii="Lato" w:hAnsi="Lato"/>
                <w:bCs/>
                <w:color w:val="1F497D"/>
                <w:sz w:val="18"/>
                <w:szCs w:val="18"/>
              </w:rPr>
            </w:pPr>
            <w:r w:rsidRPr="00B33581">
              <w:rPr>
                <w:rFonts w:ascii="Lato" w:hAnsi="Lato"/>
                <w:bCs/>
                <w:color w:val="1F497D"/>
                <w:sz w:val="18"/>
                <w:szCs w:val="18"/>
              </w:rPr>
              <w:t>%</w:t>
            </w:r>
          </w:p>
        </w:tc>
        <w:tc>
          <w:tcPr>
            <w:tcW w:w="615" w:type="pct"/>
            <w:shd w:val="clear" w:color="auto" w:fill="auto"/>
            <w:noWrap/>
            <w:vAlign w:val="center"/>
            <w:hideMark/>
          </w:tcPr>
          <w:p w:rsidR="00F43B71" w:rsidRPr="00B33581" w:rsidRDefault="00F43B71" w:rsidP="00EF696D">
            <w:pPr>
              <w:spacing w:line="240" w:lineRule="auto"/>
              <w:ind w:firstLine="0"/>
              <w:jc w:val="center"/>
              <w:rPr>
                <w:rFonts w:ascii="Wingdings" w:hAnsi="Wingdings"/>
                <w:color w:val="FF0000"/>
              </w:rPr>
            </w:pPr>
            <w:r w:rsidRPr="00B33581">
              <w:rPr>
                <w:rFonts w:ascii="Wingdings" w:hAnsi="Wingdings"/>
                <w:color w:val="FF0000"/>
              </w:rPr>
              <w:t></w:t>
            </w:r>
          </w:p>
        </w:tc>
      </w:tr>
      <w:tr w:rsidR="00F43B71" w:rsidRPr="00D352C4" w:rsidTr="00145E29">
        <w:trPr>
          <w:trHeight w:val="282"/>
        </w:trPr>
        <w:tc>
          <w:tcPr>
            <w:tcW w:w="1943" w:type="pct"/>
            <w:vMerge/>
            <w:vAlign w:val="center"/>
            <w:hideMark/>
          </w:tcPr>
          <w:p w:rsidR="00F43B71" w:rsidRPr="00B33581" w:rsidRDefault="00F43B71" w:rsidP="00EF696D">
            <w:pPr>
              <w:spacing w:line="240" w:lineRule="auto"/>
              <w:ind w:firstLine="0"/>
              <w:jc w:val="both"/>
              <w:rPr>
                <w:rFonts w:ascii="Lato" w:hAnsi="Lato"/>
                <w:color w:val="1F497D"/>
                <w:sz w:val="18"/>
                <w:szCs w:val="18"/>
              </w:rPr>
            </w:pPr>
          </w:p>
        </w:tc>
        <w:tc>
          <w:tcPr>
            <w:tcW w:w="926" w:type="pct"/>
            <w:shd w:val="clear" w:color="auto" w:fill="auto"/>
            <w:noWrap/>
            <w:vAlign w:val="center"/>
            <w:hideMark/>
          </w:tcPr>
          <w:p w:rsidR="00F43B71" w:rsidRPr="00B33581" w:rsidRDefault="00F43B71" w:rsidP="00EF696D">
            <w:pPr>
              <w:spacing w:line="240" w:lineRule="auto"/>
              <w:ind w:firstLine="0"/>
              <w:jc w:val="both"/>
              <w:rPr>
                <w:rFonts w:ascii="Lato" w:hAnsi="Lato"/>
                <w:color w:val="1F497D"/>
                <w:sz w:val="18"/>
                <w:szCs w:val="18"/>
              </w:rPr>
            </w:pPr>
            <w:r w:rsidRPr="00B33581">
              <w:rPr>
                <w:rFonts w:ascii="Lato" w:hAnsi="Lato"/>
                <w:color w:val="1F497D"/>
                <w:sz w:val="18"/>
                <w:szCs w:val="18"/>
              </w:rPr>
              <w:t>kraj</w:t>
            </w:r>
          </w:p>
        </w:tc>
        <w:tc>
          <w:tcPr>
            <w:tcW w:w="780" w:type="pct"/>
            <w:shd w:val="clear" w:color="auto" w:fill="auto"/>
            <w:noWrap/>
            <w:vAlign w:val="center"/>
          </w:tcPr>
          <w:p w:rsidR="00F43B71" w:rsidRPr="00B33581" w:rsidRDefault="00B33581" w:rsidP="00EC7682">
            <w:pPr>
              <w:spacing w:line="240" w:lineRule="auto"/>
              <w:ind w:firstLine="0"/>
              <w:jc w:val="center"/>
              <w:rPr>
                <w:rFonts w:ascii="Lato" w:hAnsi="Lato"/>
                <w:bCs/>
                <w:color w:val="1F497D"/>
                <w:sz w:val="18"/>
                <w:szCs w:val="18"/>
              </w:rPr>
            </w:pPr>
            <w:r w:rsidRPr="00B33581">
              <w:rPr>
                <w:rFonts w:ascii="Lato" w:hAnsi="Lato"/>
                <w:bCs/>
                <w:color w:val="1F497D"/>
                <w:sz w:val="18"/>
                <w:szCs w:val="18"/>
              </w:rPr>
              <w:t>0</w:t>
            </w:r>
          </w:p>
        </w:tc>
        <w:tc>
          <w:tcPr>
            <w:tcW w:w="737" w:type="pct"/>
            <w:shd w:val="clear" w:color="auto" w:fill="auto"/>
            <w:noWrap/>
            <w:vAlign w:val="center"/>
            <w:hideMark/>
          </w:tcPr>
          <w:p w:rsidR="00F43B71" w:rsidRPr="00B33581" w:rsidRDefault="00F43B71" w:rsidP="00EF696D">
            <w:pPr>
              <w:spacing w:line="240" w:lineRule="auto"/>
              <w:ind w:firstLine="0"/>
              <w:jc w:val="center"/>
              <w:rPr>
                <w:rFonts w:ascii="Lato" w:hAnsi="Lato"/>
                <w:bCs/>
                <w:color w:val="1F497D"/>
                <w:sz w:val="18"/>
                <w:szCs w:val="18"/>
              </w:rPr>
            </w:pPr>
            <w:r w:rsidRPr="00B33581">
              <w:rPr>
                <w:rFonts w:ascii="Lato" w:hAnsi="Lato"/>
                <w:bCs/>
                <w:color w:val="1F497D"/>
                <w:sz w:val="18"/>
                <w:szCs w:val="18"/>
              </w:rPr>
              <w:t>%</w:t>
            </w:r>
          </w:p>
        </w:tc>
        <w:tc>
          <w:tcPr>
            <w:tcW w:w="615" w:type="pct"/>
            <w:shd w:val="clear" w:color="auto" w:fill="auto"/>
            <w:noWrap/>
            <w:vAlign w:val="center"/>
            <w:hideMark/>
          </w:tcPr>
          <w:p w:rsidR="00F43B71" w:rsidRPr="00B33581" w:rsidRDefault="00570AA5" w:rsidP="00EF696D">
            <w:pPr>
              <w:spacing w:line="240" w:lineRule="auto"/>
              <w:ind w:firstLine="0"/>
              <w:jc w:val="center"/>
              <w:rPr>
                <w:rFonts w:ascii="Wingdings" w:hAnsi="Wingdings"/>
                <w:color w:val="FF0000"/>
              </w:rPr>
            </w:pPr>
            <w:r w:rsidRPr="00B33581">
              <w:rPr>
                <w:rFonts w:ascii="Wingdings" w:hAnsi="Wingdings"/>
                <w:color w:val="008000"/>
              </w:rPr>
              <w:t></w:t>
            </w:r>
          </w:p>
        </w:tc>
      </w:tr>
    </w:tbl>
    <w:p w:rsidR="00F76E05" w:rsidRPr="00D352C4" w:rsidRDefault="0006260E" w:rsidP="00144A48">
      <w:pPr>
        <w:ind w:firstLine="0"/>
        <w:rPr>
          <w:rFonts w:ascii="Lato" w:hAnsi="Lato"/>
          <w:sz w:val="20"/>
          <w:highlight w:val="yellow"/>
        </w:rPr>
      </w:pPr>
      <w:r>
        <w:rPr>
          <w:rFonts w:ascii="Lato" w:hAnsi="Lato"/>
          <w:noProof/>
        </w:rPr>
        <w:drawing>
          <wp:inline distT="0" distB="0" distL="0" distR="0" wp14:anchorId="26194FF4" wp14:editId="341D1DC8">
            <wp:extent cx="3124200" cy="4857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485775"/>
                    </a:xfrm>
                    <a:prstGeom prst="rect">
                      <a:avLst/>
                    </a:prstGeom>
                    <a:noFill/>
                    <a:ln>
                      <a:noFill/>
                    </a:ln>
                  </pic:spPr>
                </pic:pic>
              </a:graphicData>
            </a:graphic>
          </wp:inline>
        </w:drawing>
      </w:r>
    </w:p>
    <w:p w:rsidR="00E77738" w:rsidRPr="008F1406" w:rsidRDefault="00E51AB9" w:rsidP="00517BC4">
      <w:pPr>
        <w:pStyle w:val="Tekstpodstawowy"/>
        <w:jc w:val="center"/>
        <w:rPr>
          <w:rFonts w:ascii="Lato" w:hAnsi="Lato" w:cs="Times New Roman"/>
          <w:i/>
          <w:sz w:val="20"/>
          <w:szCs w:val="20"/>
        </w:rPr>
      </w:pPr>
      <w:r w:rsidRPr="008F1406">
        <w:rPr>
          <w:rFonts w:ascii="Lato" w:hAnsi="Lato" w:cs="Times New Roman"/>
          <w:i/>
          <w:sz w:val="20"/>
          <w:szCs w:val="20"/>
        </w:rPr>
        <w:t>Ź</w:t>
      </w:r>
      <w:r w:rsidR="00E77738" w:rsidRPr="008F1406">
        <w:rPr>
          <w:rFonts w:ascii="Lato" w:hAnsi="Lato" w:cs="Times New Roman"/>
          <w:i/>
          <w:sz w:val="20"/>
          <w:szCs w:val="20"/>
        </w:rPr>
        <w:t>ródło: GUS</w:t>
      </w:r>
    </w:p>
    <w:p w:rsidR="000277B9" w:rsidRPr="00D352C4" w:rsidRDefault="000277B9" w:rsidP="00517BC4">
      <w:pPr>
        <w:pStyle w:val="Tekstpodstawowy"/>
        <w:jc w:val="center"/>
        <w:rPr>
          <w:rFonts w:ascii="Lato" w:hAnsi="Lato" w:cs="Times New Roman"/>
          <w:i/>
          <w:sz w:val="20"/>
          <w:szCs w:val="20"/>
          <w:highlight w:val="yellow"/>
        </w:rPr>
      </w:pPr>
    </w:p>
    <w:p w:rsidR="00B33581" w:rsidRPr="00B33581" w:rsidRDefault="00B33581" w:rsidP="00C729D3">
      <w:pPr>
        <w:ind w:firstLine="709"/>
        <w:jc w:val="both"/>
        <w:rPr>
          <w:rFonts w:ascii="Lato" w:hAnsi="Lato"/>
        </w:rPr>
      </w:pPr>
      <w:r w:rsidRPr="00B33581">
        <w:rPr>
          <w:rFonts w:ascii="Lato" w:hAnsi="Lato"/>
        </w:rPr>
        <w:t xml:space="preserve">Średnia gęstość zaludnienia w </w:t>
      </w:r>
      <w:r w:rsidR="00C6684F" w:rsidRPr="00B33581">
        <w:rPr>
          <w:rFonts w:ascii="Lato" w:hAnsi="Lato"/>
        </w:rPr>
        <w:t>Gminy Pabianice</w:t>
      </w:r>
      <w:r w:rsidR="00C6684F">
        <w:rPr>
          <w:rFonts w:ascii="Lato" w:hAnsi="Lato"/>
        </w:rPr>
        <w:t xml:space="preserve"> </w:t>
      </w:r>
      <w:r w:rsidRPr="00B33581">
        <w:rPr>
          <w:rFonts w:ascii="Lato" w:hAnsi="Lato"/>
        </w:rPr>
        <w:t>wynosi około 82,5 os./km</w:t>
      </w:r>
      <w:r w:rsidRPr="00B33581">
        <w:rPr>
          <w:rFonts w:ascii="Lato" w:hAnsi="Lato"/>
          <w:vertAlign w:val="superscript"/>
        </w:rPr>
        <w:t>2</w:t>
      </w:r>
      <w:r w:rsidRPr="00B33581">
        <w:rPr>
          <w:rFonts w:ascii="Lato" w:hAnsi="Lato"/>
        </w:rPr>
        <w:t>. Zakładane zmiany w</w:t>
      </w:r>
      <w:r>
        <w:rPr>
          <w:rFonts w:ascii="Lato" w:hAnsi="Lato"/>
        </w:rPr>
        <w:t> </w:t>
      </w:r>
      <w:r w:rsidRPr="00B33581">
        <w:rPr>
          <w:rFonts w:ascii="Lato" w:hAnsi="Lato"/>
        </w:rPr>
        <w:t>strukturze demograficznej gminy wyznaczono na podstawie prognozy wykonanej przez Główny Urząd Statystyczny.</w:t>
      </w:r>
    </w:p>
    <w:p w:rsidR="00B33581" w:rsidRPr="00B33581" w:rsidRDefault="00B33581" w:rsidP="00C729D3">
      <w:pPr>
        <w:ind w:firstLine="709"/>
        <w:jc w:val="both"/>
        <w:rPr>
          <w:rFonts w:ascii="Lato" w:hAnsi="Lato"/>
        </w:rPr>
      </w:pPr>
      <w:r w:rsidRPr="00B33581">
        <w:rPr>
          <w:rFonts w:ascii="Lato" w:hAnsi="Lato"/>
        </w:rPr>
        <w:t xml:space="preserve">Prognoza GUS przewiduje do 2035 roku zmniejszenie liczby ludności o 385 osób, co stanowi spadek w stosunku do stanu ludności z 2017 roku o 5,3%. Taki stopień zmian jest możliwy, jednakże dotychczasowy trend zmian liczby mieszkańców wskazuje na wzrost liczby ludności. </w:t>
      </w:r>
    </w:p>
    <w:p w:rsidR="00B33581" w:rsidRPr="00B33581" w:rsidRDefault="00B33581" w:rsidP="00C729D3">
      <w:pPr>
        <w:ind w:firstLine="709"/>
        <w:jc w:val="both"/>
        <w:rPr>
          <w:rFonts w:ascii="Lato" w:hAnsi="Lato"/>
        </w:rPr>
      </w:pPr>
      <w:r w:rsidRPr="00B33581">
        <w:rPr>
          <w:rFonts w:ascii="Lato" w:hAnsi="Lato"/>
        </w:rPr>
        <w:t xml:space="preserve">W dalszej analizie trend oparty o prognozy GUS przyjęto jako pasywny (najbardziej niekorzystny) scenariusz rozwoju gminy (Scenariusz A). </w:t>
      </w:r>
    </w:p>
    <w:p w:rsidR="00B944E6" w:rsidRPr="00D352C4" w:rsidRDefault="00B33581" w:rsidP="00617C1D">
      <w:pPr>
        <w:ind w:firstLine="709"/>
        <w:jc w:val="both"/>
        <w:rPr>
          <w:rFonts w:ascii="Lato" w:hAnsi="Lato"/>
          <w:highlight w:val="yellow"/>
        </w:rPr>
      </w:pPr>
      <w:r w:rsidRPr="00B33581">
        <w:rPr>
          <w:rFonts w:ascii="Lato" w:hAnsi="Lato"/>
        </w:rPr>
        <w:t>W scenariuszu aktywnym (Scenariusz C) przyjęto, że liczba ludności będzie się zwiększać zgodnie z trendem z ostatnich lat. Natomiast wariant umiarkowany (Scenariusz B) wskazuje na średni ze scenariuszy A i C wzrost liczby ludności w stosunku do 2017 roku. Wszystkie scenariusze przedstawiono na rysunku 2-4.</w:t>
      </w:r>
    </w:p>
    <w:p w:rsidR="003C325F" w:rsidRPr="00D352C4" w:rsidRDefault="003C325F" w:rsidP="003C325F">
      <w:pPr>
        <w:ind w:firstLine="0"/>
        <w:jc w:val="both"/>
        <w:rPr>
          <w:rFonts w:ascii="Lato" w:hAnsi="Lato"/>
          <w:highlight w:val="yellow"/>
        </w:rPr>
      </w:pPr>
    </w:p>
    <w:p w:rsidR="004946A5" w:rsidRPr="00D352C4" w:rsidRDefault="0006260E" w:rsidP="00F02778">
      <w:pPr>
        <w:pStyle w:val="Legenda"/>
        <w:jc w:val="center"/>
        <w:rPr>
          <w:rFonts w:ascii="Lato" w:hAnsi="Lato"/>
          <w:highlight w:val="yellow"/>
        </w:rPr>
      </w:pPr>
      <w:bookmarkStart w:id="61" w:name="_Toc140645058"/>
      <w:bookmarkStart w:id="62" w:name="_Toc225155557"/>
      <w:r>
        <w:rPr>
          <w:noProof/>
          <w:lang w:val="pl-PL" w:eastAsia="pl-PL"/>
        </w:rPr>
        <w:lastRenderedPageBreak/>
        <w:drawing>
          <wp:inline distT="0" distB="0" distL="0" distR="0" wp14:anchorId="085B0050" wp14:editId="2627B868">
            <wp:extent cx="5977255" cy="3333750"/>
            <wp:effectExtent l="0" t="0" r="0" b="0"/>
            <wp:docPr id="7" name="Wykre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013E" w:rsidRPr="00E41A25" w:rsidRDefault="0050013E" w:rsidP="00815B20">
      <w:pPr>
        <w:pStyle w:val="Legenda"/>
        <w:jc w:val="center"/>
        <w:rPr>
          <w:rFonts w:ascii="Lato" w:hAnsi="Lato"/>
          <w:color w:val="365F91"/>
          <w:sz w:val="20"/>
          <w:szCs w:val="20"/>
          <w:lang w:val="pl-PL"/>
        </w:rPr>
      </w:pPr>
      <w:bookmarkStart w:id="63" w:name="_Toc20219213"/>
      <w:r w:rsidRPr="00E41A25">
        <w:rPr>
          <w:rFonts w:ascii="Lato" w:hAnsi="Lato"/>
          <w:color w:val="365F91"/>
          <w:sz w:val="20"/>
          <w:szCs w:val="20"/>
        </w:rPr>
        <w:t xml:space="preserve">Rysunek </w:t>
      </w:r>
      <w:r w:rsidR="004042AE" w:rsidRPr="00E41A25">
        <w:rPr>
          <w:rFonts w:ascii="Lato" w:hAnsi="Lato"/>
          <w:color w:val="365F91"/>
          <w:sz w:val="20"/>
          <w:szCs w:val="20"/>
        </w:rPr>
        <w:fldChar w:fldCharType="begin"/>
      </w:r>
      <w:r w:rsidR="005430ED" w:rsidRPr="00E41A25">
        <w:rPr>
          <w:rFonts w:ascii="Lato" w:hAnsi="Lato"/>
          <w:color w:val="365F91"/>
          <w:sz w:val="20"/>
          <w:szCs w:val="20"/>
        </w:rPr>
        <w:instrText xml:space="preserve"> STYLEREF 1 \s </w:instrText>
      </w:r>
      <w:r w:rsidR="004042AE" w:rsidRPr="00E41A25">
        <w:rPr>
          <w:rFonts w:ascii="Lato" w:hAnsi="Lato"/>
          <w:color w:val="365F91"/>
          <w:sz w:val="20"/>
          <w:szCs w:val="20"/>
        </w:rPr>
        <w:fldChar w:fldCharType="separate"/>
      </w:r>
      <w:r w:rsidR="0040205B">
        <w:rPr>
          <w:rFonts w:ascii="Lato" w:hAnsi="Lato"/>
          <w:noProof/>
          <w:color w:val="365F91"/>
          <w:sz w:val="20"/>
          <w:szCs w:val="20"/>
        </w:rPr>
        <w:t>1</w:t>
      </w:r>
      <w:r w:rsidR="004042AE" w:rsidRPr="00E41A25">
        <w:rPr>
          <w:rFonts w:ascii="Lato" w:hAnsi="Lato"/>
          <w:color w:val="365F91"/>
          <w:sz w:val="20"/>
          <w:szCs w:val="20"/>
        </w:rPr>
        <w:fldChar w:fldCharType="end"/>
      </w:r>
      <w:r w:rsidR="005430ED" w:rsidRPr="00E41A25">
        <w:rPr>
          <w:rFonts w:ascii="Lato" w:hAnsi="Lato"/>
          <w:color w:val="365F91"/>
          <w:sz w:val="20"/>
          <w:szCs w:val="20"/>
        </w:rPr>
        <w:noBreakHyphen/>
      </w:r>
      <w:r w:rsidR="004042AE" w:rsidRPr="00E41A25">
        <w:rPr>
          <w:rFonts w:ascii="Lato" w:hAnsi="Lato"/>
          <w:color w:val="365F91"/>
          <w:sz w:val="20"/>
          <w:szCs w:val="20"/>
        </w:rPr>
        <w:fldChar w:fldCharType="begin"/>
      </w:r>
      <w:r w:rsidR="005430ED" w:rsidRPr="00E41A25">
        <w:rPr>
          <w:rFonts w:ascii="Lato" w:hAnsi="Lato"/>
          <w:color w:val="365F91"/>
          <w:sz w:val="20"/>
          <w:szCs w:val="20"/>
        </w:rPr>
        <w:instrText xml:space="preserve"> SEQ Rysunek \* ARABIC \s 1 </w:instrText>
      </w:r>
      <w:r w:rsidR="004042AE" w:rsidRPr="00E41A25">
        <w:rPr>
          <w:rFonts w:ascii="Lato" w:hAnsi="Lato"/>
          <w:color w:val="365F91"/>
          <w:sz w:val="20"/>
          <w:szCs w:val="20"/>
        </w:rPr>
        <w:fldChar w:fldCharType="separate"/>
      </w:r>
      <w:r w:rsidR="0040205B">
        <w:rPr>
          <w:rFonts w:ascii="Lato" w:hAnsi="Lato"/>
          <w:noProof/>
          <w:color w:val="365F91"/>
          <w:sz w:val="20"/>
          <w:szCs w:val="20"/>
        </w:rPr>
        <w:t>4</w:t>
      </w:r>
      <w:r w:rsidR="004042AE" w:rsidRPr="00E41A25">
        <w:rPr>
          <w:rFonts w:ascii="Lato" w:hAnsi="Lato"/>
          <w:color w:val="365F91"/>
          <w:sz w:val="20"/>
          <w:szCs w:val="20"/>
        </w:rPr>
        <w:fldChar w:fldCharType="end"/>
      </w:r>
      <w:r w:rsidR="002F760C" w:rsidRPr="00E41A25">
        <w:rPr>
          <w:rFonts w:ascii="Lato" w:hAnsi="Lato"/>
          <w:color w:val="365F91"/>
          <w:sz w:val="20"/>
          <w:szCs w:val="20"/>
        </w:rPr>
        <w:t xml:space="preserve"> Prognoza demograficzna dla </w:t>
      </w:r>
      <w:r w:rsidR="00985E1C" w:rsidRPr="00E41A25">
        <w:rPr>
          <w:rFonts w:ascii="Lato" w:hAnsi="Lato"/>
          <w:color w:val="365F91"/>
          <w:sz w:val="20"/>
          <w:szCs w:val="20"/>
        </w:rPr>
        <w:t xml:space="preserve">Gminy </w:t>
      </w:r>
      <w:r w:rsidR="00E41A25" w:rsidRPr="00E41A25">
        <w:rPr>
          <w:rFonts w:ascii="Lato" w:hAnsi="Lato"/>
          <w:color w:val="365F91"/>
          <w:sz w:val="20"/>
          <w:szCs w:val="20"/>
          <w:lang w:val="pl-PL"/>
        </w:rPr>
        <w:t>Pabianice</w:t>
      </w:r>
      <w:bookmarkEnd w:id="63"/>
    </w:p>
    <w:bookmarkEnd w:id="61"/>
    <w:bookmarkEnd w:id="62"/>
    <w:p w:rsidR="00E77738" w:rsidRPr="008F1406" w:rsidRDefault="00E51AB9" w:rsidP="00815B20">
      <w:pPr>
        <w:pStyle w:val="Tekstpodstawowy"/>
        <w:jc w:val="center"/>
        <w:rPr>
          <w:rFonts w:ascii="Lato" w:hAnsi="Lato" w:cs="Times New Roman"/>
          <w:i/>
          <w:szCs w:val="20"/>
        </w:rPr>
      </w:pPr>
      <w:r w:rsidRPr="008F1406">
        <w:rPr>
          <w:rFonts w:ascii="Lato" w:hAnsi="Lato" w:cs="Times New Roman"/>
          <w:i/>
          <w:sz w:val="20"/>
          <w:szCs w:val="20"/>
        </w:rPr>
        <w:t>Ź</w:t>
      </w:r>
      <w:r w:rsidR="00E77738" w:rsidRPr="008F1406">
        <w:rPr>
          <w:rFonts w:ascii="Lato" w:hAnsi="Lato" w:cs="Times New Roman"/>
          <w:i/>
          <w:sz w:val="20"/>
          <w:szCs w:val="20"/>
        </w:rPr>
        <w:t>ródło: GUS, obliczenia własne</w:t>
      </w:r>
    </w:p>
    <w:p w:rsidR="0050013E" w:rsidRPr="00D352C4" w:rsidRDefault="0050013E" w:rsidP="0050013E">
      <w:pPr>
        <w:jc w:val="both"/>
        <w:rPr>
          <w:rFonts w:ascii="Lato" w:hAnsi="Lato"/>
          <w:highlight w:val="yellow"/>
        </w:rPr>
      </w:pPr>
    </w:p>
    <w:p w:rsidR="00544014" w:rsidRPr="00C60BC0" w:rsidRDefault="000743CF" w:rsidP="00C729D3">
      <w:pPr>
        <w:ind w:firstLine="709"/>
        <w:jc w:val="both"/>
        <w:rPr>
          <w:rFonts w:ascii="Lato" w:hAnsi="Lato"/>
        </w:rPr>
      </w:pPr>
      <w:bookmarkStart w:id="64" w:name="_Toc140645020"/>
      <w:bookmarkStart w:id="65" w:name="_Toc217206090"/>
      <w:r w:rsidRPr="00C60BC0">
        <w:rPr>
          <w:rFonts w:ascii="Lato" w:hAnsi="Lato"/>
        </w:rPr>
        <w:t>W ostatnich latach liczba ludności w wieku przedprodukcyjnym i poprodukcyjnym uległa spadkowi w stosunku do liczby ludności w wieku produkcyjnym, co oznacza, że jest to społeczeństwo młode. Gmina Pabianice pod tym względem różni się od powiatu pabianickiego i województwa łódzkiego, w którym się znajduje. Gminy Pabianice nie dotyczy problem starzejącego się społeczeństwa, mimo że jest to problem praktycznie całego kraju.</w:t>
      </w:r>
    </w:p>
    <w:p w:rsidR="00EF0892" w:rsidRPr="001A73D2" w:rsidRDefault="00544014" w:rsidP="00C729D3">
      <w:pPr>
        <w:ind w:firstLine="709"/>
        <w:jc w:val="both"/>
        <w:rPr>
          <w:rFonts w:ascii="Lato" w:hAnsi="Lato"/>
        </w:rPr>
      </w:pPr>
      <w:r w:rsidRPr="00C60BC0">
        <w:rPr>
          <w:rFonts w:ascii="Lato" w:hAnsi="Lato"/>
        </w:rPr>
        <w:t>Liczba ludności w wieku produkcyjnym (w roku 201</w:t>
      </w:r>
      <w:r w:rsidR="009F1026" w:rsidRPr="00C60BC0">
        <w:rPr>
          <w:rFonts w:ascii="Lato" w:hAnsi="Lato"/>
        </w:rPr>
        <w:t>7</w:t>
      </w:r>
      <w:r w:rsidRPr="00C60BC0">
        <w:rPr>
          <w:rFonts w:ascii="Lato" w:hAnsi="Lato"/>
        </w:rPr>
        <w:t xml:space="preserve"> udział tej grupy w całkowitej liczbie ludności wyniósł </w:t>
      </w:r>
      <w:r w:rsidR="0080637B" w:rsidRPr="00C60BC0">
        <w:rPr>
          <w:rFonts w:ascii="Lato" w:hAnsi="Lato"/>
        </w:rPr>
        <w:t>61,</w:t>
      </w:r>
      <w:r w:rsidR="001A73D2" w:rsidRPr="00C60BC0">
        <w:rPr>
          <w:rFonts w:ascii="Lato" w:hAnsi="Lato"/>
        </w:rPr>
        <w:t>8</w:t>
      </w:r>
      <w:r w:rsidRPr="00C60BC0">
        <w:rPr>
          <w:rFonts w:ascii="Lato" w:hAnsi="Lato"/>
        </w:rPr>
        <w:t xml:space="preserve">%) </w:t>
      </w:r>
      <w:r w:rsidR="001A73D2" w:rsidRPr="00C60BC0">
        <w:rPr>
          <w:rFonts w:ascii="Lato" w:hAnsi="Lato"/>
        </w:rPr>
        <w:t>wzrosła</w:t>
      </w:r>
      <w:r w:rsidRPr="00C60BC0">
        <w:rPr>
          <w:rFonts w:ascii="Lato" w:hAnsi="Lato"/>
        </w:rPr>
        <w:t xml:space="preserve">. Natomiast stosunek liczby mieszkańców pracujących w odniesieniu do wszystkich mieszkańców w wieku produkcyjnym - na przestrzeni omawianego przedziału czasowego – </w:t>
      </w:r>
      <w:r w:rsidR="000B2BBC" w:rsidRPr="00C60BC0">
        <w:rPr>
          <w:rFonts w:ascii="Lato" w:hAnsi="Lato"/>
        </w:rPr>
        <w:t>spadł</w:t>
      </w:r>
      <w:r w:rsidRPr="00C60BC0">
        <w:rPr>
          <w:rFonts w:ascii="Lato" w:hAnsi="Lato"/>
        </w:rPr>
        <w:t xml:space="preserve"> o nieco ponad </w:t>
      </w:r>
      <w:r w:rsidR="00DC3CC6" w:rsidRPr="00C60BC0">
        <w:rPr>
          <w:rFonts w:ascii="Lato" w:hAnsi="Lato"/>
        </w:rPr>
        <w:t>4</w:t>
      </w:r>
      <w:r w:rsidRPr="00C60BC0">
        <w:rPr>
          <w:rFonts w:ascii="Lato" w:hAnsi="Lato"/>
        </w:rPr>
        <w:t xml:space="preserve">%. </w:t>
      </w:r>
      <w:r w:rsidR="00EF0892" w:rsidRPr="00C60BC0">
        <w:rPr>
          <w:rFonts w:ascii="Lato" w:hAnsi="Lato"/>
        </w:rPr>
        <w:t>Pozytywnym</w:t>
      </w:r>
      <w:r w:rsidR="00EF0892" w:rsidRPr="001A73D2">
        <w:rPr>
          <w:rFonts w:ascii="Lato" w:hAnsi="Lato"/>
        </w:rPr>
        <w:t xml:space="preserve"> zjawiskiem jest także rosnąca liczba podmiotów gospodarczych, co świadczy o rozwoju gospodarczym gminy.</w:t>
      </w:r>
    </w:p>
    <w:p w:rsidR="002D68F3" w:rsidRDefault="00EF0892" w:rsidP="00C729D3">
      <w:pPr>
        <w:ind w:firstLine="709"/>
        <w:jc w:val="both"/>
        <w:rPr>
          <w:rFonts w:ascii="Lato" w:hAnsi="Lato"/>
        </w:rPr>
      </w:pPr>
      <w:r w:rsidRPr="001A73D2">
        <w:rPr>
          <w:rFonts w:ascii="Lato" w:hAnsi="Lato"/>
        </w:rPr>
        <w:t>W kolejnej tabeli zestawiono wskaźniki zmian związanych z rynkiem pracy w gminie, powiecie, województwie oraz całym kraju.</w:t>
      </w:r>
    </w:p>
    <w:p w:rsidR="00D461E0" w:rsidRPr="001A73D2" w:rsidRDefault="00D461E0" w:rsidP="00C729D3">
      <w:pPr>
        <w:ind w:firstLine="709"/>
        <w:jc w:val="both"/>
        <w:rPr>
          <w:rFonts w:ascii="Lato" w:hAnsi="Lato"/>
        </w:rPr>
      </w:pPr>
    </w:p>
    <w:p w:rsidR="0050013E" w:rsidRPr="006245BD" w:rsidRDefault="0066787F" w:rsidP="00C54B26">
      <w:pPr>
        <w:pStyle w:val="Legenda"/>
        <w:rPr>
          <w:rFonts w:ascii="Lato" w:hAnsi="Lato"/>
          <w:color w:val="365F91"/>
          <w:sz w:val="20"/>
          <w:szCs w:val="20"/>
        </w:rPr>
      </w:pPr>
      <w:r>
        <w:rPr>
          <w:rFonts w:ascii="Lato" w:hAnsi="Lato"/>
          <w:color w:val="365F91"/>
          <w:sz w:val="20"/>
          <w:szCs w:val="20"/>
        </w:rPr>
        <w:br w:type="page"/>
      </w:r>
      <w:bookmarkStart w:id="66" w:name="_Toc20219161"/>
      <w:r w:rsidR="0050013E" w:rsidRPr="006245BD">
        <w:rPr>
          <w:rFonts w:ascii="Lato" w:hAnsi="Lato"/>
          <w:color w:val="365F91"/>
          <w:sz w:val="20"/>
          <w:szCs w:val="20"/>
        </w:rPr>
        <w:lastRenderedPageBreak/>
        <w:t xml:space="preserve">Tabela </w:t>
      </w:r>
      <w:r w:rsidR="004042AE" w:rsidRPr="006245BD">
        <w:rPr>
          <w:rFonts w:ascii="Lato" w:hAnsi="Lato"/>
          <w:color w:val="365F91"/>
          <w:sz w:val="20"/>
          <w:szCs w:val="20"/>
        </w:rPr>
        <w:fldChar w:fldCharType="begin"/>
      </w:r>
      <w:r w:rsidR="005430ED" w:rsidRPr="006245BD">
        <w:rPr>
          <w:rFonts w:ascii="Lato" w:hAnsi="Lato"/>
          <w:color w:val="365F91"/>
          <w:sz w:val="20"/>
          <w:szCs w:val="20"/>
        </w:rPr>
        <w:instrText xml:space="preserve"> STYLEREF 1 \s </w:instrText>
      </w:r>
      <w:r w:rsidR="004042AE" w:rsidRPr="006245BD">
        <w:rPr>
          <w:rFonts w:ascii="Lato" w:hAnsi="Lato"/>
          <w:color w:val="365F91"/>
          <w:sz w:val="20"/>
          <w:szCs w:val="20"/>
        </w:rPr>
        <w:fldChar w:fldCharType="separate"/>
      </w:r>
      <w:r w:rsidR="0040205B">
        <w:rPr>
          <w:rFonts w:ascii="Lato" w:hAnsi="Lato"/>
          <w:noProof/>
          <w:color w:val="365F91"/>
          <w:sz w:val="20"/>
          <w:szCs w:val="20"/>
        </w:rPr>
        <w:t>1</w:t>
      </w:r>
      <w:r w:rsidR="004042AE" w:rsidRPr="006245BD">
        <w:rPr>
          <w:rFonts w:ascii="Lato" w:hAnsi="Lato"/>
          <w:color w:val="365F91"/>
          <w:sz w:val="20"/>
          <w:szCs w:val="20"/>
        </w:rPr>
        <w:fldChar w:fldCharType="end"/>
      </w:r>
      <w:r w:rsidR="005430ED" w:rsidRPr="006245BD">
        <w:rPr>
          <w:rFonts w:ascii="Lato" w:hAnsi="Lato"/>
          <w:color w:val="365F91"/>
          <w:sz w:val="20"/>
          <w:szCs w:val="20"/>
        </w:rPr>
        <w:noBreakHyphen/>
      </w:r>
      <w:r w:rsidR="004042AE" w:rsidRPr="006245BD">
        <w:rPr>
          <w:rFonts w:ascii="Lato" w:hAnsi="Lato"/>
          <w:color w:val="365F91"/>
          <w:sz w:val="20"/>
          <w:szCs w:val="20"/>
        </w:rPr>
        <w:fldChar w:fldCharType="begin"/>
      </w:r>
      <w:r w:rsidR="005430ED" w:rsidRPr="006245BD">
        <w:rPr>
          <w:rFonts w:ascii="Lato" w:hAnsi="Lato"/>
          <w:color w:val="365F91"/>
          <w:sz w:val="20"/>
          <w:szCs w:val="20"/>
        </w:rPr>
        <w:instrText xml:space="preserve"> SEQ Tabela \* ARABIC \s 1 </w:instrText>
      </w:r>
      <w:r w:rsidR="004042AE" w:rsidRPr="006245BD">
        <w:rPr>
          <w:rFonts w:ascii="Lato" w:hAnsi="Lato"/>
          <w:color w:val="365F91"/>
          <w:sz w:val="20"/>
          <w:szCs w:val="20"/>
        </w:rPr>
        <w:fldChar w:fldCharType="separate"/>
      </w:r>
      <w:r w:rsidR="0040205B">
        <w:rPr>
          <w:rFonts w:ascii="Lato" w:hAnsi="Lato"/>
          <w:noProof/>
          <w:color w:val="365F91"/>
          <w:sz w:val="20"/>
          <w:szCs w:val="20"/>
        </w:rPr>
        <w:t>2</w:t>
      </w:r>
      <w:r w:rsidR="004042AE" w:rsidRPr="006245BD">
        <w:rPr>
          <w:rFonts w:ascii="Lato" w:hAnsi="Lato"/>
          <w:color w:val="365F91"/>
          <w:sz w:val="20"/>
          <w:szCs w:val="20"/>
        </w:rPr>
        <w:fldChar w:fldCharType="end"/>
      </w:r>
      <w:r w:rsidR="00E05AD8" w:rsidRPr="006245BD">
        <w:rPr>
          <w:rFonts w:ascii="Lato" w:hAnsi="Lato"/>
          <w:color w:val="365F91"/>
          <w:sz w:val="20"/>
          <w:szCs w:val="20"/>
        </w:rPr>
        <w:t xml:space="preserve"> </w:t>
      </w:r>
      <w:r w:rsidR="0050013E" w:rsidRPr="006245BD">
        <w:rPr>
          <w:rFonts w:ascii="Lato" w:hAnsi="Lato"/>
          <w:color w:val="365F91"/>
          <w:sz w:val="20"/>
          <w:szCs w:val="20"/>
        </w:rPr>
        <w:t xml:space="preserve">Wskaźniki zmian </w:t>
      </w:r>
      <w:bookmarkEnd w:id="64"/>
      <w:r w:rsidR="0050013E" w:rsidRPr="006245BD">
        <w:rPr>
          <w:rFonts w:ascii="Lato" w:hAnsi="Lato"/>
          <w:color w:val="365F91"/>
          <w:sz w:val="20"/>
          <w:szCs w:val="20"/>
        </w:rPr>
        <w:t>związanych z rynkiem pracy</w:t>
      </w:r>
      <w:bookmarkEnd w:id="65"/>
      <w:bookmarkEnd w:id="66"/>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70" w:type="dxa"/>
          <w:right w:w="70" w:type="dxa"/>
        </w:tblCellMar>
        <w:tblLook w:val="04A0" w:firstRow="1" w:lastRow="0" w:firstColumn="1" w:lastColumn="0" w:noHBand="0" w:noVBand="1"/>
      </w:tblPr>
      <w:tblGrid>
        <w:gridCol w:w="5032"/>
        <w:gridCol w:w="1416"/>
        <w:gridCol w:w="1135"/>
        <w:gridCol w:w="1175"/>
        <w:gridCol w:w="1247"/>
      </w:tblGrid>
      <w:tr w:rsidR="00403573" w:rsidRPr="006245BD" w:rsidTr="00145E29">
        <w:trPr>
          <w:cantSplit/>
          <w:trHeight w:val="540"/>
          <w:tblHeader/>
        </w:trPr>
        <w:tc>
          <w:tcPr>
            <w:tcW w:w="3222" w:type="pct"/>
            <w:gridSpan w:val="2"/>
            <w:shd w:val="clear" w:color="auto" w:fill="DBE5F1"/>
            <w:noWrap/>
            <w:vAlign w:val="center"/>
            <w:hideMark/>
          </w:tcPr>
          <w:p w:rsidR="00403573" w:rsidRPr="006245BD" w:rsidRDefault="00403573"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Wskaźnik</w:t>
            </w:r>
          </w:p>
        </w:tc>
        <w:tc>
          <w:tcPr>
            <w:tcW w:w="567" w:type="pct"/>
            <w:shd w:val="clear" w:color="auto" w:fill="DBE5F1"/>
            <w:noWrap/>
            <w:vAlign w:val="center"/>
            <w:hideMark/>
          </w:tcPr>
          <w:p w:rsidR="00403573" w:rsidRPr="006245BD" w:rsidRDefault="00403573"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Wielkość</w:t>
            </w:r>
          </w:p>
        </w:tc>
        <w:tc>
          <w:tcPr>
            <w:tcW w:w="587" w:type="pct"/>
            <w:shd w:val="clear" w:color="auto" w:fill="DBE5F1"/>
            <w:noWrap/>
            <w:vAlign w:val="center"/>
            <w:hideMark/>
          </w:tcPr>
          <w:p w:rsidR="00403573" w:rsidRPr="006245BD" w:rsidRDefault="00403573"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Jednostka</w:t>
            </w:r>
          </w:p>
        </w:tc>
        <w:tc>
          <w:tcPr>
            <w:tcW w:w="623" w:type="pct"/>
            <w:shd w:val="clear" w:color="auto" w:fill="DBE5F1"/>
            <w:vAlign w:val="center"/>
            <w:hideMark/>
          </w:tcPr>
          <w:p w:rsidR="00403573" w:rsidRPr="006245BD" w:rsidRDefault="00403573"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Trend z lat 1995-2014</w:t>
            </w:r>
          </w:p>
        </w:tc>
      </w:tr>
      <w:tr w:rsidR="00403573" w:rsidRPr="006245BD" w:rsidTr="00145E29">
        <w:trPr>
          <w:trHeight w:val="282"/>
        </w:trPr>
        <w:tc>
          <w:tcPr>
            <w:tcW w:w="2515" w:type="pct"/>
            <w:vMerge w:val="restart"/>
            <w:shd w:val="clear" w:color="auto" w:fill="auto"/>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Ludność w wieku produkcyjnym do liczby mieszkańców ogółem</w:t>
            </w: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b/>
                <w:color w:val="1F497D"/>
                <w:sz w:val="18"/>
                <w:szCs w:val="18"/>
              </w:rPr>
            </w:pPr>
            <w:r w:rsidRPr="006245BD">
              <w:rPr>
                <w:rFonts w:ascii="Lato" w:hAnsi="Lato"/>
                <w:b/>
                <w:color w:val="1F497D"/>
                <w:sz w:val="18"/>
                <w:szCs w:val="18"/>
              </w:rPr>
              <w:t>gmina</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61,8</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w:t>
            </w:r>
          </w:p>
        </w:tc>
        <w:tc>
          <w:tcPr>
            <w:tcW w:w="623" w:type="pct"/>
            <w:shd w:val="clear" w:color="auto" w:fill="auto"/>
            <w:noWrap/>
            <w:vAlign w:val="center"/>
            <w:hideMark/>
          </w:tcPr>
          <w:p w:rsidR="00403573" w:rsidRPr="006245BD" w:rsidRDefault="00570AA5" w:rsidP="009311F5">
            <w:pPr>
              <w:spacing w:line="240" w:lineRule="auto"/>
              <w:ind w:firstLine="0"/>
              <w:jc w:val="center"/>
              <w:rPr>
                <w:rFonts w:ascii="Wingdings" w:hAnsi="Wingdings"/>
                <w:color w:val="008000"/>
              </w:rPr>
            </w:pPr>
            <w:r w:rsidRPr="006245BD">
              <w:rPr>
                <w:rFonts w:ascii="Wingdings" w:hAnsi="Wingdings" w:cs="Arial"/>
                <w:color w:val="008000"/>
              </w:rPr>
              <w:t></w:t>
            </w:r>
          </w:p>
        </w:tc>
      </w:tr>
      <w:tr w:rsidR="00403573" w:rsidRPr="006245BD" w:rsidTr="00145E29">
        <w:trPr>
          <w:trHeight w:val="282"/>
        </w:trPr>
        <w:tc>
          <w:tcPr>
            <w:tcW w:w="2515" w:type="pct"/>
            <w:vMerge/>
            <w:vAlign w:val="center"/>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powiat</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59,8</w:t>
            </w:r>
          </w:p>
        </w:tc>
        <w:tc>
          <w:tcPr>
            <w:tcW w:w="587" w:type="pct"/>
            <w:shd w:val="clear" w:color="auto" w:fill="auto"/>
            <w:noWrap/>
            <w:vAlign w:val="center"/>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tcPr>
          <w:p w:rsidR="00403573" w:rsidRPr="006245BD" w:rsidRDefault="006245BD" w:rsidP="009311F5">
            <w:pPr>
              <w:spacing w:line="240" w:lineRule="auto"/>
              <w:ind w:firstLine="0"/>
              <w:jc w:val="center"/>
              <w:rPr>
                <w:rFonts w:ascii="Wingdings" w:hAnsi="Wingdings"/>
                <w:color w:val="008000"/>
              </w:rPr>
            </w:pPr>
            <w:r w:rsidRPr="006245BD">
              <w:rPr>
                <w:rFonts w:ascii="Wingdings" w:hAnsi="Wingdings"/>
                <w:color w:val="FF0000"/>
              </w:rPr>
              <w:t></w:t>
            </w:r>
          </w:p>
        </w:tc>
      </w:tr>
      <w:tr w:rsidR="00403573" w:rsidRPr="006245BD" w:rsidTr="00145E29">
        <w:trPr>
          <w:trHeight w:val="282"/>
        </w:trPr>
        <w:tc>
          <w:tcPr>
            <w:tcW w:w="2515" w:type="pct"/>
            <w:vMerge/>
            <w:vAlign w:val="center"/>
            <w:hideMark/>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województwo</w:t>
            </w:r>
          </w:p>
        </w:tc>
        <w:tc>
          <w:tcPr>
            <w:tcW w:w="567" w:type="pct"/>
            <w:shd w:val="clear" w:color="auto" w:fill="auto"/>
            <w:noWrap/>
            <w:vAlign w:val="center"/>
          </w:tcPr>
          <w:p w:rsidR="00403573" w:rsidRPr="006245BD" w:rsidRDefault="006245BD" w:rsidP="00346900">
            <w:pPr>
              <w:spacing w:line="240" w:lineRule="auto"/>
              <w:ind w:firstLine="0"/>
              <w:jc w:val="center"/>
              <w:rPr>
                <w:rFonts w:ascii="Lato" w:hAnsi="Lato"/>
                <w:bCs/>
                <w:color w:val="1F497D"/>
                <w:sz w:val="18"/>
                <w:szCs w:val="18"/>
              </w:rPr>
            </w:pPr>
            <w:r w:rsidRPr="006245BD">
              <w:rPr>
                <w:rFonts w:ascii="Lato" w:hAnsi="Lato"/>
                <w:bCs/>
                <w:color w:val="1F497D"/>
                <w:sz w:val="18"/>
                <w:szCs w:val="18"/>
              </w:rPr>
              <w:t>60,0</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hideMark/>
          </w:tcPr>
          <w:p w:rsidR="00403573" w:rsidRPr="006245BD" w:rsidRDefault="00346900" w:rsidP="009311F5">
            <w:pPr>
              <w:spacing w:line="240" w:lineRule="auto"/>
              <w:ind w:firstLine="0"/>
              <w:jc w:val="center"/>
              <w:rPr>
                <w:rFonts w:ascii="Wingdings" w:hAnsi="Wingdings"/>
                <w:color w:val="008000"/>
              </w:rPr>
            </w:pPr>
            <w:r w:rsidRPr="006245BD">
              <w:rPr>
                <w:rFonts w:ascii="Wingdings" w:hAnsi="Wingdings"/>
                <w:color w:val="FF0000"/>
              </w:rPr>
              <w:t></w:t>
            </w:r>
          </w:p>
        </w:tc>
      </w:tr>
      <w:tr w:rsidR="00403573" w:rsidRPr="006245BD" w:rsidTr="00145E29">
        <w:trPr>
          <w:trHeight w:val="282"/>
        </w:trPr>
        <w:tc>
          <w:tcPr>
            <w:tcW w:w="2515" w:type="pct"/>
            <w:vMerge/>
            <w:vAlign w:val="center"/>
            <w:hideMark/>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kraj</w:t>
            </w:r>
          </w:p>
        </w:tc>
        <w:tc>
          <w:tcPr>
            <w:tcW w:w="567" w:type="pct"/>
            <w:shd w:val="clear" w:color="auto" w:fill="auto"/>
            <w:noWrap/>
            <w:vAlign w:val="center"/>
          </w:tcPr>
          <w:p w:rsidR="00403573" w:rsidRPr="006245BD" w:rsidRDefault="006245BD" w:rsidP="00346900">
            <w:pPr>
              <w:spacing w:line="240" w:lineRule="auto"/>
              <w:ind w:firstLine="0"/>
              <w:jc w:val="center"/>
              <w:rPr>
                <w:rFonts w:ascii="Lato" w:hAnsi="Lato"/>
                <w:bCs/>
                <w:color w:val="1F497D"/>
                <w:sz w:val="18"/>
                <w:szCs w:val="18"/>
              </w:rPr>
            </w:pPr>
            <w:r w:rsidRPr="006245BD">
              <w:rPr>
                <w:rFonts w:ascii="Lato" w:hAnsi="Lato"/>
                <w:bCs/>
                <w:color w:val="1F497D"/>
                <w:sz w:val="18"/>
                <w:szCs w:val="18"/>
              </w:rPr>
              <w:t>61,2</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hideMark/>
          </w:tcPr>
          <w:p w:rsidR="00403573" w:rsidRPr="006245BD" w:rsidRDefault="00570AA5" w:rsidP="009311F5">
            <w:pPr>
              <w:spacing w:line="240" w:lineRule="auto"/>
              <w:ind w:firstLine="0"/>
              <w:jc w:val="center"/>
              <w:rPr>
                <w:rFonts w:ascii="Wingdings" w:hAnsi="Wingdings"/>
                <w:color w:val="008000"/>
              </w:rPr>
            </w:pPr>
            <w:r w:rsidRPr="006245BD">
              <w:rPr>
                <w:rFonts w:ascii="Wingdings" w:hAnsi="Wingdings" w:cs="Arial"/>
                <w:color w:val="008000"/>
              </w:rPr>
              <w:t></w:t>
            </w:r>
          </w:p>
        </w:tc>
      </w:tr>
      <w:tr w:rsidR="00403573" w:rsidRPr="006245BD" w:rsidTr="00145E29">
        <w:trPr>
          <w:trHeight w:val="282"/>
        </w:trPr>
        <w:tc>
          <w:tcPr>
            <w:tcW w:w="2515" w:type="pct"/>
            <w:vMerge w:val="restart"/>
            <w:shd w:val="clear" w:color="auto" w:fill="auto"/>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Ludność w wieku poprodukcyjnym do liczby mieszkańców ogółem</w:t>
            </w: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b/>
                <w:color w:val="1F497D"/>
                <w:sz w:val="18"/>
                <w:szCs w:val="18"/>
              </w:rPr>
            </w:pPr>
            <w:r w:rsidRPr="006245BD">
              <w:rPr>
                <w:rFonts w:ascii="Lato" w:hAnsi="Lato"/>
                <w:b/>
                <w:color w:val="1F497D"/>
                <w:sz w:val="18"/>
                <w:szCs w:val="18"/>
              </w:rPr>
              <w:t>gmina</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17,4</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w:t>
            </w:r>
          </w:p>
        </w:tc>
        <w:tc>
          <w:tcPr>
            <w:tcW w:w="623" w:type="pct"/>
            <w:shd w:val="clear" w:color="auto" w:fill="auto"/>
            <w:noWrap/>
            <w:vAlign w:val="center"/>
            <w:hideMark/>
          </w:tcPr>
          <w:p w:rsidR="00403573" w:rsidRPr="006245BD" w:rsidRDefault="006245BD" w:rsidP="009311F5">
            <w:pPr>
              <w:spacing w:line="240" w:lineRule="auto"/>
              <w:ind w:firstLine="0"/>
              <w:jc w:val="center"/>
              <w:rPr>
                <w:rFonts w:ascii="Wingdings" w:hAnsi="Wingdings"/>
                <w:color w:val="008000"/>
              </w:rPr>
            </w:pPr>
            <w:r w:rsidRPr="006245BD">
              <w:rPr>
                <w:rFonts w:ascii="Wingdings" w:hAnsi="Wingdings"/>
                <w:color w:val="FF0000"/>
              </w:rPr>
              <w:t></w:t>
            </w:r>
          </w:p>
        </w:tc>
      </w:tr>
      <w:tr w:rsidR="00403573" w:rsidRPr="006245BD" w:rsidTr="00145E29">
        <w:trPr>
          <w:trHeight w:val="282"/>
        </w:trPr>
        <w:tc>
          <w:tcPr>
            <w:tcW w:w="2515" w:type="pct"/>
            <w:vMerge/>
            <w:vAlign w:val="center"/>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powiat</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23,7</w:t>
            </w:r>
          </w:p>
        </w:tc>
        <w:tc>
          <w:tcPr>
            <w:tcW w:w="587" w:type="pct"/>
            <w:shd w:val="clear" w:color="auto" w:fill="auto"/>
            <w:noWrap/>
            <w:vAlign w:val="center"/>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tcPr>
          <w:p w:rsidR="00403573" w:rsidRPr="006245BD" w:rsidRDefault="00570AA5" w:rsidP="009311F5">
            <w:pPr>
              <w:spacing w:line="240" w:lineRule="auto"/>
              <w:ind w:firstLine="0"/>
              <w:jc w:val="center"/>
              <w:rPr>
                <w:rFonts w:ascii="Wingdings" w:hAnsi="Wingdings"/>
                <w:color w:val="008000"/>
              </w:rPr>
            </w:pPr>
            <w:r w:rsidRPr="006245BD">
              <w:rPr>
                <w:rFonts w:ascii="Wingdings" w:hAnsi="Wingdings" w:cs="Arial"/>
                <w:color w:val="008000"/>
              </w:rPr>
              <w:t></w:t>
            </w:r>
          </w:p>
        </w:tc>
      </w:tr>
      <w:tr w:rsidR="00403573" w:rsidRPr="006245BD" w:rsidTr="00145E29">
        <w:trPr>
          <w:trHeight w:val="282"/>
        </w:trPr>
        <w:tc>
          <w:tcPr>
            <w:tcW w:w="2515" w:type="pct"/>
            <w:vMerge/>
            <w:vAlign w:val="center"/>
            <w:hideMark/>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województwo</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23,1</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hideMark/>
          </w:tcPr>
          <w:p w:rsidR="00403573" w:rsidRPr="006245BD" w:rsidRDefault="00570AA5" w:rsidP="009311F5">
            <w:pPr>
              <w:spacing w:line="240" w:lineRule="auto"/>
              <w:ind w:firstLine="0"/>
              <w:jc w:val="center"/>
              <w:rPr>
                <w:rFonts w:ascii="Wingdings" w:hAnsi="Wingdings"/>
                <w:color w:val="008000"/>
              </w:rPr>
            </w:pPr>
            <w:r w:rsidRPr="006245BD">
              <w:rPr>
                <w:rFonts w:ascii="Wingdings" w:hAnsi="Wingdings" w:cs="Arial"/>
                <w:color w:val="008000"/>
              </w:rPr>
              <w:t></w:t>
            </w:r>
          </w:p>
        </w:tc>
      </w:tr>
      <w:tr w:rsidR="00403573" w:rsidRPr="006245BD" w:rsidTr="00145E29">
        <w:trPr>
          <w:trHeight w:val="282"/>
        </w:trPr>
        <w:tc>
          <w:tcPr>
            <w:tcW w:w="2515" w:type="pct"/>
            <w:vMerge/>
            <w:vAlign w:val="center"/>
            <w:hideMark/>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kraj</w:t>
            </w:r>
          </w:p>
        </w:tc>
        <w:tc>
          <w:tcPr>
            <w:tcW w:w="567" w:type="pct"/>
            <w:shd w:val="clear" w:color="auto" w:fill="auto"/>
            <w:noWrap/>
            <w:vAlign w:val="center"/>
          </w:tcPr>
          <w:p w:rsidR="00403573" w:rsidRPr="006245BD" w:rsidRDefault="006245BD" w:rsidP="00346900">
            <w:pPr>
              <w:spacing w:line="240" w:lineRule="auto"/>
              <w:ind w:firstLine="0"/>
              <w:jc w:val="center"/>
              <w:rPr>
                <w:rFonts w:ascii="Lato" w:hAnsi="Lato"/>
                <w:bCs/>
                <w:color w:val="1F497D"/>
                <w:sz w:val="18"/>
                <w:szCs w:val="18"/>
              </w:rPr>
            </w:pPr>
            <w:r w:rsidRPr="006245BD">
              <w:rPr>
                <w:rFonts w:ascii="Lato" w:hAnsi="Lato"/>
                <w:bCs/>
                <w:color w:val="1F497D"/>
                <w:sz w:val="18"/>
                <w:szCs w:val="18"/>
              </w:rPr>
              <w:t>20,8</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hideMark/>
          </w:tcPr>
          <w:p w:rsidR="00403573" w:rsidRPr="006245BD" w:rsidRDefault="00570AA5" w:rsidP="009311F5">
            <w:pPr>
              <w:spacing w:line="240" w:lineRule="auto"/>
              <w:ind w:firstLine="0"/>
              <w:jc w:val="center"/>
              <w:rPr>
                <w:rFonts w:ascii="Wingdings" w:hAnsi="Wingdings"/>
                <w:color w:val="008000"/>
              </w:rPr>
            </w:pPr>
            <w:r w:rsidRPr="006245BD">
              <w:rPr>
                <w:rFonts w:ascii="Wingdings" w:hAnsi="Wingdings" w:cs="Arial"/>
                <w:color w:val="008000"/>
              </w:rPr>
              <w:t></w:t>
            </w:r>
          </w:p>
        </w:tc>
      </w:tr>
      <w:tr w:rsidR="00403573" w:rsidRPr="006245BD" w:rsidTr="00145E29">
        <w:trPr>
          <w:trHeight w:val="282"/>
        </w:trPr>
        <w:tc>
          <w:tcPr>
            <w:tcW w:w="2515" w:type="pct"/>
            <w:vMerge w:val="restart"/>
            <w:shd w:val="clear" w:color="auto" w:fill="auto"/>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Ludność w wieku przedprodukcyjnym do liczby mieszkańców ogółem</w:t>
            </w: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b/>
                <w:color w:val="1F497D"/>
                <w:sz w:val="18"/>
                <w:szCs w:val="18"/>
              </w:rPr>
            </w:pPr>
            <w:r w:rsidRPr="006245BD">
              <w:rPr>
                <w:rFonts w:ascii="Lato" w:hAnsi="Lato"/>
                <w:b/>
                <w:color w:val="1F497D"/>
                <w:sz w:val="18"/>
                <w:szCs w:val="18"/>
              </w:rPr>
              <w:t>gmina</w:t>
            </w:r>
          </w:p>
        </w:tc>
        <w:tc>
          <w:tcPr>
            <w:tcW w:w="567" w:type="pct"/>
            <w:shd w:val="clear" w:color="auto" w:fill="auto"/>
            <w:noWrap/>
            <w:vAlign w:val="center"/>
          </w:tcPr>
          <w:p w:rsidR="00403573" w:rsidRPr="006245BD" w:rsidRDefault="006245BD" w:rsidP="005E3980">
            <w:pPr>
              <w:spacing w:line="240" w:lineRule="auto"/>
              <w:ind w:firstLine="0"/>
              <w:jc w:val="center"/>
              <w:rPr>
                <w:rFonts w:ascii="Lato" w:hAnsi="Lato"/>
                <w:b/>
                <w:bCs/>
                <w:color w:val="1F497D"/>
                <w:sz w:val="18"/>
                <w:szCs w:val="18"/>
              </w:rPr>
            </w:pPr>
            <w:r w:rsidRPr="006245BD">
              <w:rPr>
                <w:rFonts w:ascii="Lato" w:hAnsi="Lato"/>
                <w:b/>
                <w:bCs/>
                <w:color w:val="1F497D"/>
                <w:sz w:val="18"/>
                <w:szCs w:val="18"/>
              </w:rPr>
              <w:t>20,8</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w:t>
            </w:r>
          </w:p>
        </w:tc>
        <w:tc>
          <w:tcPr>
            <w:tcW w:w="623" w:type="pct"/>
            <w:shd w:val="clear" w:color="auto" w:fill="auto"/>
            <w:noWrap/>
            <w:vAlign w:val="center"/>
            <w:hideMark/>
          </w:tcPr>
          <w:p w:rsidR="00403573" w:rsidRPr="006245BD" w:rsidRDefault="00403573" w:rsidP="009311F5">
            <w:pPr>
              <w:spacing w:line="240" w:lineRule="auto"/>
              <w:ind w:firstLine="0"/>
              <w:jc w:val="center"/>
              <w:rPr>
                <w:rFonts w:ascii="Wingdings" w:hAnsi="Wingdings"/>
                <w:color w:val="FF0000"/>
              </w:rPr>
            </w:pPr>
            <w:r w:rsidRPr="006245BD">
              <w:rPr>
                <w:rFonts w:ascii="Wingdings" w:hAnsi="Wingdings"/>
                <w:color w:val="FF0000"/>
              </w:rPr>
              <w:t></w:t>
            </w:r>
          </w:p>
        </w:tc>
      </w:tr>
      <w:tr w:rsidR="00403573" w:rsidRPr="006245BD" w:rsidTr="00145E29">
        <w:trPr>
          <w:trHeight w:val="282"/>
        </w:trPr>
        <w:tc>
          <w:tcPr>
            <w:tcW w:w="2515" w:type="pct"/>
            <w:vMerge/>
            <w:vAlign w:val="center"/>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powiat</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16,4</w:t>
            </w:r>
          </w:p>
        </w:tc>
        <w:tc>
          <w:tcPr>
            <w:tcW w:w="587" w:type="pct"/>
            <w:shd w:val="clear" w:color="auto" w:fill="auto"/>
            <w:noWrap/>
            <w:vAlign w:val="center"/>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tcPr>
          <w:p w:rsidR="00403573" w:rsidRPr="006245BD" w:rsidRDefault="00403573" w:rsidP="009311F5">
            <w:pPr>
              <w:spacing w:line="240" w:lineRule="auto"/>
              <w:ind w:firstLine="0"/>
              <w:jc w:val="center"/>
              <w:rPr>
                <w:rFonts w:ascii="Wingdings" w:hAnsi="Wingdings"/>
                <w:color w:val="FF0000"/>
              </w:rPr>
            </w:pPr>
            <w:r w:rsidRPr="006245BD">
              <w:rPr>
                <w:rFonts w:ascii="Wingdings" w:hAnsi="Wingdings"/>
                <w:color w:val="FF0000"/>
              </w:rPr>
              <w:t></w:t>
            </w:r>
          </w:p>
        </w:tc>
      </w:tr>
      <w:tr w:rsidR="00403573" w:rsidRPr="006245BD" w:rsidTr="00145E29">
        <w:trPr>
          <w:trHeight w:val="282"/>
        </w:trPr>
        <w:tc>
          <w:tcPr>
            <w:tcW w:w="2515" w:type="pct"/>
            <w:vMerge/>
            <w:vAlign w:val="center"/>
            <w:hideMark/>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województwo</w:t>
            </w:r>
          </w:p>
        </w:tc>
        <w:tc>
          <w:tcPr>
            <w:tcW w:w="567" w:type="pct"/>
            <w:shd w:val="clear" w:color="auto" w:fill="auto"/>
            <w:noWrap/>
            <w:vAlign w:val="center"/>
          </w:tcPr>
          <w:p w:rsidR="00403573" w:rsidRPr="006245BD" w:rsidRDefault="006245BD" w:rsidP="00346900">
            <w:pPr>
              <w:spacing w:line="240" w:lineRule="auto"/>
              <w:ind w:firstLine="0"/>
              <w:jc w:val="center"/>
              <w:rPr>
                <w:rFonts w:ascii="Lato" w:hAnsi="Lato"/>
                <w:bCs/>
                <w:color w:val="1F497D"/>
                <w:sz w:val="18"/>
                <w:szCs w:val="18"/>
              </w:rPr>
            </w:pPr>
            <w:r w:rsidRPr="006245BD">
              <w:rPr>
                <w:rFonts w:ascii="Lato" w:hAnsi="Lato"/>
                <w:bCs/>
                <w:color w:val="1F497D"/>
                <w:sz w:val="18"/>
                <w:szCs w:val="18"/>
              </w:rPr>
              <w:t>16,9</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hideMark/>
          </w:tcPr>
          <w:p w:rsidR="00403573" w:rsidRPr="006245BD" w:rsidRDefault="00403573" w:rsidP="009311F5">
            <w:pPr>
              <w:spacing w:line="240" w:lineRule="auto"/>
              <w:ind w:firstLine="0"/>
              <w:jc w:val="center"/>
              <w:rPr>
                <w:rFonts w:ascii="Wingdings" w:hAnsi="Wingdings"/>
                <w:color w:val="FF0000"/>
              </w:rPr>
            </w:pPr>
            <w:r w:rsidRPr="006245BD">
              <w:rPr>
                <w:rFonts w:ascii="Wingdings" w:hAnsi="Wingdings"/>
                <w:color w:val="FF0000"/>
              </w:rPr>
              <w:t></w:t>
            </w:r>
          </w:p>
        </w:tc>
      </w:tr>
      <w:tr w:rsidR="00403573" w:rsidRPr="006245BD" w:rsidTr="00145E29">
        <w:trPr>
          <w:trHeight w:val="282"/>
        </w:trPr>
        <w:tc>
          <w:tcPr>
            <w:tcW w:w="2515" w:type="pct"/>
            <w:vMerge/>
            <w:vAlign w:val="center"/>
            <w:hideMark/>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kraj</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18,0</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hideMark/>
          </w:tcPr>
          <w:p w:rsidR="00403573" w:rsidRPr="006245BD" w:rsidRDefault="00403573" w:rsidP="009311F5">
            <w:pPr>
              <w:spacing w:line="240" w:lineRule="auto"/>
              <w:ind w:firstLine="0"/>
              <w:jc w:val="center"/>
              <w:rPr>
                <w:rFonts w:ascii="Wingdings" w:hAnsi="Wingdings"/>
                <w:color w:val="FF0000"/>
              </w:rPr>
            </w:pPr>
            <w:r w:rsidRPr="006245BD">
              <w:rPr>
                <w:rFonts w:ascii="Wingdings" w:hAnsi="Wingdings"/>
                <w:color w:val="FF0000"/>
              </w:rPr>
              <w:t></w:t>
            </w:r>
          </w:p>
        </w:tc>
      </w:tr>
      <w:tr w:rsidR="00403573" w:rsidRPr="006245BD" w:rsidTr="00145E29">
        <w:trPr>
          <w:trHeight w:val="282"/>
        </w:trPr>
        <w:tc>
          <w:tcPr>
            <w:tcW w:w="2515" w:type="pct"/>
            <w:vMerge w:val="restart"/>
            <w:shd w:val="clear" w:color="auto" w:fill="auto"/>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Liczba pracujących w stosunku do liczby mieszkańców w wieku produkcyjnym</w:t>
            </w: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b/>
                <w:color w:val="1F497D"/>
                <w:sz w:val="18"/>
                <w:szCs w:val="18"/>
              </w:rPr>
            </w:pPr>
            <w:r w:rsidRPr="006245BD">
              <w:rPr>
                <w:rFonts w:ascii="Lato" w:hAnsi="Lato"/>
                <w:b/>
                <w:color w:val="1F497D"/>
                <w:sz w:val="18"/>
                <w:szCs w:val="18"/>
              </w:rPr>
              <w:t>gmina</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20,5</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w:t>
            </w:r>
          </w:p>
        </w:tc>
        <w:tc>
          <w:tcPr>
            <w:tcW w:w="623" w:type="pct"/>
            <w:shd w:val="clear" w:color="auto" w:fill="auto"/>
            <w:noWrap/>
            <w:vAlign w:val="center"/>
            <w:hideMark/>
          </w:tcPr>
          <w:p w:rsidR="00403573" w:rsidRPr="006245BD" w:rsidRDefault="006245BD" w:rsidP="009311F5">
            <w:pPr>
              <w:spacing w:line="240" w:lineRule="auto"/>
              <w:ind w:firstLine="0"/>
              <w:jc w:val="center"/>
              <w:rPr>
                <w:rFonts w:ascii="Wingdings" w:hAnsi="Wingdings"/>
                <w:color w:val="008000"/>
              </w:rPr>
            </w:pPr>
            <w:r w:rsidRPr="006245BD">
              <w:rPr>
                <w:rFonts w:ascii="Wingdings" w:hAnsi="Wingdings"/>
                <w:color w:val="FF0000"/>
              </w:rPr>
              <w:t></w:t>
            </w:r>
          </w:p>
        </w:tc>
      </w:tr>
      <w:tr w:rsidR="00403573" w:rsidRPr="006245BD" w:rsidTr="00145E29">
        <w:trPr>
          <w:trHeight w:val="282"/>
        </w:trPr>
        <w:tc>
          <w:tcPr>
            <w:tcW w:w="2515" w:type="pct"/>
            <w:vMerge/>
            <w:vAlign w:val="center"/>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powiat</w:t>
            </w:r>
          </w:p>
        </w:tc>
        <w:tc>
          <w:tcPr>
            <w:tcW w:w="567" w:type="pct"/>
            <w:shd w:val="clear" w:color="auto" w:fill="auto"/>
            <w:noWrap/>
            <w:vAlign w:val="center"/>
          </w:tcPr>
          <w:p w:rsidR="00403573" w:rsidRPr="006245BD" w:rsidRDefault="006245BD" w:rsidP="005E3980">
            <w:pPr>
              <w:spacing w:line="240" w:lineRule="auto"/>
              <w:ind w:firstLine="0"/>
              <w:jc w:val="center"/>
              <w:rPr>
                <w:rFonts w:ascii="Lato" w:hAnsi="Lato"/>
                <w:bCs/>
                <w:color w:val="1F497D"/>
                <w:sz w:val="18"/>
                <w:szCs w:val="18"/>
              </w:rPr>
            </w:pPr>
            <w:r w:rsidRPr="006245BD">
              <w:rPr>
                <w:rFonts w:ascii="Lato" w:hAnsi="Lato"/>
                <w:bCs/>
                <w:color w:val="1F497D"/>
                <w:sz w:val="18"/>
                <w:szCs w:val="18"/>
              </w:rPr>
              <w:t>35,1</w:t>
            </w:r>
          </w:p>
        </w:tc>
        <w:tc>
          <w:tcPr>
            <w:tcW w:w="587" w:type="pct"/>
            <w:shd w:val="clear" w:color="auto" w:fill="auto"/>
            <w:noWrap/>
            <w:vAlign w:val="center"/>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tcPr>
          <w:p w:rsidR="00403573" w:rsidRPr="006245BD" w:rsidRDefault="00403573" w:rsidP="009311F5">
            <w:pPr>
              <w:spacing w:line="240" w:lineRule="auto"/>
              <w:ind w:firstLine="0"/>
              <w:jc w:val="center"/>
              <w:rPr>
                <w:rFonts w:ascii="Wingdings" w:hAnsi="Wingdings"/>
                <w:color w:val="FF0000"/>
              </w:rPr>
            </w:pPr>
            <w:r w:rsidRPr="006245BD">
              <w:rPr>
                <w:rFonts w:ascii="Wingdings" w:hAnsi="Wingdings"/>
                <w:color w:val="FF0000"/>
              </w:rPr>
              <w:t></w:t>
            </w:r>
          </w:p>
        </w:tc>
      </w:tr>
      <w:tr w:rsidR="00403573" w:rsidRPr="006245BD" w:rsidTr="00145E29">
        <w:trPr>
          <w:trHeight w:val="282"/>
        </w:trPr>
        <w:tc>
          <w:tcPr>
            <w:tcW w:w="2515" w:type="pct"/>
            <w:vMerge/>
            <w:vAlign w:val="center"/>
            <w:hideMark/>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województwo</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38,6</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hideMark/>
          </w:tcPr>
          <w:p w:rsidR="00403573" w:rsidRPr="006245BD" w:rsidRDefault="006245BD" w:rsidP="009311F5">
            <w:pPr>
              <w:spacing w:line="240" w:lineRule="auto"/>
              <w:ind w:firstLine="0"/>
              <w:jc w:val="center"/>
              <w:rPr>
                <w:rFonts w:ascii="Wingdings" w:hAnsi="Wingdings"/>
                <w:color w:val="FF0000"/>
              </w:rPr>
            </w:pPr>
            <w:r w:rsidRPr="006245BD">
              <w:rPr>
                <w:rFonts w:ascii="Wingdings" w:hAnsi="Wingdings" w:cs="Arial"/>
                <w:color w:val="008000"/>
              </w:rPr>
              <w:t></w:t>
            </w:r>
          </w:p>
        </w:tc>
      </w:tr>
      <w:tr w:rsidR="00403573" w:rsidRPr="006245BD" w:rsidTr="00145E29">
        <w:trPr>
          <w:trHeight w:val="282"/>
        </w:trPr>
        <w:tc>
          <w:tcPr>
            <w:tcW w:w="2515" w:type="pct"/>
            <w:vMerge/>
            <w:vAlign w:val="center"/>
            <w:hideMark/>
          </w:tcPr>
          <w:p w:rsidR="00403573" w:rsidRPr="006245BD" w:rsidRDefault="00403573" w:rsidP="009311F5">
            <w:pPr>
              <w:spacing w:line="240" w:lineRule="auto"/>
              <w:ind w:firstLine="0"/>
              <w:rPr>
                <w:rFonts w:ascii="Lato" w:hAnsi="Lato"/>
                <w:color w:val="1F497D"/>
                <w:sz w:val="18"/>
                <w:szCs w:val="18"/>
              </w:rPr>
            </w:pP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kraj</w:t>
            </w:r>
          </w:p>
        </w:tc>
        <w:tc>
          <w:tcPr>
            <w:tcW w:w="567" w:type="pct"/>
            <w:shd w:val="clear" w:color="auto" w:fill="auto"/>
            <w:noWrap/>
            <w:vAlign w:val="center"/>
          </w:tcPr>
          <w:p w:rsidR="00403573" w:rsidRPr="006245BD" w:rsidRDefault="006245BD" w:rsidP="005E3980">
            <w:pPr>
              <w:spacing w:line="240" w:lineRule="auto"/>
              <w:ind w:firstLine="0"/>
              <w:jc w:val="center"/>
              <w:rPr>
                <w:rFonts w:ascii="Lato" w:hAnsi="Lato"/>
                <w:bCs/>
                <w:color w:val="1F497D"/>
                <w:sz w:val="18"/>
                <w:szCs w:val="18"/>
              </w:rPr>
            </w:pPr>
            <w:r w:rsidRPr="006245BD">
              <w:rPr>
                <w:rFonts w:ascii="Lato" w:hAnsi="Lato"/>
                <w:bCs/>
                <w:color w:val="1F497D"/>
                <w:sz w:val="18"/>
                <w:szCs w:val="18"/>
              </w:rPr>
              <w:t>40,3</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w:t>
            </w:r>
          </w:p>
        </w:tc>
        <w:tc>
          <w:tcPr>
            <w:tcW w:w="623" w:type="pct"/>
            <w:shd w:val="clear" w:color="auto" w:fill="auto"/>
            <w:noWrap/>
            <w:vAlign w:val="center"/>
            <w:hideMark/>
          </w:tcPr>
          <w:p w:rsidR="00403573" w:rsidRPr="006245BD" w:rsidRDefault="006245BD" w:rsidP="009311F5">
            <w:pPr>
              <w:spacing w:line="240" w:lineRule="auto"/>
              <w:ind w:firstLine="0"/>
              <w:jc w:val="center"/>
              <w:rPr>
                <w:rFonts w:ascii="Wingdings" w:hAnsi="Wingdings"/>
                <w:color w:val="FF0000"/>
              </w:rPr>
            </w:pPr>
            <w:r w:rsidRPr="006245BD">
              <w:rPr>
                <w:rFonts w:ascii="Wingdings" w:hAnsi="Wingdings" w:cs="Arial"/>
                <w:color w:val="008000"/>
              </w:rPr>
              <w:t></w:t>
            </w:r>
          </w:p>
        </w:tc>
      </w:tr>
      <w:tr w:rsidR="00403573" w:rsidRPr="006245BD" w:rsidTr="00145E29">
        <w:trPr>
          <w:trHeight w:val="282"/>
        </w:trPr>
        <w:tc>
          <w:tcPr>
            <w:tcW w:w="2515" w:type="pct"/>
            <w:vMerge w:val="restart"/>
            <w:shd w:val="clear" w:color="auto" w:fill="auto"/>
            <w:vAlign w:val="center"/>
            <w:hideMark/>
          </w:tcPr>
          <w:p w:rsidR="00403573" w:rsidRPr="006245BD" w:rsidRDefault="00403573" w:rsidP="007B7859">
            <w:pPr>
              <w:spacing w:line="240" w:lineRule="auto"/>
              <w:ind w:firstLine="0"/>
              <w:rPr>
                <w:rFonts w:ascii="Lato" w:hAnsi="Lato"/>
                <w:color w:val="1F497D"/>
                <w:sz w:val="18"/>
                <w:szCs w:val="18"/>
              </w:rPr>
            </w:pPr>
            <w:r w:rsidRPr="006245BD">
              <w:rPr>
                <w:rFonts w:ascii="Lato" w:hAnsi="Lato"/>
                <w:color w:val="1F497D"/>
                <w:sz w:val="18"/>
                <w:szCs w:val="18"/>
              </w:rPr>
              <w:t>Liczba podmiotów gospodarczych na 1000 mieszkańców</w:t>
            </w: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b/>
                <w:color w:val="1F497D"/>
                <w:sz w:val="18"/>
                <w:szCs w:val="18"/>
              </w:rPr>
            </w:pPr>
            <w:r w:rsidRPr="006245BD">
              <w:rPr>
                <w:rFonts w:ascii="Lato" w:hAnsi="Lato"/>
                <w:b/>
                <w:color w:val="1F497D"/>
                <w:sz w:val="18"/>
                <w:szCs w:val="18"/>
              </w:rPr>
              <w:t>gmina</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118,1</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
                <w:bCs/>
                <w:color w:val="1F497D"/>
                <w:sz w:val="18"/>
                <w:szCs w:val="18"/>
              </w:rPr>
            </w:pPr>
            <w:r w:rsidRPr="006245BD">
              <w:rPr>
                <w:rFonts w:ascii="Lato" w:hAnsi="Lato"/>
                <w:b/>
                <w:bCs/>
                <w:color w:val="1F497D"/>
                <w:sz w:val="18"/>
                <w:szCs w:val="18"/>
              </w:rPr>
              <w:t>l.p./1000os.</w:t>
            </w:r>
          </w:p>
        </w:tc>
        <w:tc>
          <w:tcPr>
            <w:tcW w:w="623" w:type="pct"/>
            <w:shd w:val="clear" w:color="auto" w:fill="auto"/>
            <w:noWrap/>
            <w:vAlign w:val="center"/>
            <w:hideMark/>
          </w:tcPr>
          <w:p w:rsidR="00403573" w:rsidRPr="006245BD" w:rsidRDefault="00570AA5" w:rsidP="009311F5">
            <w:pPr>
              <w:spacing w:line="240" w:lineRule="auto"/>
              <w:ind w:firstLine="0"/>
              <w:jc w:val="center"/>
              <w:rPr>
                <w:rFonts w:ascii="Wingdings" w:hAnsi="Wingdings"/>
                <w:color w:val="008000"/>
              </w:rPr>
            </w:pPr>
            <w:r w:rsidRPr="006245BD">
              <w:rPr>
                <w:rFonts w:ascii="Wingdings" w:hAnsi="Wingdings" w:cs="Arial"/>
                <w:color w:val="008000"/>
              </w:rPr>
              <w:t></w:t>
            </w:r>
          </w:p>
        </w:tc>
      </w:tr>
      <w:tr w:rsidR="00403573" w:rsidRPr="006245BD" w:rsidTr="00145E29">
        <w:trPr>
          <w:trHeight w:val="282"/>
        </w:trPr>
        <w:tc>
          <w:tcPr>
            <w:tcW w:w="2515" w:type="pct"/>
            <w:vMerge/>
            <w:vAlign w:val="center"/>
          </w:tcPr>
          <w:p w:rsidR="00403573" w:rsidRPr="006245BD" w:rsidRDefault="00403573" w:rsidP="009311F5">
            <w:pPr>
              <w:spacing w:line="240" w:lineRule="auto"/>
              <w:ind w:firstLine="0"/>
              <w:rPr>
                <w:rFonts w:ascii="Lato" w:hAnsi="Lato"/>
                <w:color w:val="FF0000"/>
                <w:sz w:val="20"/>
                <w:szCs w:val="20"/>
              </w:rPr>
            </w:pPr>
          </w:p>
        </w:tc>
        <w:tc>
          <w:tcPr>
            <w:tcW w:w="708" w:type="pct"/>
            <w:shd w:val="clear" w:color="auto" w:fill="auto"/>
            <w:noWrap/>
            <w:vAlign w:val="center"/>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powiat</w:t>
            </w:r>
          </w:p>
        </w:tc>
        <w:tc>
          <w:tcPr>
            <w:tcW w:w="567" w:type="pct"/>
            <w:shd w:val="clear" w:color="auto" w:fill="auto"/>
            <w:noWrap/>
            <w:vAlign w:val="center"/>
          </w:tcPr>
          <w:p w:rsidR="00403573" w:rsidRPr="006245BD" w:rsidRDefault="006245BD" w:rsidP="005E3980">
            <w:pPr>
              <w:spacing w:line="240" w:lineRule="auto"/>
              <w:ind w:firstLine="0"/>
              <w:jc w:val="center"/>
              <w:rPr>
                <w:rFonts w:ascii="Lato" w:hAnsi="Lato"/>
                <w:bCs/>
                <w:color w:val="1F497D"/>
                <w:sz w:val="18"/>
                <w:szCs w:val="18"/>
              </w:rPr>
            </w:pPr>
            <w:r w:rsidRPr="006245BD">
              <w:rPr>
                <w:rFonts w:ascii="Lato" w:hAnsi="Lato"/>
                <w:bCs/>
                <w:color w:val="1F497D"/>
                <w:sz w:val="18"/>
                <w:szCs w:val="18"/>
              </w:rPr>
              <w:t>109,6</w:t>
            </w:r>
          </w:p>
        </w:tc>
        <w:tc>
          <w:tcPr>
            <w:tcW w:w="587" w:type="pct"/>
            <w:shd w:val="clear" w:color="auto" w:fill="auto"/>
            <w:noWrap/>
            <w:vAlign w:val="center"/>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l.p./1000os.</w:t>
            </w:r>
          </w:p>
        </w:tc>
        <w:tc>
          <w:tcPr>
            <w:tcW w:w="623" w:type="pct"/>
            <w:shd w:val="clear" w:color="auto" w:fill="auto"/>
            <w:noWrap/>
            <w:vAlign w:val="center"/>
          </w:tcPr>
          <w:p w:rsidR="00403573" w:rsidRPr="006245BD" w:rsidRDefault="00570AA5" w:rsidP="009311F5">
            <w:pPr>
              <w:spacing w:line="240" w:lineRule="auto"/>
              <w:ind w:firstLine="0"/>
              <w:jc w:val="center"/>
              <w:rPr>
                <w:rFonts w:ascii="Wingdings" w:hAnsi="Wingdings"/>
                <w:color w:val="008000"/>
              </w:rPr>
            </w:pPr>
            <w:r w:rsidRPr="006245BD">
              <w:rPr>
                <w:rFonts w:ascii="Wingdings" w:hAnsi="Wingdings" w:cs="Arial"/>
                <w:color w:val="008000"/>
              </w:rPr>
              <w:t></w:t>
            </w:r>
          </w:p>
        </w:tc>
      </w:tr>
      <w:tr w:rsidR="00403573" w:rsidRPr="006245BD" w:rsidTr="00145E29">
        <w:trPr>
          <w:trHeight w:val="282"/>
        </w:trPr>
        <w:tc>
          <w:tcPr>
            <w:tcW w:w="2515" w:type="pct"/>
            <w:vMerge/>
            <w:vAlign w:val="center"/>
            <w:hideMark/>
          </w:tcPr>
          <w:p w:rsidR="00403573" w:rsidRPr="006245BD" w:rsidRDefault="00403573" w:rsidP="009311F5">
            <w:pPr>
              <w:spacing w:line="240" w:lineRule="auto"/>
              <w:ind w:firstLine="0"/>
              <w:rPr>
                <w:rFonts w:ascii="Lato" w:hAnsi="Lato"/>
                <w:color w:val="FF0000"/>
                <w:sz w:val="20"/>
                <w:szCs w:val="20"/>
              </w:rPr>
            </w:pP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województwo</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99,3</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l.p./1000os.</w:t>
            </w:r>
          </w:p>
        </w:tc>
        <w:tc>
          <w:tcPr>
            <w:tcW w:w="623" w:type="pct"/>
            <w:shd w:val="clear" w:color="auto" w:fill="auto"/>
            <w:noWrap/>
            <w:vAlign w:val="center"/>
            <w:hideMark/>
          </w:tcPr>
          <w:p w:rsidR="00403573" w:rsidRPr="006245BD" w:rsidRDefault="00570AA5" w:rsidP="009311F5">
            <w:pPr>
              <w:spacing w:line="240" w:lineRule="auto"/>
              <w:ind w:firstLine="0"/>
              <w:jc w:val="center"/>
              <w:rPr>
                <w:rFonts w:ascii="Wingdings" w:hAnsi="Wingdings"/>
                <w:color w:val="008000"/>
              </w:rPr>
            </w:pPr>
            <w:r w:rsidRPr="006245BD">
              <w:rPr>
                <w:rFonts w:ascii="Wingdings" w:hAnsi="Wingdings" w:cs="Arial"/>
                <w:color w:val="008000"/>
              </w:rPr>
              <w:t></w:t>
            </w:r>
          </w:p>
        </w:tc>
      </w:tr>
      <w:tr w:rsidR="00403573" w:rsidRPr="006245BD" w:rsidTr="00145E29">
        <w:trPr>
          <w:trHeight w:val="302"/>
        </w:trPr>
        <w:tc>
          <w:tcPr>
            <w:tcW w:w="2515" w:type="pct"/>
            <w:vMerge/>
            <w:vAlign w:val="center"/>
            <w:hideMark/>
          </w:tcPr>
          <w:p w:rsidR="00403573" w:rsidRPr="006245BD" w:rsidRDefault="00403573" w:rsidP="009311F5">
            <w:pPr>
              <w:spacing w:line="240" w:lineRule="auto"/>
              <w:ind w:firstLine="0"/>
              <w:rPr>
                <w:rFonts w:ascii="Lato" w:hAnsi="Lato"/>
                <w:color w:val="FF0000"/>
                <w:sz w:val="20"/>
                <w:szCs w:val="20"/>
              </w:rPr>
            </w:pPr>
          </w:p>
        </w:tc>
        <w:tc>
          <w:tcPr>
            <w:tcW w:w="708" w:type="pct"/>
            <w:shd w:val="clear" w:color="auto" w:fill="auto"/>
            <w:noWrap/>
            <w:vAlign w:val="center"/>
            <w:hideMark/>
          </w:tcPr>
          <w:p w:rsidR="00403573" w:rsidRPr="006245BD" w:rsidRDefault="00403573" w:rsidP="009311F5">
            <w:pPr>
              <w:spacing w:line="240" w:lineRule="auto"/>
              <w:ind w:firstLine="0"/>
              <w:rPr>
                <w:rFonts w:ascii="Lato" w:hAnsi="Lato"/>
                <w:color w:val="1F497D"/>
                <w:sz w:val="18"/>
                <w:szCs w:val="18"/>
              </w:rPr>
            </w:pPr>
            <w:r w:rsidRPr="006245BD">
              <w:rPr>
                <w:rFonts w:ascii="Lato" w:hAnsi="Lato"/>
                <w:color w:val="1F497D"/>
                <w:sz w:val="18"/>
                <w:szCs w:val="18"/>
              </w:rPr>
              <w:t>kraj</w:t>
            </w:r>
          </w:p>
        </w:tc>
        <w:tc>
          <w:tcPr>
            <w:tcW w:w="567" w:type="pct"/>
            <w:shd w:val="clear" w:color="auto" w:fill="auto"/>
            <w:noWrap/>
            <w:vAlign w:val="center"/>
          </w:tcPr>
          <w:p w:rsidR="00403573" w:rsidRPr="006245BD" w:rsidRDefault="006245BD"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112,1</w:t>
            </w:r>
          </w:p>
        </w:tc>
        <w:tc>
          <w:tcPr>
            <w:tcW w:w="587" w:type="pct"/>
            <w:shd w:val="clear" w:color="auto" w:fill="auto"/>
            <w:noWrap/>
            <w:vAlign w:val="center"/>
            <w:hideMark/>
          </w:tcPr>
          <w:p w:rsidR="00403573" w:rsidRPr="006245BD" w:rsidRDefault="00403573" w:rsidP="009311F5">
            <w:pPr>
              <w:spacing w:line="240" w:lineRule="auto"/>
              <w:ind w:firstLine="0"/>
              <w:jc w:val="center"/>
              <w:rPr>
                <w:rFonts w:ascii="Lato" w:hAnsi="Lato"/>
                <w:bCs/>
                <w:color w:val="1F497D"/>
                <w:sz w:val="18"/>
                <w:szCs w:val="18"/>
              </w:rPr>
            </w:pPr>
            <w:r w:rsidRPr="006245BD">
              <w:rPr>
                <w:rFonts w:ascii="Lato" w:hAnsi="Lato"/>
                <w:bCs/>
                <w:color w:val="1F497D"/>
                <w:sz w:val="18"/>
                <w:szCs w:val="18"/>
              </w:rPr>
              <w:t>l.p./1000os.</w:t>
            </w:r>
          </w:p>
        </w:tc>
        <w:tc>
          <w:tcPr>
            <w:tcW w:w="623" w:type="pct"/>
            <w:shd w:val="clear" w:color="auto" w:fill="auto"/>
            <w:noWrap/>
            <w:vAlign w:val="center"/>
            <w:hideMark/>
          </w:tcPr>
          <w:p w:rsidR="00403573" w:rsidRPr="006245BD" w:rsidRDefault="00570AA5" w:rsidP="009311F5">
            <w:pPr>
              <w:spacing w:line="240" w:lineRule="auto"/>
              <w:ind w:firstLine="0"/>
              <w:jc w:val="center"/>
              <w:rPr>
                <w:rFonts w:ascii="Wingdings" w:hAnsi="Wingdings"/>
                <w:color w:val="008000"/>
              </w:rPr>
            </w:pPr>
            <w:r w:rsidRPr="006245BD">
              <w:rPr>
                <w:rFonts w:ascii="Wingdings" w:hAnsi="Wingdings" w:cs="Arial"/>
                <w:color w:val="008000"/>
              </w:rPr>
              <w:t></w:t>
            </w:r>
          </w:p>
        </w:tc>
      </w:tr>
    </w:tbl>
    <w:p w:rsidR="0050013E" w:rsidRPr="006245BD" w:rsidRDefault="0006260E" w:rsidP="00F02778">
      <w:pPr>
        <w:ind w:firstLine="0"/>
        <w:rPr>
          <w:rFonts w:ascii="Lato" w:hAnsi="Lato"/>
        </w:rPr>
      </w:pPr>
      <w:r>
        <w:rPr>
          <w:rFonts w:ascii="Lato" w:hAnsi="Lato"/>
          <w:noProof/>
          <w:sz w:val="14"/>
        </w:rPr>
        <w:drawing>
          <wp:inline distT="0" distB="0" distL="0" distR="0" wp14:anchorId="5CDA4239" wp14:editId="3C2B79BF">
            <wp:extent cx="3124200" cy="4857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0" cy="485775"/>
                    </a:xfrm>
                    <a:prstGeom prst="rect">
                      <a:avLst/>
                    </a:prstGeom>
                    <a:noFill/>
                    <a:ln>
                      <a:noFill/>
                    </a:ln>
                  </pic:spPr>
                </pic:pic>
              </a:graphicData>
            </a:graphic>
          </wp:inline>
        </w:drawing>
      </w:r>
    </w:p>
    <w:p w:rsidR="00E77738" w:rsidRPr="008F1406" w:rsidRDefault="00E51AB9" w:rsidP="00815B20">
      <w:pPr>
        <w:pStyle w:val="Tekstpodstawowy"/>
        <w:jc w:val="center"/>
        <w:rPr>
          <w:rFonts w:ascii="Lato" w:hAnsi="Lato" w:cs="Times New Roman"/>
          <w:i/>
          <w:sz w:val="20"/>
          <w:szCs w:val="20"/>
        </w:rPr>
      </w:pPr>
      <w:r w:rsidRPr="008F1406">
        <w:rPr>
          <w:rFonts w:ascii="Lato" w:hAnsi="Lato" w:cs="Times New Roman"/>
          <w:i/>
          <w:sz w:val="20"/>
          <w:szCs w:val="20"/>
        </w:rPr>
        <w:t>Ź</w:t>
      </w:r>
      <w:r w:rsidR="00E77738" w:rsidRPr="008F1406">
        <w:rPr>
          <w:rFonts w:ascii="Lato" w:hAnsi="Lato" w:cs="Times New Roman"/>
          <w:i/>
          <w:sz w:val="20"/>
          <w:szCs w:val="20"/>
        </w:rPr>
        <w:t>ródło: GUS</w:t>
      </w:r>
    </w:p>
    <w:p w:rsidR="006245BD" w:rsidRPr="006245BD" w:rsidRDefault="006245BD" w:rsidP="00F06F51">
      <w:pPr>
        <w:ind w:firstLine="0"/>
        <w:rPr>
          <w:rFonts w:ascii="Lato" w:hAnsi="Lato"/>
          <w:sz w:val="20"/>
          <w:highlight w:val="yellow"/>
        </w:rPr>
      </w:pPr>
    </w:p>
    <w:bookmarkEnd w:id="54"/>
    <w:bookmarkEnd w:id="55"/>
    <w:p w:rsidR="007A7ADD" w:rsidRPr="00390FFA" w:rsidRDefault="007A7ADD" w:rsidP="00AB431C">
      <w:pPr>
        <w:pStyle w:val="Nagwek4"/>
        <w:numPr>
          <w:ilvl w:val="3"/>
          <w:numId w:val="38"/>
        </w:numPr>
        <w:ind w:left="1134" w:right="52" w:hanging="1134"/>
        <w:jc w:val="both"/>
        <w:rPr>
          <w:rFonts w:ascii="Lato" w:hAnsi="Lato"/>
          <w:b w:val="0"/>
          <w:i w:val="0"/>
          <w:color w:val="365F91"/>
          <w:sz w:val="22"/>
          <w:szCs w:val="22"/>
        </w:rPr>
      </w:pPr>
      <w:r w:rsidRPr="00390FFA">
        <w:rPr>
          <w:rFonts w:ascii="Lato" w:hAnsi="Lato"/>
          <w:b w:val="0"/>
          <w:i w:val="0"/>
          <w:color w:val="365F91"/>
          <w:sz w:val="22"/>
          <w:szCs w:val="22"/>
        </w:rPr>
        <w:t>Działalność gospodarcza</w:t>
      </w:r>
    </w:p>
    <w:p w:rsidR="0050013E" w:rsidRDefault="00593989" w:rsidP="00C729D3">
      <w:pPr>
        <w:pStyle w:val="Tekstpodstawowy"/>
        <w:ind w:firstLine="709"/>
        <w:rPr>
          <w:rFonts w:ascii="Lato" w:hAnsi="Lato" w:cs="Times New Roman"/>
          <w:bCs w:val="0"/>
          <w:spacing w:val="0"/>
        </w:rPr>
      </w:pPr>
      <w:r w:rsidRPr="004C5DF6">
        <w:rPr>
          <w:rFonts w:ascii="Lato" w:hAnsi="Lato" w:cs="Times New Roman"/>
          <w:bCs w:val="0"/>
          <w:spacing w:val="0"/>
        </w:rPr>
        <w:t>Na terenie gminy w 201</w:t>
      </w:r>
      <w:r w:rsidR="00BC046F" w:rsidRPr="004C5DF6">
        <w:rPr>
          <w:rFonts w:ascii="Lato" w:hAnsi="Lato" w:cs="Times New Roman"/>
          <w:bCs w:val="0"/>
          <w:spacing w:val="0"/>
        </w:rPr>
        <w:t>7</w:t>
      </w:r>
      <w:r w:rsidRPr="004C5DF6">
        <w:rPr>
          <w:rFonts w:ascii="Lato" w:hAnsi="Lato" w:cs="Times New Roman"/>
          <w:bCs w:val="0"/>
          <w:spacing w:val="0"/>
        </w:rPr>
        <w:t xml:space="preserve"> roku zarejestrowanych było </w:t>
      </w:r>
      <w:r w:rsidR="00140A77" w:rsidRPr="004C5DF6">
        <w:rPr>
          <w:rFonts w:ascii="Lato" w:hAnsi="Lato" w:cs="Times New Roman"/>
          <w:bCs w:val="0"/>
          <w:spacing w:val="0"/>
        </w:rPr>
        <w:t>855</w:t>
      </w:r>
      <w:r w:rsidRPr="004C5DF6">
        <w:rPr>
          <w:rFonts w:ascii="Lato" w:hAnsi="Lato" w:cs="Times New Roman"/>
          <w:bCs w:val="0"/>
          <w:spacing w:val="0"/>
        </w:rPr>
        <w:t xml:space="preserve"> firm. W ciągu ostatnich 15 lat liczba ta wzrosła o blisko </w:t>
      </w:r>
      <w:r w:rsidR="00140A77" w:rsidRPr="004C5DF6">
        <w:rPr>
          <w:rFonts w:ascii="Lato" w:hAnsi="Lato" w:cs="Times New Roman"/>
          <w:bCs w:val="0"/>
          <w:spacing w:val="0"/>
        </w:rPr>
        <w:t>25</w:t>
      </w:r>
      <w:r w:rsidRPr="004C5DF6">
        <w:rPr>
          <w:rFonts w:ascii="Lato" w:hAnsi="Lato" w:cs="Times New Roman"/>
          <w:bCs w:val="0"/>
          <w:spacing w:val="0"/>
        </w:rPr>
        <w:t>%. Dane</w:t>
      </w:r>
      <w:r w:rsidRPr="00390FFA">
        <w:rPr>
          <w:rFonts w:ascii="Lato" w:hAnsi="Lato" w:cs="Times New Roman"/>
          <w:bCs w:val="0"/>
          <w:spacing w:val="0"/>
        </w:rPr>
        <w:t xml:space="preserve"> o ilości podmiotów gospodarczych na terenie gminy w latach </w:t>
      </w:r>
      <w:r w:rsidR="00BC046F" w:rsidRPr="00390FFA">
        <w:rPr>
          <w:rFonts w:ascii="Lato" w:hAnsi="Lato" w:cs="Times New Roman"/>
          <w:bCs w:val="0"/>
          <w:spacing w:val="0"/>
        </w:rPr>
        <w:t>2009</w:t>
      </w:r>
      <w:r w:rsidR="000F2422">
        <w:rPr>
          <w:rFonts w:ascii="Lato" w:hAnsi="Lato" w:cs="Times New Roman"/>
          <w:bCs w:val="0"/>
          <w:spacing w:val="0"/>
        </w:rPr>
        <w:t>-</w:t>
      </w:r>
      <w:r w:rsidRPr="00390FFA">
        <w:rPr>
          <w:rFonts w:ascii="Lato" w:hAnsi="Lato" w:cs="Times New Roman"/>
          <w:bCs w:val="0"/>
          <w:spacing w:val="0"/>
        </w:rPr>
        <w:t>201</w:t>
      </w:r>
      <w:r w:rsidR="00BC046F" w:rsidRPr="00390FFA">
        <w:rPr>
          <w:rFonts w:ascii="Lato" w:hAnsi="Lato" w:cs="Times New Roman"/>
          <w:bCs w:val="0"/>
          <w:spacing w:val="0"/>
        </w:rPr>
        <w:t>7</w:t>
      </w:r>
      <w:r w:rsidRPr="00390FFA">
        <w:rPr>
          <w:rFonts w:ascii="Lato" w:hAnsi="Lato" w:cs="Times New Roman"/>
          <w:bCs w:val="0"/>
          <w:spacing w:val="0"/>
        </w:rPr>
        <w:t xml:space="preserve"> przedstawiono w tabeli poniżej.</w:t>
      </w:r>
    </w:p>
    <w:p w:rsidR="00667E49" w:rsidRPr="00390FFA" w:rsidRDefault="00667E49" w:rsidP="00C729D3">
      <w:pPr>
        <w:pStyle w:val="Tekstpodstawowy"/>
        <w:ind w:firstLine="709"/>
        <w:rPr>
          <w:rFonts w:ascii="Lato" w:hAnsi="Lato" w:cs="Times New Roman"/>
          <w:bCs w:val="0"/>
          <w:spacing w:val="0"/>
        </w:rPr>
      </w:pPr>
    </w:p>
    <w:p w:rsidR="0031024F" w:rsidRPr="00D352C4" w:rsidRDefault="0031024F" w:rsidP="0050013E">
      <w:pPr>
        <w:pStyle w:val="Tekstpodstawowy"/>
        <w:rPr>
          <w:rFonts w:ascii="Lato" w:hAnsi="Lato" w:cs="Times New Roman"/>
          <w:highlight w:val="yellow"/>
        </w:rPr>
      </w:pPr>
    </w:p>
    <w:p w:rsidR="0012653A" w:rsidRPr="00D352C4" w:rsidRDefault="0012653A" w:rsidP="00D93D22">
      <w:pPr>
        <w:pStyle w:val="Legenda"/>
        <w:rPr>
          <w:rFonts w:ascii="Lato" w:hAnsi="Lato"/>
          <w:color w:val="1F497D"/>
          <w:sz w:val="20"/>
          <w:szCs w:val="20"/>
          <w:highlight w:val="yellow"/>
        </w:rPr>
        <w:sectPr w:rsidR="0012653A" w:rsidRPr="00D352C4" w:rsidSect="00DA35BE">
          <w:headerReference w:type="default" r:id="rId18"/>
          <w:footerReference w:type="default" r:id="rId19"/>
          <w:footerReference w:type="first" r:id="rId20"/>
          <w:pgSz w:w="11907" w:h="16840" w:code="9"/>
          <w:pgMar w:top="1418" w:right="1021" w:bottom="992" w:left="1021" w:header="567" w:footer="567" w:gutter="0"/>
          <w:cols w:space="708"/>
          <w:docGrid w:linePitch="299"/>
        </w:sectPr>
      </w:pPr>
    </w:p>
    <w:p w:rsidR="0050013E" w:rsidRPr="00390FFA" w:rsidRDefault="002760D6" w:rsidP="00D93D22">
      <w:pPr>
        <w:pStyle w:val="Legenda"/>
        <w:rPr>
          <w:rFonts w:ascii="Lato" w:hAnsi="Lato"/>
          <w:color w:val="1F497D"/>
          <w:sz w:val="20"/>
          <w:szCs w:val="20"/>
          <w:lang w:val="pl-PL"/>
        </w:rPr>
      </w:pPr>
      <w:bookmarkStart w:id="67" w:name="_Toc20219162"/>
      <w:r w:rsidRPr="00390FFA">
        <w:rPr>
          <w:rFonts w:ascii="Lato" w:hAnsi="Lato"/>
          <w:color w:val="365F91"/>
          <w:sz w:val="20"/>
          <w:szCs w:val="20"/>
        </w:rPr>
        <w:lastRenderedPageBreak/>
        <w:t xml:space="preserve">Tabela </w:t>
      </w:r>
      <w:r w:rsidR="004042AE" w:rsidRPr="00390FFA">
        <w:rPr>
          <w:rFonts w:ascii="Lato" w:hAnsi="Lato"/>
          <w:color w:val="365F91"/>
          <w:sz w:val="20"/>
          <w:szCs w:val="20"/>
        </w:rPr>
        <w:fldChar w:fldCharType="begin"/>
      </w:r>
      <w:r w:rsidR="005430ED" w:rsidRPr="00390FFA">
        <w:rPr>
          <w:rFonts w:ascii="Lato" w:hAnsi="Lato"/>
          <w:color w:val="365F91"/>
          <w:sz w:val="20"/>
          <w:szCs w:val="20"/>
        </w:rPr>
        <w:instrText xml:space="preserve"> STYLEREF 1 \s </w:instrText>
      </w:r>
      <w:r w:rsidR="004042AE" w:rsidRPr="00390FFA">
        <w:rPr>
          <w:rFonts w:ascii="Lato" w:hAnsi="Lato"/>
          <w:color w:val="365F91"/>
          <w:sz w:val="20"/>
          <w:szCs w:val="20"/>
        </w:rPr>
        <w:fldChar w:fldCharType="separate"/>
      </w:r>
      <w:r w:rsidR="0040205B">
        <w:rPr>
          <w:rFonts w:ascii="Lato" w:hAnsi="Lato"/>
          <w:noProof/>
          <w:color w:val="365F91"/>
          <w:sz w:val="20"/>
          <w:szCs w:val="20"/>
        </w:rPr>
        <w:t>1</w:t>
      </w:r>
      <w:r w:rsidR="004042AE" w:rsidRPr="00390FFA">
        <w:rPr>
          <w:rFonts w:ascii="Lato" w:hAnsi="Lato"/>
          <w:color w:val="365F91"/>
          <w:sz w:val="20"/>
          <w:szCs w:val="20"/>
        </w:rPr>
        <w:fldChar w:fldCharType="end"/>
      </w:r>
      <w:r w:rsidR="005430ED" w:rsidRPr="00390FFA">
        <w:rPr>
          <w:rFonts w:ascii="Lato" w:hAnsi="Lato"/>
          <w:color w:val="365F91"/>
          <w:sz w:val="20"/>
          <w:szCs w:val="20"/>
        </w:rPr>
        <w:noBreakHyphen/>
      </w:r>
      <w:r w:rsidR="004042AE" w:rsidRPr="00390FFA">
        <w:rPr>
          <w:rFonts w:ascii="Lato" w:hAnsi="Lato"/>
          <w:color w:val="365F91"/>
          <w:sz w:val="20"/>
          <w:szCs w:val="20"/>
        </w:rPr>
        <w:fldChar w:fldCharType="begin"/>
      </w:r>
      <w:r w:rsidR="005430ED" w:rsidRPr="00390FFA">
        <w:rPr>
          <w:rFonts w:ascii="Lato" w:hAnsi="Lato"/>
          <w:color w:val="365F91"/>
          <w:sz w:val="20"/>
          <w:szCs w:val="20"/>
        </w:rPr>
        <w:instrText xml:space="preserve"> SEQ Tabela \* ARABIC \s 1 </w:instrText>
      </w:r>
      <w:r w:rsidR="004042AE" w:rsidRPr="00390FFA">
        <w:rPr>
          <w:rFonts w:ascii="Lato" w:hAnsi="Lato"/>
          <w:color w:val="365F91"/>
          <w:sz w:val="20"/>
          <w:szCs w:val="20"/>
        </w:rPr>
        <w:fldChar w:fldCharType="separate"/>
      </w:r>
      <w:r w:rsidR="0040205B">
        <w:rPr>
          <w:rFonts w:ascii="Lato" w:hAnsi="Lato"/>
          <w:noProof/>
          <w:color w:val="365F91"/>
          <w:sz w:val="20"/>
          <w:szCs w:val="20"/>
        </w:rPr>
        <w:t>3</w:t>
      </w:r>
      <w:r w:rsidR="004042AE" w:rsidRPr="00390FFA">
        <w:rPr>
          <w:rFonts w:ascii="Lato" w:hAnsi="Lato"/>
          <w:color w:val="365F91"/>
          <w:sz w:val="20"/>
          <w:szCs w:val="20"/>
        </w:rPr>
        <w:fldChar w:fldCharType="end"/>
      </w:r>
      <w:r w:rsidR="00730837" w:rsidRPr="00390FFA">
        <w:rPr>
          <w:rFonts w:ascii="Lato" w:hAnsi="Lato"/>
          <w:color w:val="365F91"/>
          <w:sz w:val="20"/>
          <w:szCs w:val="20"/>
        </w:rPr>
        <w:t xml:space="preserve"> </w:t>
      </w:r>
      <w:r w:rsidR="0050013E" w:rsidRPr="00390FFA">
        <w:rPr>
          <w:rFonts w:ascii="Lato" w:hAnsi="Lato"/>
          <w:color w:val="365F91"/>
          <w:sz w:val="20"/>
          <w:szCs w:val="20"/>
        </w:rPr>
        <w:t>Liczba podmiotów gospodarczych wg klasyfikacji PKD 200</w:t>
      </w:r>
      <w:r w:rsidRPr="00390FFA">
        <w:rPr>
          <w:rFonts w:ascii="Lato" w:hAnsi="Lato"/>
          <w:color w:val="365F91"/>
          <w:sz w:val="20"/>
          <w:szCs w:val="20"/>
        </w:rPr>
        <w:t>7</w:t>
      </w:r>
      <w:r w:rsidR="0050013E" w:rsidRPr="00390FFA">
        <w:rPr>
          <w:rFonts w:ascii="Lato" w:hAnsi="Lato"/>
          <w:color w:val="365F91"/>
          <w:sz w:val="20"/>
          <w:szCs w:val="20"/>
        </w:rPr>
        <w:t xml:space="preserve"> w </w:t>
      </w:r>
      <w:r w:rsidR="00787B18" w:rsidRPr="00390FFA">
        <w:rPr>
          <w:rFonts w:ascii="Lato" w:hAnsi="Lato"/>
          <w:color w:val="365F91"/>
          <w:sz w:val="20"/>
          <w:szCs w:val="20"/>
        </w:rPr>
        <w:t xml:space="preserve">latach 2009 - </w:t>
      </w:r>
      <w:r w:rsidR="0050013E" w:rsidRPr="00390FFA">
        <w:rPr>
          <w:rFonts w:ascii="Lato" w:hAnsi="Lato"/>
          <w:color w:val="365F91"/>
          <w:sz w:val="20"/>
          <w:szCs w:val="20"/>
        </w:rPr>
        <w:t>20</w:t>
      </w:r>
      <w:r w:rsidRPr="00390FFA">
        <w:rPr>
          <w:rFonts w:ascii="Lato" w:hAnsi="Lato"/>
          <w:color w:val="365F91"/>
          <w:sz w:val="20"/>
          <w:szCs w:val="20"/>
        </w:rPr>
        <w:t>1</w:t>
      </w:r>
      <w:r w:rsidR="000D030E" w:rsidRPr="00390FFA">
        <w:rPr>
          <w:rFonts w:ascii="Lato" w:hAnsi="Lato"/>
          <w:color w:val="365F91"/>
          <w:sz w:val="20"/>
          <w:szCs w:val="20"/>
          <w:lang w:val="pl-PL"/>
        </w:rPr>
        <w:t>7</w:t>
      </w:r>
      <w:bookmarkEnd w:id="67"/>
    </w:p>
    <w:tbl>
      <w:tblPr>
        <w:tblW w:w="4993" w:type="pct"/>
        <w:jc w:val="center"/>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CellMar>
          <w:left w:w="70" w:type="dxa"/>
          <w:right w:w="70" w:type="dxa"/>
        </w:tblCellMar>
        <w:tblLook w:val="00A0" w:firstRow="1" w:lastRow="0" w:firstColumn="1" w:lastColumn="0" w:noHBand="0" w:noVBand="0"/>
      </w:tblPr>
      <w:tblGrid>
        <w:gridCol w:w="7148"/>
        <w:gridCol w:w="1597"/>
        <w:gridCol w:w="645"/>
        <w:gridCol w:w="645"/>
        <w:gridCol w:w="645"/>
        <w:gridCol w:w="645"/>
        <w:gridCol w:w="645"/>
        <w:gridCol w:w="645"/>
        <w:gridCol w:w="645"/>
        <w:gridCol w:w="645"/>
        <w:gridCol w:w="645"/>
      </w:tblGrid>
      <w:tr w:rsidR="00026ED9" w:rsidRPr="00D352C4" w:rsidTr="0060623B">
        <w:trPr>
          <w:trHeight w:val="357"/>
          <w:tblHeader/>
          <w:jc w:val="center"/>
        </w:trPr>
        <w:tc>
          <w:tcPr>
            <w:tcW w:w="7148" w:type="dxa"/>
            <w:shd w:val="clear" w:color="auto" w:fill="DBE5F1"/>
            <w:noWrap/>
            <w:vAlign w:val="center"/>
          </w:tcPr>
          <w:p w:rsidR="00BC046F" w:rsidRPr="00390FFA" w:rsidRDefault="00BC046F" w:rsidP="00A7256B">
            <w:pPr>
              <w:spacing w:before="40" w:after="40"/>
              <w:ind w:firstLine="0"/>
              <w:jc w:val="center"/>
              <w:rPr>
                <w:rFonts w:ascii="Lato" w:hAnsi="Lato"/>
                <w:b/>
                <w:color w:val="1F497D"/>
                <w:sz w:val="16"/>
                <w:szCs w:val="16"/>
              </w:rPr>
            </w:pPr>
            <w:r w:rsidRPr="00390FFA">
              <w:rPr>
                <w:rFonts w:ascii="Lato" w:hAnsi="Lato"/>
                <w:b/>
                <w:color w:val="1F497D"/>
                <w:sz w:val="16"/>
                <w:szCs w:val="16"/>
              </w:rPr>
              <w:t>Wyszczególnienie</w:t>
            </w:r>
          </w:p>
        </w:tc>
        <w:tc>
          <w:tcPr>
            <w:tcW w:w="1597" w:type="dxa"/>
            <w:shd w:val="clear" w:color="auto" w:fill="DBE5F1"/>
            <w:noWrap/>
            <w:vAlign w:val="center"/>
          </w:tcPr>
          <w:p w:rsidR="00BC046F" w:rsidRPr="00390FFA" w:rsidRDefault="00BC046F" w:rsidP="00A7256B">
            <w:pPr>
              <w:spacing w:before="40" w:after="40"/>
              <w:ind w:left="-57" w:right="-57" w:firstLine="0"/>
              <w:jc w:val="center"/>
              <w:rPr>
                <w:rFonts w:ascii="Lato" w:hAnsi="Lato"/>
                <w:b/>
                <w:color w:val="1F497D"/>
                <w:sz w:val="16"/>
                <w:szCs w:val="16"/>
              </w:rPr>
            </w:pPr>
            <w:r w:rsidRPr="00390FFA">
              <w:rPr>
                <w:rFonts w:ascii="Lato" w:hAnsi="Lato"/>
                <w:b/>
                <w:color w:val="1F497D"/>
                <w:sz w:val="16"/>
                <w:szCs w:val="16"/>
              </w:rPr>
              <w:t>Jednostka miary</w:t>
            </w:r>
          </w:p>
        </w:tc>
        <w:tc>
          <w:tcPr>
            <w:tcW w:w="645" w:type="dxa"/>
            <w:shd w:val="clear" w:color="auto" w:fill="DBE5F1"/>
            <w:noWrap/>
            <w:vAlign w:val="center"/>
          </w:tcPr>
          <w:p w:rsidR="00BC046F" w:rsidRPr="001468DF" w:rsidRDefault="00BC046F" w:rsidP="0060623B">
            <w:pPr>
              <w:spacing w:before="40" w:after="40"/>
              <w:ind w:left="-57" w:right="-57" w:firstLine="0"/>
              <w:jc w:val="center"/>
              <w:rPr>
                <w:rFonts w:ascii="Lato" w:hAnsi="Lato"/>
                <w:b/>
                <w:color w:val="1F497D"/>
                <w:sz w:val="16"/>
                <w:szCs w:val="16"/>
              </w:rPr>
            </w:pPr>
            <w:r w:rsidRPr="001468DF">
              <w:rPr>
                <w:rFonts w:ascii="Lato" w:hAnsi="Lato"/>
                <w:b/>
                <w:color w:val="1F497D"/>
                <w:sz w:val="16"/>
                <w:szCs w:val="16"/>
              </w:rPr>
              <w:t>2009</w:t>
            </w:r>
          </w:p>
        </w:tc>
        <w:tc>
          <w:tcPr>
            <w:tcW w:w="645" w:type="dxa"/>
            <w:shd w:val="clear" w:color="auto" w:fill="DBE5F1"/>
            <w:noWrap/>
            <w:vAlign w:val="center"/>
          </w:tcPr>
          <w:p w:rsidR="00BC046F" w:rsidRPr="001468DF" w:rsidRDefault="00BC046F" w:rsidP="0060623B">
            <w:pPr>
              <w:spacing w:before="40" w:after="40"/>
              <w:ind w:left="-57" w:right="-57" w:firstLine="0"/>
              <w:jc w:val="center"/>
              <w:rPr>
                <w:rFonts w:ascii="Lato" w:hAnsi="Lato"/>
                <w:b/>
                <w:color w:val="1F497D"/>
                <w:sz w:val="16"/>
                <w:szCs w:val="16"/>
              </w:rPr>
            </w:pPr>
            <w:r w:rsidRPr="001468DF">
              <w:rPr>
                <w:rFonts w:ascii="Lato" w:hAnsi="Lato"/>
                <w:b/>
                <w:color w:val="1F497D"/>
                <w:sz w:val="16"/>
                <w:szCs w:val="16"/>
              </w:rPr>
              <w:t>2010</w:t>
            </w:r>
          </w:p>
        </w:tc>
        <w:tc>
          <w:tcPr>
            <w:tcW w:w="645" w:type="dxa"/>
            <w:shd w:val="clear" w:color="auto" w:fill="DBE5F1"/>
            <w:noWrap/>
            <w:vAlign w:val="center"/>
          </w:tcPr>
          <w:p w:rsidR="00BC046F" w:rsidRPr="001468DF" w:rsidRDefault="00BC046F" w:rsidP="0060623B">
            <w:pPr>
              <w:spacing w:before="40" w:after="40"/>
              <w:ind w:left="-57" w:right="-57" w:firstLine="0"/>
              <w:jc w:val="center"/>
              <w:rPr>
                <w:rFonts w:ascii="Lato" w:hAnsi="Lato"/>
                <w:b/>
                <w:color w:val="1F497D"/>
                <w:sz w:val="16"/>
                <w:szCs w:val="16"/>
              </w:rPr>
            </w:pPr>
            <w:r w:rsidRPr="001468DF">
              <w:rPr>
                <w:rFonts w:ascii="Lato" w:hAnsi="Lato"/>
                <w:b/>
                <w:color w:val="1F497D"/>
                <w:sz w:val="16"/>
                <w:szCs w:val="16"/>
              </w:rPr>
              <w:t>2011</w:t>
            </w:r>
          </w:p>
        </w:tc>
        <w:tc>
          <w:tcPr>
            <w:tcW w:w="645" w:type="dxa"/>
            <w:shd w:val="clear" w:color="auto" w:fill="DBE5F1"/>
            <w:noWrap/>
            <w:vAlign w:val="center"/>
          </w:tcPr>
          <w:p w:rsidR="00BC046F" w:rsidRPr="001468DF" w:rsidRDefault="00BC046F" w:rsidP="0060623B">
            <w:pPr>
              <w:spacing w:before="40" w:after="40"/>
              <w:ind w:left="-57" w:right="-57" w:firstLine="0"/>
              <w:jc w:val="center"/>
              <w:rPr>
                <w:rFonts w:ascii="Lato" w:hAnsi="Lato"/>
                <w:b/>
                <w:color w:val="1F497D"/>
                <w:sz w:val="16"/>
                <w:szCs w:val="16"/>
              </w:rPr>
            </w:pPr>
            <w:r w:rsidRPr="001468DF">
              <w:rPr>
                <w:rFonts w:ascii="Lato" w:hAnsi="Lato"/>
                <w:b/>
                <w:color w:val="1F497D"/>
                <w:sz w:val="16"/>
                <w:szCs w:val="16"/>
              </w:rPr>
              <w:t>2012</w:t>
            </w:r>
          </w:p>
        </w:tc>
        <w:tc>
          <w:tcPr>
            <w:tcW w:w="645" w:type="dxa"/>
            <w:shd w:val="clear" w:color="auto" w:fill="DBE5F1"/>
            <w:noWrap/>
            <w:vAlign w:val="center"/>
          </w:tcPr>
          <w:p w:rsidR="00BC046F" w:rsidRPr="001468DF" w:rsidRDefault="00BC046F" w:rsidP="0060623B">
            <w:pPr>
              <w:spacing w:before="40" w:after="40"/>
              <w:ind w:left="-57" w:right="-57" w:firstLine="0"/>
              <w:jc w:val="center"/>
              <w:rPr>
                <w:rFonts w:ascii="Lato" w:hAnsi="Lato"/>
                <w:b/>
                <w:color w:val="1F497D"/>
                <w:sz w:val="16"/>
                <w:szCs w:val="16"/>
              </w:rPr>
            </w:pPr>
            <w:r w:rsidRPr="001468DF">
              <w:rPr>
                <w:rFonts w:ascii="Lato" w:hAnsi="Lato"/>
                <w:b/>
                <w:color w:val="1F497D"/>
                <w:sz w:val="16"/>
                <w:szCs w:val="16"/>
              </w:rPr>
              <w:t>2013</w:t>
            </w:r>
          </w:p>
        </w:tc>
        <w:tc>
          <w:tcPr>
            <w:tcW w:w="645" w:type="dxa"/>
            <w:shd w:val="clear" w:color="auto" w:fill="DBE5F1"/>
            <w:vAlign w:val="center"/>
          </w:tcPr>
          <w:p w:rsidR="00BC046F" w:rsidRPr="001468DF" w:rsidRDefault="00BC046F" w:rsidP="0060623B">
            <w:pPr>
              <w:spacing w:before="40" w:after="40"/>
              <w:ind w:left="-57" w:right="-57" w:firstLine="0"/>
              <w:jc w:val="center"/>
              <w:rPr>
                <w:rFonts w:ascii="Lato" w:hAnsi="Lato"/>
                <w:b/>
                <w:color w:val="1F497D"/>
                <w:sz w:val="16"/>
                <w:szCs w:val="16"/>
              </w:rPr>
            </w:pPr>
            <w:r w:rsidRPr="001468DF">
              <w:rPr>
                <w:rFonts w:ascii="Lato" w:hAnsi="Lato"/>
                <w:b/>
                <w:color w:val="1F497D"/>
                <w:sz w:val="16"/>
                <w:szCs w:val="16"/>
              </w:rPr>
              <w:t>2014</w:t>
            </w:r>
          </w:p>
        </w:tc>
        <w:tc>
          <w:tcPr>
            <w:tcW w:w="645" w:type="dxa"/>
            <w:shd w:val="clear" w:color="auto" w:fill="DBE5F1"/>
            <w:vAlign w:val="center"/>
          </w:tcPr>
          <w:p w:rsidR="00BC046F" w:rsidRPr="001468DF" w:rsidRDefault="00BC046F" w:rsidP="0060623B">
            <w:pPr>
              <w:spacing w:before="40" w:after="40"/>
              <w:ind w:left="-57" w:right="-57" w:firstLine="0"/>
              <w:jc w:val="center"/>
              <w:rPr>
                <w:rFonts w:ascii="Lato" w:hAnsi="Lato"/>
                <w:b/>
                <w:color w:val="1F497D"/>
                <w:sz w:val="16"/>
                <w:szCs w:val="16"/>
              </w:rPr>
            </w:pPr>
            <w:r w:rsidRPr="001468DF">
              <w:rPr>
                <w:rFonts w:ascii="Lato" w:hAnsi="Lato"/>
                <w:b/>
                <w:color w:val="1F497D"/>
                <w:sz w:val="16"/>
                <w:szCs w:val="16"/>
              </w:rPr>
              <w:t>2015</w:t>
            </w:r>
          </w:p>
        </w:tc>
        <w:tc>
          <w:tcPr>
            <w:tcW w:w="645" w:type="dxa"/>
            <w:shd w:val="clear" w:color="auto" w:fill="DBE5F1"/>
            <w:vAlign w:val="center"/>
          </w:tcPr>
          <w:p w:rsidR="00BC046F" w:rsidRPr="001468DF" w:rsidRDefault="00BC046F" w:rsidP="0060623B">
            <w:pPr>
              <w:spacing w:before="40" w:after="40"/>
              <w:ind w:left="-57" w:right="-57" w:firstLine="0"/>
              <w:jc w:val="center"/>
              <w:rPr>
                <w:rFonts w:ascii="Lato" w:hAnsi="Lato"/>
                <w:b/>
                <w:color w:val="1F497D"/>
                <w:sz w:val="16"/>
                <w:szCs w:val="16"/>
              </w:rPr>
            </w:pPr>
            <w:r w:rsidRPr="001468DF">
              <w:rPr>
                <w:rFonts w:ascii="Lato" w:hAnsi="Lato"/>
                <w:b/>
                <w:color w:val="1F497D"/>
                <w:sz w:val="16"/>
                <w:szCs w:val="16"/>
              </w:rPr>
              <w:t>2016</w:t>
            </w:r>
          </w:p>
        </w:tc>
        <w:tc>
          <w:tcPr>
            <w:tcW w:w="645" w:type="dxa"/>
            <w:shd w:val="clear" w:color="auto" w:fill="DBE5F1"/>
            <w:vAlign w:val="center"/>
          </w:tcPr>
          <w:p w:rsidR="00BC046F" w:rsidRPr="001468DF" w:rsidRDefault="00BC046F" w:rsidP="0060623B">
            <w:pPr>
              <w:spacing w:before="40" w:after="40"/>
              <w:ind w:left="-57" w:right="-57" w:firstLine="0"/>
              <w:jc w:val="center"/>
              <w:rPr>
                <w:rFonts w:ascii="Lato" w:hAnsi="Lato"/>
                <w:b/>
                <w:color w:val="1F497D"/>
                <w:sz w:val="16"/>
                <w:szCs w:val="16"/>
              </w:rPr>
            </w:pPr>
            <w:r w:rsidRPr="001468DF">
              <w:rPr>
                <w:rFonts w:ascii="Lato" w:hAnsi="Lato"/>
                <w:b/>
                <w:color w:val="1F497D"/>
                <w:sz w:val="16"/>
                <w:szCs w:val="16"/>
              </w:rPr>
              <w:t>2017</w:t>
            </w:r>
          </w:p>
        </w:tc>
      </w:tr>
      <w:tr w:rsidR="001468DF" w:rsidRPr="00D352C4" w:rsidTr="001468DF">
        <w:trPr>
          <w:trHeight w:val="28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A - Rolnictwo, łowiectwo i leśnictwo</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40</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36</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37</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37</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38</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30</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27</w:t>
            </w:r>
          </w:p>
        </w:tc>
      </w:tr>
      <w:tr w:rsidR="001468DF" w:rsidRPr="00D352C4" w:rsidTr="001468DF">
        <w:trPr>
          <w:trHeight w:val="28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B - Górnictwo i wydobywanie</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w:t>
            </w:r>
          </w:p>
        </w:tc>
      </w:tr>
      <w:tr w:rsidR="001468DF" w:rsidRPr="00D352C4" w:rsidTr="001468DF">
        <w:trPr>
          <w:trHeight w:val="28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C - Przetwórstwo przemysłowe</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121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121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123</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121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121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121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128</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137</w:t>
            </w:r>
          </w:p>
        </w:tc>
      </w:tr>
      <w:tr w:rsidR="001468DF" w:rsidRPr="00D352C4" w:rsidTr="001468DF">
        <w:trPr>
          <w:trHeight w:val="28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D - Wytwarzanie i zaopatrywanie w energię elektryczną, gaz, parę wodną, gorącą wodę i powietrze do układów klimatyzacyjnych</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0</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0</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0</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0</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0</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0</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0</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0</w:t>
            </w:r>
          </w:p>
        </w:tc>
      </w:tr>
      <w:tr w:rsidR="001468DF" w:rsidRPr="00D352C4" w:rsidTr="001468DF">
        <w:trPr>
          <w:trHeight w:val="28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E - Dostawa wody; gospodarowanie ściekami i odpadami oraz działalność związana z rekultywacją</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5</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5</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5</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w:t>
            </w:r>
          </w:p>
        </w:tc>
      </w:tr>
      <w:tr w:rsidR="001468DF" w:rsidRPr="00D352C4" w:rsidTr="001468DF">
        <w:trPr>
          <w:trHeight w:val="40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F - Budownictwo</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106</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101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108</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112</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115</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106</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109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123</w:t>
            </w:r>
          </w:p>
        </w:tc>
      </w:tr>
      <w:tr w:rsidR="001468DF" w:rsidRPr="00D352C4" w:rsidTr="001468DF">
        <w:trPr>
          <w:trHeight w:val="446"/>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G - Handel hurtowy i detaliczny; naprawa pojazdów samochodowych, motocykli oraz artykułów użytku osobistego i domowego</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172</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186</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181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198</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214</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231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225</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236</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242</w:t>
            </w:r>
          </w:p>
        </w:tc>
      </w:tr>
      <w:tr w:rsidR="001468DF" w:rsidRPr="00D352C4" w:rsidTr="001468DF">
        <w:trPr>
          <w:trHeight w:val="174"/>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H - Hotele i restauracje</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40</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42</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42</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46</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46</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43</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42</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48</w:t>
            </w:r>
          </w:p>
        </w:tc>
      </w:tr>
      <w:tr w:rsidR="001468DF" w:rsidRPr="00D352C4" w:rsidTr="001468DF">
        <w:trPr>
          <w:trHeight w:val="28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I - Transport, gospodarka magazynowa i łączność</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10</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14</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17</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17</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15</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17</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16</w:t>
            </w:r>
          </w:p>
        </w:tc>
      </w:tr>
      <w:tr w:rsidR="001468DF" w:rsidRPr="00D352C4" w:rsidTr="001468DF">
        <w:trPr>
          <w:trHeight w:val="28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J - Pośrednictwo finansowe</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7</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r>
      <w:tr w:rsidR="001468DF" w:rsidRPr="00D352C4" w:rsidTr="001468DF">
        <w:trPr>
          <w:trHeight w:val="28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K - Obsługa nieruchomości, wynajem i usługi związane z prowadzeniem działalności gospodarczej</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7</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8</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8</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10</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8</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13</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r>
      <w:tr w:rsidR="001468DF" w:rsidRPr="00D352C4" w:rsidTr="001468DF">
        <w:trPr>
          <w:trHeight w:val="566"/>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L - Administracja publiczna i obrona narodowa; obowiązkowe ubezpieczenia społeczne i powszechne ubezpieczenie zdrowotne</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6</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10</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r>
      <w:tr w:rsidR="001468DF" w:rsidRPr="00D352C4" w:rsidTr="001468DF">
        <w:trPr>
          <w:trHeight w:val="28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M - Edukacja</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36</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35</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40</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40</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51</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62</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71</w:t>
            </w:r>
          </w:p>
        </w:tc>
      </w:tr>
      <w:tr w:rsidR="001468DF" w:rsidRPr="00D352C4" w:rsidTr="001468DF">
        <w:trPr>
          <w:trHeight w:val="28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N - Ochrona zdrowia i pomoc społeczna</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16</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16</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16</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16</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15</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15</w:t>
            </w:r>
          </w:p>
        </w:tc>
      </w:tr>
      <w:tr w:rsidR="001468DF" w:rsidRPr="00D352C4" w:rsidTr="001468DF">
        <w:trPr>
          <w:trHeight w:val="285"/>
          <w:jc w:val="center"/>
        </w:trPr>
        <w:tc>
          <w:tcPr>
            <w:tcW w:w="7148" w:type="dxa"/>
            <w:noWrap/>
            <w:vAlign w:val="center"/>
          </w:tcPr>
          <w:p w:rsidR="001468DF" w:rsidRPr="00390FFA" w:rsidRDefault="001468DF" w:rsidP="002E1ECD">
            <w:pPr>
              <w:ind w:firstLine="0"/>
              <w:rPr>
                <w:rFonts w:ascii="Lato" w:hAnsi="Lato"/>
                <w:color w:val="1F497D"/>
                <w:sz w:val="16"/>
                <w:szCs w:val="16"/>
              </w:rPr>
            </w:pPr>
            <w:r w:rsidRPr="00390FFA">
              <w:rPr>
                <w:rFonts w:ascii="Lato" w:hAnsi="Lato"/>
                <w:color w:val="1F497D"/>
                <w:sz w:val="16"/>
                <w:szCs w:val="16"/>
              </w:rPr>
              <w:t>Sekcja O - Działalność usługowa, komunalna, społeczna i indywidualna, pozostała</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9</w:t>
            </w:r>
          </w:p>
        </w:tc>
      </w:tr>
      <w:tr w:rsidR="001468DF" w:rsidRPr="00D352C4" w:rsidTr="001468DF">
        <w:trPr>
          <w:trHeight w:val="285"/>
          <w:jc w:val="center"/>
        </w:trPr>
        <w:tc>
          <w:tcPr>
            <w:tcW w:w="7148" w:type="dxa"/>
            <w:noWrap/>
            <w:vAlign w:val="center"/>
          </w:tcPr>
          <w:p w:rsidR="001468DF" w:rsidRPr="00390FFA" w:rsidRDefault="001468DF" w:rsidP="002E1ECD">
            <w:pPr>
              <w:ind w:firstLineChars="7" w:firstLine="11"/>
              <w:rPr>
                <w:rFonts w:ascii="Lato" w:hAnsi="Lato"/>
                <w:color w:val="1F497D"/>
                <w:sz w:val="16"/>
                <w:szCs w:val="16"/>
              </w:rPr>
            </w:pPr>
            <w:r w:rsidRPr="00390FFA">
              <w:rPr>
                <w:rFonts w:ascii="Lato" w:hAnsi="Lato"/>
                <w:color w:val="1F497D"/>
                <w:sz w:val="16"/>
                <w:szCs w:val="16"/>
              </w:rPr>
              <w:t>Sekcja P - Edukacja</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12</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14</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13</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15</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15</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18</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20</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18</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20</w:t>
            </w:r>
          </w:p>
        </w:tc>
      </w:tr>
      <w:tr w:rsidR="001468DF" w:rsidRPr="00D352C4" w:rsidTr="001468DF">
        <w:trPr>
          <w:trHeight w:val="285"/>
          <w:jc w:val="center"/>
        </w:trPr>
        <w:tc>
          <w:tcPr>
            <w:tcW w:w="7148" w:type="dxa"/>
            <w:noWrap/>
            <w:vAlign w:val="center"/>
          </w:tcPr>
          <w:p w:rsidR="001468DF" w:rsidRPr="00390FFA" w:rsidRDefault="001468DF" w:rsidP="002E1ECD">
            <w:pPr>
              <w:ind w:firstLineChars="7" w:firstLine="11"/>
              <w:rPr>
                <w:rFonts w:ascii="Lato" w:hAnsi="Lato"/>
                <w:color w:val="1F497D"/>
                <w:sz w:val="16"/>
                <w:szCs w:val="16"/>
              </w:rPr>
            </w:pPr>
            <w:r w:rsidRPr="00390FFA">
              <w:rPr>
                <w:rFonts w:ascii="Lato" w:hAnsi="Lato"/>
                <w:color w:val="1F497D"/>
                <w:sz w:val="16"/>
                <w:szCs w:val="16"/>
              </w:rPr>
              <w:t>Sekcja Q - Opieka zdrowotna i pomoc społeczna</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24</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25</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27</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33</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34</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39</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46</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48</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49</w:t>
            </w:r>
          </w:p>
        </w:tc>
      </w:tr>
      <w:tr w:rsidR="001468DF" w:rsidRPr="00D352C4" w:rsidTr="001468DF">
        <w:trPr>
          <w:trHeight w:val="285"/>
          <w:jc w:val="center"/>
        </w:trPr>
        <w:tc>
          <w:tcPr>
            <w:tcW w:w="7148" w:type="dxa"/>
            <w:noWrap/>
            <w:vAlign w:val="center"/>
          </w:tcPr>
          <w:p w:rsidR="001468DF" w:rsidRPr="00390FFA" w:rsidRDefault="001468DF" w:rsidP="002E1ECD">
            <w:pPr>
              <w:ind w:firstLineChars="7" w:firstLine="11"/>
              <w:rPr>
                <w:rFonts w:ascii="Lato" w:hAnsi="Lato"/>
                <w:color w:val="1F497D"/>
                <w:sz w:val="16"/>
                <w:szCs w:val="16"/>
              </w:rPr>
            </w:pPr>
            <w:r w:rsidRPr="00390FFA">
              <w:rPr>
                <w:rFonts w:ascii="Lato" w:hAnsi="Lato"/>
                <w:color w:val="1F497D"/>
                <w:sz w:val="16"/>
                <w:szCs w:val="16"/>
              </w:rPr>
              <w:t>Sekcja R - Działalność związana z kulturą, rozrywką i rekreacją</w:t>
            </w:r>
          </w:p>
        </w:tc>
        <w:tc>
          <w:tcPr>
            <w:tcW w:w="1597" w:type="dxa"/>
            <w:noWrap/>
            <w:vAlign w:val="center"/>
          </w:tcPr>
          <w:p w:rsidR="001468DF" w:rsidRPr="00390FFA" w:rsidRDefault="001468DF" w:rsidP="002E1ECD">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11</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10</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12</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12</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13</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14</w:t>
            </w:r>
          </w:p>
        </w:tc>
      </w:tr>
      <w:tr w:rsidR="001468DF" w:rsidRPr="00D352C4" w:rsidTr="001468DF">
        <w:trPr>
          <w:trHeight w:val="285"/>
          <w:jc w:val="center"/>
        </w:trPr>
        <w:tc>
          <w:tcPr>
            <w:tcW w:w="7148" w:type="dxa"/>
            <w:noWrap/>
            <w:vAlign w:val="center"/>
          </w:tcPr>
          <w:p w:rsidR="001468DF" w:rsidRPr="00390FFA" w:rsidRDefault="001468DF" w:rsidP="002E1ECD">
            <w:pPr>
              <w:ind w:firstLineChars="7" w:firstLine="11"/>
              <w:rPr>
                <w:rFonts w:ascii="Lato" w:hAnsi="Lato"/>
                <w:color w:val="1F497D"/>
                <w:sz w:val="16"/>
                <w:szCs w:val="16"/>
              </w:rPr>
            </w:pPr>
            <w:r w:rsidRPr="00390FFA">
              <w:rPr>
                <w:rFonts w:ascii="Lato" w:hAnsi="Lato"/>
                <w:color w:val="1F497D"/>
                <w:sz w:val="16"/>
                <w:szCs w:val="16"/>
              </w:rPr>
              <w:t>Sekcje S i T - Pozostała działalność usługowa, Gospodarstwa domowe zatrudniające pracowników; gospodarstwa domowe produkujące wyroby i świadczące usługi na własne potrzeby</w:t>
            </w:r>
          </w:p>
        </w:tc>
        <w:tc>
          <w:tcPr>
            <w:tcW w:w="1597" w:type="dxa"/>
            <w:noWrap/>
            <w:vAlign w:val="center"/>
          </w:tcPr>
          <w:p w:rsidR="001468DF" w:rsidRPr="00390FFA" w:rsidRDefault="001468DF" w:rsidP="005F218C">
            <w:pPr>
              <w:ind w:firstLine="0"/>
              <w:jc w:val="center"/>
              <w:rPr>
                <w:rFonts w:ascii="Lato" w:hAnsi="Lato"/>
                <w:color w:val="1F497D"/>
                <w:sz w:val="16"/>
                <w:szCs w:val="16"/>
              </w:rPr>
            </w:pPr>
            <w:r w:rsidRPr="00390FFA">
              <w:rPr>
                <w:rFonts w:ascii="Lato" w:hAnsi="Lato"/>
                <w:color w:val="1F497D"/>
                <w:sz w:val="16"/>
                <w:szCs w:val="16"/>
              </w:rPr>
              <w:t>jedn. gosp.</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35</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39</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38</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38</w:t>
            </w:r>
          </w:p>
        </w:tc>
        <w:tc>
          <w:tcPr>
            <w:tcW w:w="645" w:type="dxa"/>
            <w:noWrap/>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42</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43</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44</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48</w:t>
            </w:r>
          </w:p>
        </w:tc>
        <w:tc>
          <w:tcPr>
            <w:tcW w:w="645" w:type="dxa"/>
            <w:vAlign w:val="center"/>
          </w:tcPr>
          <w:p w:rsidR="001468DF" w:rsidRPr="001468DF" w:rsidRDefault="001468DF" w:rsidP="001468DF">
            <w:pPr>
              <w:ind w:firstLine="0"/>
              <w:jc w:val="center"/>
              <w:rPr>
                <w:rFonts w:ascii="Lato" w:hAnsi="Lato"/>
                <w:color w:val="1F497D"/>
                <w:sz w:val="16"/>
                <w:szCs w:val="16"/>
              </w:rPr>
            </w:pPr>
            <w:r w:rsidRPr="001468DF">
              <w:rPr>
                <w:rFonts w:ascii="Lato" w:hAnsi="Lato"/>
                <w:color w:val="1F497D"/>
                <w:sz w:val="16"/>
                <w:szCs w:val="16"/>
              </w:rPr>
              <w:t>48</w:t>
            </w:r>
          </w:p>
        </w:tc>
      </w:tr>
    </w:tbl>
    <w:p w:rsidR="002E1ECD" w:rsidRPr="008F1406" w:rsidRDefault="00E51AB9" w:rsidP="00E51AB9">
      <w:pPr>
        <w:pStyle w:val="Tekstpodstawowy"/>
        <w:spacing w:before="240"/>
        <w:jc w:val="center"/>
        <w:rPr>
          <w:rFonts w:ascii="Lato" w:hAnsi="Lato" w:cs="Times New Roman"/>
          <w:i/>
          <w:sz w:val="20"/>
          <w:szCs w:val="20"/>
        </w:rPr>
      </w:pPr>
      <w:r w:rsidRPr="008F1406">
        <w:rPr>
          <w:rFonts w:ascii="Lato" w:hAnsi="Lato" w:cs="Times New Roman"/>
          <w:i/>
          <w:sz w:val="20"/>
          <w:szCs w:val="20"/>
        </w:rPr>
        <w:t>Ź</w:t>
      </w:r>
      <w:r w:rsidR="002E1ECD" w:rsidRPr="008F1406">
        <w:rPr>
          <w:rFonts w:ascii="Lato" w:hAnsi="Lato" w:cs="Times New Roman"/>
          <w:i/>
          <w:sz w:val="20"/>
          <w:szCs w:val="20"/>
        </w:rPr>
        <w:t>ródło: GUS</w:t>
      </w:r>
    </w:p>
    <w:p w:rsidR="0012653A" w:rsidRPr="00D352C4" w:rsidRDefault="0012653A" w:rsidP="0050013E">
      <w:pPr>
        <w:ind w:firstLine="0"/>
        <w:jc w:val="both"/>
        <w:rPr>
          <w:rFonts w:ascii="Lato" w:hAnsi="Lato"/>
          <w:szCs w:val="22"/>
          <w:highlight w:val="yellow"/>
        </w:rPr>
        <w:sectPr w:rsidR="0012653A" w:rsidRPr="00D352C4" w:rsidSect="00DA48B8">
          <w:pgSz w:w="16840" w:h="11907" w:orient="landscape" w:code="9"/>
          <w:pgMar w:top="1021" w:right="1418" w:bottom="1021" w:left="992" w:header="567" w:footer="567" w:gutter="0"/>
          <w:cols w:space="708"/>
          <w:docGrid w:linePitch="299"/>
        </w:sectPr>
      </w:pPr>
    </w:p>
    <w:p w:rsidR="0012653A" w:rsidRPr="00390FFA" w:rsidRDefault="00D87C38" w:rsidP="00C729D3">
      <w:pPr>
        <w:ind w:firstLine="0"/>
        <w:jc w:val="both"/>
        <w:rPr>
          <w:rFonts w:ascii="Lato" w:hAnsi="Lato"/>
          <w:szCs w:val="22"/>
        </w:rPr>
      </w:pPr>
      <w:r w:rsidRPr="00390FFA">
        <w:rPr>
          <w:rFonts w:ascii="Lato" w:hAnsi="Lato"/>
          <w:szCs w:val="22"/>
        </w:rPr>
        <w:lastRenderedPageBreak/>
        <w:t>Na poniższym rysunku przedstawiono udział liczby podmiotów w odpowiednich sekcjach wg PKD2007</w:t>
      </w:r>
      <w:r w:rsidR="00756E4E" w:rsidRPr="00390FFA">
        <w:rPr>
          <w:rFonts w:ascii="Lato" w:hAnsi="Lato"/>
          <w:szCs w:val="22"/>
        </w:rPr>
        <w:t>.</w:t>
      </w:r>
    </w:p>
    <w:p w:rsidR="0012653A" w:rsidRPr="00067E07" w:rsidRDefault="0012653A" w:rsidP="0050013E">
      <w:pPr>
        <w:ind w:firstLine="0"/>
        <w:jc w:val="both"/>
        <w:rPr>
          <w:rFonts w:ascii="Lato" w:hAnsi="Lato"/>
          <w:szCs w:val="22"/>
        </w:rPr>
      </w:pPr>
    </w:p>
    <w:p w:rsidR="00D87C38" w:rsidRPr="00067E07" w:rsidRDefault="0006260E" w:rsidP="0090744C">
      <w:pPr>
        <w:ind w:firstLine="0"/>
        <w:jc w:val="center"/>
        <w:rPr>
          <w:rFonts w:ascii="Lato" w:hAnsi="Lato"/>
          <w:sz w:val="20"/>
          <w:szCs w:val="20"/>
        </w:rPr>
      </w:pPr>
      <w:r>
        <w:rPr>
          <w:noProof/>
        </w:rPr>
        <w:drawing>
          <wp:inline distT="0" distB="0" distL="0" distR="0" wp14:anchorId="6AEA6395" wp14:editId="3CFB4B1B">
            <wp:extent cx="5915025" cy="3095625"/>
            <wp:effectExtent l="0" t="0" r="0" b="0"/>
            <wp:docPr id="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A7ADD" w:rsidRPr="00067E07" w:rsidRDefault="007A7ADD" w:rsidP="00815B20">
      <w:pPr>
        <w:pStyle w:val="Legenda"/>
        <w:jc w:val="center"/>
        <w:rPr>
          <w:rFonts w:ascii="Lato" w:hAnsi="Lato"/>
          <w:color w:val="365F91"/>
          <w:sz w:val="20"/>
          <w:szCs w:val="20"/>
        </w:rPr>
      </w:pPr>
      <w:bookmarkStart w:id="68" w:name="_Toc20219214"/>
      <w:r w:rsidRPr="00067E07">
        <w:rPr>
          <w:rFonts w:ascii="Lato" w:hAnsi="Lato"/>
          <w:color w:val="365F91"/>
          <w:sz w:val="20"/>
          <w:szCs w:val="20"/>
        </w:rPr>
        <w:t xml:space="preserve">Rysunek </w:t>
      </w:r>
      <w:r w:rsidR="004042AE" w:rsidRPr="00067E07">
        <w:rPr>
          <w:rFonts w:ascii="Lato" w:hAnsi="Lato"/>
          <w:color w:val="365F91"/>
          <w:sz w:val="20"/>
          <w:szCs w:val="20"/>
        </w:rPr>
        <w:fldChar w:fldCharType="begin"/>
      </w:r>
      <w:r w:rsidR="005430ED" w:rsidRPr="00067E07">
        <w:rPr>
          <w:rFonts w:ascii="Lato" w:hAnsi="Lato"/>
          <w:color w:val="365F91"/>
          <w:sz w:val="20"/>
          <w:szCs w:val="20"/>
        </w:rPr>
        <w:instrText xml:space="preserve"> STYLEREF 1 \s </w:instrText>
      </w:r>
      <w:r w:rsidR="004042AE" w:rsidRPr="00067E07">
        <w:rPr>
          <w:rFonts w:ascii="Lato" w:hAnsi="Lato"/>
          <w:color w:val="365F91"/>
          <w:sz w:val="20"/>
          <w:szCs w:val="20"/>
        </w:rPr>
        <w:fldChar w:fldCharType="separate"/>
      </w:r>
      <w:r w:rsidR="0040205B">
        <w:rPr>
          <w:rFonts w:ascii="Lato" w:hAnsi="Lato"/>
          <w:noProof/>
          <w:color w:val="365F91"/>
          <w:sz w:val="20"/>
          <w:szCs w:val="20"/>
        </w:rPr>
        <w:t>1</w:t>
      </w:r>
      <w:r w:rsidR="004042AE" w:rsidRPr="00067E07">
        <w:rPr>
          <w:rFonts w:ascii="Lato" w:hAnsi="Lato"/>
          <w:color w:val="365F91"/>
          <w:sz w:val="20"/>
          <w:szCs w:val="20"/>
        </w:rPr>
        <w:fldChar w:fldCharType="end"/>
      </w:r>
      <w:r w:rsidR="005430ED" w:rsidRPr="00067E07">
        <w:rPr>
          <w:rFonts w:ascii="Lato" w:hAnsi="Lato"/>
          <w:color w:val="365F91"/>
          <w:sz w:val="20"/>
          <w:szCs w:val="20"/>
        </w:rPr>
        <w:noBreakHyphen/>
      </w:r>
      <w:r w:rsidR="004042AE" w:rsidRPr="00067E07">
        <w:rPr>
          <w:rFonts w:ascii="Lato" w:hAnsi="Lato"/>
          <w:color w:val="365F91"/>
          <w:sz w:val="20"/>
          <w:szCs w:val="20"/>
        </w:rPr>
        <w:fldChar w:fldCharType="begin"/>
      </w:r>
      <w:r w:rsidR="005430ED" w:rsidRPr="00067E07">
        <w:rPr>
          <w:rFonts w:ascii="Lato" w:hAnsi="Lato"/>
          <w:color w:val="365F91"/>
          <w:sz w:val="20"/>
          <w:szCs w:val="20"/>
        </w:rPr>
        <w:instrText xml:space="preserve"> SEQ Rysunek \* ARABIC \s 1 </w:instrText>
      </w:r>
      <w:r w:rsidR="004042AE" w:rsidRPr="00067E07">
        <w:rPr>
          <w:rFonts w:ascii="Lato" w:hAnsi="Lato"/>
          <w:color w:val="365F91"/>
          <w:sz w:val="20"/>
          <w:szCs w:val="20"/>
        </w:rPr>
        <w:fldChar w:fldCharType="separate"/>
      </w:r>
      <w:r w:rsidR="0040205B">
        <w:rPr>
          <w:rFonts w:ascii="Lato" w:hAnsi="Lato"/>
          <w:noProof/>
          <w:color w:val="365F91"/>
          <w:sz w:val="20"/>
          <w:szCs w:val="20"/>
        </w:rPr>
        <w:t>5</w:t>
      </w:r>
      <w:r w:rsidR="004042AE" w:rsidRPr="00067E07">
        <w:rPr>
          <w:rFonts w:ascii="Lato" w:hAnsi="Lato"/>
          <w:color w:val="365F91"/>
          <w:sz w:val="20"/>
          <w:szCs w:val="20"/>
        </w:rPr>
        <w:fldChar w:fldCharType="end"/>
      </w:r>
      <w:r w:rsidRPr="00067E07">
        <w:rPr>
          <w:rFonts w:ascii="Lato" w:hAnsi="Lato"/>
          <w:color w:val="365F91"/>
          <w:sz w:val="20"/>
          <w:szCs w:val="20"/>
        </w:rPr>
        <w:t xml:space="preserve"> Udział liczby poszczególnych grup wg klasyfikacji PKD 2007</w:t>
      </w:r>
      <w:bookmarkEnd w:id="68"/>
    </w:p>
    <w:p w:rsidR="00E77738" w:rsidRPr="008F1406" w:rsidRDefault="00E51AB9" w:rsidP="00815B20">
      <w:pPr>
        <w:pStyle w:val="Tekstpodstawowy"/>
        <w:jc w:val="center"/>
        <w:rPr>
          <w:rFonts w:ascii="Lato" w:hAnsi="Lato" w:cs="Times New Roman"/>
          <w:i/>
          <w:sz w:val="18"/>
          <w:szCs w:val="20"/>
          <w:highlight w:val="yellow"/>
        </w:rPr>
      </w:pPr>
      <w:r w:rsidRPr="008F1406">
        <w:rPr>
          <w:rFonts w:ascii="Lato" w:hAnsi="Lato" w:cs="Times New Roman"/>
          <w:i/>
          <w:sz w:val="20"/>
          <w:szCs w:val="20"/>
        </w:rPr>
        <w:t>Ź</w:t>
      </w:r>
      <w:r w:rsidR="00E77738" w:rsidRPr="008F1406">
        <w:rPr>
          <w:rFonts w:ascii="Lato" w:hAnsi="Lato" w:cs="Times New Roman"/>
          <w:i/>
          <w:sz w:val="20"/>
          <w:szCs w:val="20"/>
        </w:rPr>
        <w:t>ródło: GUS</w:t>
      </w:r>
    </w:p>
    <w:p w:rsidR="00D87C38" w:rsidRPr="00D352C4" w:rsidRDefault="00D87C38" w:rsidP="0050013E">
      <w:pPr>
        <w:ind w:firstLine="0"/>
        <w:jc w:val="both"/>
        <w:rPr>
          <w:rFonts w:ascii="Lato" w:hAnsi="Lato"/>
          <w:sz w:val="20"/>
          <w:szCs w:val="20"/>
          <w:highlight w:val="yellow"/>
        </w:rPr>
      </w:pPr>
    </w:p>
    <w:p w:rsidR="007B7859" w:rsidRPr="00067E07" w:rsidRDefault="007B7859" w:rsidP="00C729D3">
      <w:pPr>
        <w:ind w:firstLine="0"/>
        <w:jc w:val="both"/>
        <w:rPr>
          <w:rFonts w:ascii="Lato" w:hAnsi="Lato"/>
        </w:rPr>
      </w:pPr>
      <w:r w:rsidRPr="00067E07">
        <w:rPr>
          <w:rFonts w:ascii="Lato" w:hAnsi="Lato"/>
        </w:rPr>
        <w:t xml:space="preserve">Do największych grup branżowych na terenie Gminy </w:t>
      </w:r>
      <w:r w:rsidR="00067E07" w:rsidRPr="00067E07">
        <w:rPr>
          <w:rFonts w:ascii="Lato" w:hAnsi="Lato"/>
        </w:rPr>
        <w:t>Pabianice</w:t>
      </w:r>
      <w:r w:rsidRPr="00067E07">
        <w:rPr>
          <w:rFonts w:ascii="Lato" w:hAnsi="Lato"/>
        </w:rPr>
        <w:t xml:space="preserve"> w 2017 należą firmy z kategorii:</w:t>
      </w:r>
    </w:p>
    <w:p w:rsidR="007B7859" w:rsidRPr="00CD3DFF" w:rsidRDefault="007B7859"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handel hurtowy i detaliczny; naprawa pojazdów samochodowych, motocykli oraz artykułów użytku osobistego i domowego (</w:t>
      </w:r>
      <w:r w:rsidR="00067E07" w:rsidRPr="00CD3DFF">
        <w:rPr>
          <w:rFonts w:ascii="Lato" w:hAnsi="Lato" w:cs="Times New Roman"/>
        </w:rPr>
        <w:t>242</w:t>
      </w:r>
      <w:r w:rsidRPr="00CD3DFF">
        <w:rPr>
          <w:rFonts w:ascii="Lato" w:hAnsi="Lato" w:cs="Times New Roman"/>
        </w:rPr>
        <w:t xml:space="preserve"> podmiotów),</w:t>
      </w:r>
    </w:p>
    <w:p w:rsidR="00067E07" w:rsidRPr="00CD3DFF" w:rsidRDefault="00067E07"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przetwórstwo przemysłowe (137 podmiotów),</w:t>
      </w:r>
    </w:p>
    <w:p w:rsidR="007B7859" w:rsidRPr="00CD3DFF" w:rsidRDefault="007B7859"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budownictwo (</w:t>
      </w:r>
      <w:r w:rsidR="00067E07" w:rsidRPr="00CD3DFF">
        <w:rPr>
          <w:rFonts w:ascii="Lato" w:hAnsi="Lato" w:cs="Times New Roman"/>
        </w:rPr>
        <w:t>123</w:t>
      </w:r>
      <w:r w:rsidRPr="00CD3DFF">
        <w:rPr>
          <w:rFonts w:ascii="Lato" w:hAnsi="Lato" w:cs="Times New Roman"/>
        </w:rPr>
        <w:t xml:space="preserve"> podmiotów)</w:t>
      </w:r>
      <w:r w:rsidR="00067E07" w:rsidRPr="00CD3DFF">
        <w:rPr>
          <w:rFonts w:ascii="Lato" w:hAnsi="Lato" w:cs="Times New Roman"/>
        </w:rPr>
        <w:t>.</w:t>
      </w:r>
    </w:p>
    <w:p w:rsidR="007B7859" w:rsidRPr="00D352C4" w:rsidRDefault="007B7859" w:rsidP="0050013E">
      <w:pPr>
        <w:ind w:firstLine="0"/>
        <w:jc w:val="both"/>
        <w:rPr>
          <w:rFonts w:ascii="Lato" w:hAnsi="Lato"/>
          <w:sz w:val="20"/>
          <w:szCs w:val="20"/>
          <w:highlight w:val="yellow"/>
        </w:rPr>
      </w:pPr>
    </w:p>
    <w:p w:rsidR="00863504" w:rsidRPr="00C6684F" w:rsidRDefault="00863504" w:rsidP="00AB431C">
      <w:pPr>
        <w:pStyle w:val="Nagwek4"/>
        <w:numPr>
          <w:ilvl w:val="3"/>
          <w:numId w:val="38"/>
        </w:numPr>
        <w:ind w:left="1134" w:right="52" w:hanging="1134"/>
        <w:jc w:val="both"/>
        <w:rPr>
          <w:rFonts w:ascii="Lato" w:hAnsi="Lato"/>
          <w:b w:val="0"/>
          <w:i w:val="0"/>
          <w:color w:val="365F91"/>
          <w:sz w:val="22"/>
          <w:szCs w:val="22"/>
        </w:rPr>
      </w:pPr>
      <w:r w:rsidRPr="00C6684F">
        <w:rPr>
          <w:rFonts w:ascii="Lato" w:hAnsi="Lato"/>
          <w:b w:val="0"/>
          <w:i w:val="0"/>
          <w:color w:val="365F91"/>
          <w:sz w:val="22"/>
          <w:szCs w:val="22"/>
        </w:rPr>
        <w:t>Rolnictwo i leśnictwo</w:t>
      </w:r>
    </w:p>
    <w:p w:rsidR="00C60BC0" w:rsidRPr="00C6684F" w:rsidRDefault="00C60BC0" w:rsidP="00C729D3">
      <w:pPr>
        <w:pStyle w:val="Tekstpodstawowy"/>
        <w:ind w:firstLine="709"/>
        <w:rPr>
          <w:rFonts w:ascii="Lato" w:hAnsi="Lato" w:cs="Times New Roman"/>
        </w:rPr>
      </w:pPr>
      <w:r w:rsidRPr="00C6684F">
        <w:rPr>
          <w:rFonts w:ascii="Lato" w:hAnsi="Lato" w:cs="Times New Roman"/>
        </w:rPr>
        <w:t>Teren gminy należy do obszarów o dużej koncentracji gruntów rolnych, które stanowią około 7</w:t>
      </w:r>
      <w:r w:rsidR="00055FCD">
        <w:rPr>
          <w:rFonts w:ascii="Lato" w:hAnsi="Lato" w:cs="Times New Roman"/>
        </w:rPr>
        <w:t>3,4</w:t>
      </w:r>
      <w:r w:rsidRPr="00C6684F">
        <w:rPr>
          <w:rFonts w:ascii="Lato" w:hAnsi="Lato" w:cs="Times New Roman"/>
        </w:rPr>
        <w:t>% jego powierzchni. Analogiczna średnia w wojewó</w:t>
      </w:r>
      <w:r w:rsidR="00D03562">
        <w:rPr>
          <w:rFonts w:ascii="Lato" w:hAnsi="Lato" w:cs="Times New Roman"/>
        </w:rPr>
        <w:t>dztwie i w kraju jest niższa od </w:t>
      </w:r>
      <w:r w:rsidRPr="00C6684F">
        <w:rPr>
          <w:rFonts w:ascii="Lato" w:hAnsi="Lato" w:cs="Times New Roman"/>
        </w:rPr>
        <w:t>średniej w Gminie Pabianice.</w:t>
      </w:r>
    </w:p>
    <w:p w:rsidR="00CA7152" w:rsidRPr="00C6684F" w:rsidRDefault="00C60BC0" w:rsidP="00C729D3">
      <w:pPr>
        <w:pStyle w:val="Tekstpodstawowy"/>
        <w:ind w:firstLine="709"/>
        <w:rPr>
          <w:rFonts w:ascii="Lato" w:hAnsi="Lato" w:cs="Times New Roman"/>
        </w:rPr>
      </w:pPr>
      <w:r w:rsidRPr="00C6684F">
        <w:rPr>
          <w:rFonts w:ascii="Lato" w:hAnsi="Lato" w:cs="Times New Roman"/>
        </w:rPr>
        <w:t>Szczegółowa struktura przeznaczenia gruntów na obszarze</w:t>
      </w:r>
      <w:r w:rsidR="00D03562">
        <w:rPr>
          <w:rFonts w:ascii="Lato" w:hAnsi="Lato" w:cs="Times New Roman"/>
        </w:rPr>
        <w:t xml:space="preserve"> gminy została przedstawiona na </w:t>
      </w:r>
      <w:r w:rsidRPr="00C6684F">
        <w:rPr>
          <w:rFonts w:ascii="Lato" w:hAnsi="Lato" w:cs="Times New Roman"/>
        </w:rPr>
        <w:t>rysunku 1-6.</w:t>
      </w:r>
    </w:p>
    <w:p w:rsidR="00B649E3" w:rsidRDefault="0006260E" w:rsidP="00B649E3">
      <w:pPr>
        <w:ind w:firstLine="0"/>
        <w:jc w:val="center"/>
      </w:pPr>
      <w:bookmarkStart w:id="69" w:name="_Toc140645060"/>
      <w:bookmarkStart w:id="70" w:name="_Toc225155559"/>
      <w:r>
        <w:rPr>
          <w:noProof/>
        </w:rPr>
        <w:lastRenderedPageBreak/>
        <w:drawing>
          <wp:inline distT="0" distB="0" distL="0" distR="0" wp14:anchorId="0F7D2DF1" wp14:editId="505835F0">
            <wp:extent cx="5615940" cy="3312160"/>
            <wp:effectExtent l="0" t="0" r="3810" b="2540"/>
            <wp:docPr id="109"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5940" cy="3312160"/>
                    </a:xfrm>
                    <a:prstGeom prst="rect">
                      <a:avLst/>
                    </a:prstGeom>
                    <a:noFill/>
                  </pic:spPr>
                </pic:pic>
              </a:graphicData>
            </a:graphic>
          </wp:inline>
        </w:drawing>
      </w:r>
    </w:p>
    <w:p w:rsidR="0050013E" w:rsidRPr="00C6684F" w:rsidRDefault="0050013E" w:rsidP="00B649E3">
      <w:pPr>
        <w:ind w:left="510" w:firstLine="0"/>
        <w:jc w:val="center"/>
        <w:rPr>
          <w:rFonts w:ascii="Lato" w:hAnsi="Lato"/>
          <w:color w:val="365F91"/>
          <w:sz w:val="20"/>
          <w:szCs w:val="20"/>
        </w:rPr>
      </w:pPr>
      <w:bookmarkStart w:id="71" w:name="_Toc20219215"/>
      <w:r w:rsidRPr="00C6684F">
        <w:rPr>
          <w:rFonts w:ascii="Lato" w:hAnsi="Lato"/>
          <w:color w:val="365F91"/>
          <w:sz w:val="20"/>
          <w:szCs w:val="20"/>
        </w:rPr>
        <w:t xml:space="preserve">Rysunek </w:t>
      </w:r>
      <w:r w:rsidR="004042AE" w:rsidRPr="00C6684F">
        <w:rPr>
          <w:rFonts w:ascii="Lato" w:hAnsi="Lato"/>
          <w:color w:val="365F91"/>
          <w:sz w:val="20"/>
          <w:szCs w:val="20"/>
        </w:rPr>
        <w:fldChar w:fldCharType="begin"/>
      </w:r>
      <w:r w:rsidR="005430ED" w:rsidRPr="00C6684F">
        <w:rPr>
          <w:rFonts w:ascii="Lato" w:hAnsi="Lato"/>
          <w:color w:val="365F91"/>
          <w:sz w:val="20"/>
          <w:szCs w:val="20"/>
        </w:rPr>
        <w:instrText xml:space="preserve"> STYLEREF 1 \s </w:instrText>
      </w:r>
      <w:r w:rsidR="004042AE" w:rsidRPr="00C6684F">
        <w:rPr>
          <w:rFonts w:ascii="Lato" w:hAnsi="Lato"/>
          <w:color w:val="365F91"/>
          <w:sz w:val="20"/>
          <w:szCs w:val="20"/>
        </w:rPr>
        <w:fldChar w:fldCharType="separate"/>
      </w:r>
      <w:r w:rsidR="000F2422">
        <w:rPr>
          <w:rFonts w:ascii="Lato" w:hAnsi="Lato"/>
          <w:noProof/>
          <w:color w:val="365F91"/>
          <w:sz w:val="20"/>
          <w:szCs w:val="20"/>
        </w:rPr>
        <w:t>1</w:t>
      </w:r>
      <w:r w:rsidR="004042AE" w:rsidRPr="00C6684F">
        <w:rPr>
          <w:rFonts w:ascii="Lato" w:hAnsi="Lato"/>
          <w:color w:val="365F91"/>
          <w:sz w:val="20"/>
          <w:szCs w:val="20"/>
        </w:rPr>
        <w:fldChar w:fldCharType="end"/>
      </w:r>
      <w:r w:rsidR="005430ED" w:rsidRPr="00C6684F">
        <w:rPr>
          <w:rFonts w:ascii="Lato" w:hAnsi="Lato"/>
          <w:color w:val="365F91"/>
          <w:sz w:val="20"/>
          <w:szCs w:val="20"/>
        </w:rPr>
        <w:noBreakHyphen/>
      </w:r>
      <w:r w:rsidR="004042AE" w:rsidRPr="00C6684F">
        <w:rPr>
          <w:rFonts w:ascii="Lato" w:hAnsi="Lato"/>
          <w:color w:val="365F91"/>
          <w:sz w:val="20"/>
          <w:szCs w:val="20"/>
        </w:rPr>
        <w:fldChar w:fldCharType="begin"/>
      </w:r>
      <w:r w:rsidR="005430ED" w:rsidRPr="00C6684F">
        <w:rPr>
          <w:rFonts w:ascii="Lato" w:hAnsi="Lato"/>
          <w:color w:val="365F91"/>
          <w:sz w:val="20"/>
          <w:szCs w:val="20"/>
        </w:rPr>
        <w:instrText xml:space="preserve"> SEQ Rysunek \* ARABIC \s 1 </w:instrText>
      </w:r>
      <w:r w:rsidR="004042AE" w:rsidRPr="00C6684F">
        <w:rPr>
          <w:rFonts w:ascii="Lato" w:hAnsi="Lato"/>
          <w:color w:val="365F91"/>
          <w:sz w:val="20"/>
          <w:szCs w:val="20"/>
        </w:rPr>
        <w:fldChar w:fldCharType="separate"/>
      </w:r>
      <w:r w:rsidR="000F2422">
        <w:rPr>
          <w:rFonts w:ascii="Lato" w:hAnsi="Lato"/>
          <w:noProof/>
          <w:color w:val="365F91"/>
          <w:sz w:val="20"/>
          <w:szCs w:val="20"/>
        </w:rPr>
        <w:t>6</w:t>
      </w:r>
      <w:r w:rsidR="004042AE" w:rsidRPr="00C6684F">
        <w:rPr>
          <w:rFonts w:ascii="Lato" w:hAnsi="Lato"/>
          <w:color w:val="365F91"/>
          <w:sz w:val="20"/>
          <w:szCs w:val="20"/>
        </w:rPr>
        <w:fldChar w:fldCharType="end"/>
      </w:r>
      <w:r w:rsidRPr="00C6684F">
        <w:rPr>
          <w:rFonts w:ascii="Lato" w:hAnsi="Lato"/>
          <w:color w:val="365F91"/>
          <w:sz w:val="20"/>
          <w:szCs w:val="20"/>
        </w:rPr>
        <w:t xml:space="preserve"> Użytkowanie gruntów na terenie </w:t>
      </w:r>
      <w:bookmarkEnd w:id="69"/>
      <w:bookmarkEnd w:id="70"/>
      <w:r w:rsidR="00D212A0" w:rsidRPr="00C6684F">
        <w:rPr>
          <w:rFonts w:ascii="Lato" w:hAnsi="Lato"/>
          <w:color w:val="365F91"/>
          <w:sz w:val="20"/>
          <w:szCs w:val="20"/>
        </w:rPr>
        <w:t xml:space="preserve">Gminy </w:t>
      </w:r>
      <w:r w:rsidR="009759CC" w:rsidRPr="00C6684F">
        <w:rPr>
          <w:rFonts w:ascii="Lato" w:hAnsi="Lato"/>
          <w:color w:val="365F91"/>
          <w:sz w:val="20"/>
          <w:szCs w:val="20"/>
        </w:rPr>
        <w:t>Pabianice</w:t>
      </w:r>
      <w:bookmarkEnd w:id="71"/>
    </w:p>
    <w:p w:rsidR="0012725E" w:rsidRPr="008F1406" w:rsidRDefault="00E51AB9" w:rsidP="00E9502B">
      <w:pPr>
        <w:pStyle w:val="Tekstpodstawowy"/>
        <w:jc w:val="center"/>
        <w:rPr>
          <w:rFonts w:ascii="Lato" w:hAnsi="Lato" w:cs="Times New Roman"/>
          <w:i/>
          <w:sz w:val="20"/>
          <w:szCs w:val="20"/>
          <w:highlight w:val="yellow"/>
        </w:rPr>
      </w:pPr>
      <w:r w:rsidRPr="008F1406">
        <w:rPr>
          <w:rFonts w:ascii="Lato" w:hAnsi="Lato" w:cs="Times New Roman"/>
          <w:i/>
          <w:sz w:val="20"/>
          <w:szCs w:val="20"/>
        </w:rPr>
        <w:t>Ź</w:t>
      </w:r>
      <w:r w:rsidR="0012725E" w:rsidRPr="008F1406">
        <w:rPr>
          <w:rFonts w:ascii="Lato" w:hAnsi="Lato" w:cs="Times New Roman"/>
          <w:i/>
          <w:sz w:val="20"/>
          <w:szCs w:val="20"/>
        </w:rPr>
        <w:t>ródło: GUS</w:t>
      </w:r>
    </w:p>
    <w:p w:rsidR="00D212A0" w:rsidRPr="00D352C4" w:rsidRDefault="00D212A0" w:rsidP="00E9502B">
      <w:pPr>
        <w:pStyle w:val="Tekstpodstawowy"/>
        <w:jc w:val="center"/>
        <w:rPr>
          <w:rFonts w:ascii="Lato" w:hAnsi="Lato" w:cs="Times New Roman"/>
          <w:i/>
          <w:sz w:val="20"/>
          <w:szCs w:val="20"/>
          <w:highlight w:val="yellow"/>
        </w:rPr>
      </w:pPr>
    </w:p>
    <w:p w:rsidR="004143C6" w:rsidRPr="00903C4F" w:rsidRDefault="004143C6" w:rsidP="00AB431C">
      <w:pPr>
        <w:pStyle w:val="Akapitzlist"/>
        <w:keepNext/>
        <w:numPr>
          <w:ilvl w:val="2"/>
          <w:numId w:val="38"/>
        </w:numPr>
        <w:tabs>
          <w:tab w:val="left" w:pos="709"/>
        </w:tabs>
        <w:spacing w:before="180" w:after="180" w:line="288" w:lineRule="auto"/>
        <w:ind w:left="709" w:hanging="709"/>
        <w:jc w:val="both"/>
        <w:outlineLvl w:val="2"/>
        <w:rPr>
          <w:rFonts w:ascii="Lato" w:hAnsi="Lato"/>
          <w:bCs/>
          <w:color w:val="365F91"/>
          <w:lang w:eastAsia="en-US"/>
        </w:rPr>
      </w:pPr>
      <w:bookmarkStart w:id="72" w:name="_Toc20218502"/>
      <w:r w:rsidRPr="00903C4F">
        <w:rPr>
          <w:rFonts w:ascii="Lato" w:hAnsi="Lato"/>
          <w:bCs/>
          <w:color w:val="365F91"/>
          <w:lang w:eastAsia="en-US"/>
        </w:rPr>
        <w:t>Ogólna charakterystyka infrastruktury budowlanej</w:t>
      </w:r>
      <w:bookmarkEnd w:id="72"/>
    </w:p>
    <w:p w:rsidR="00003716" w:rsidRPr="00903C4F" w:rsidRDefault="00003716" w:rsidP="00C729D3">
      <w:pPr>
        <w:pStyle w:val="Tekstpodstawowy"/>
        <w:ind w:firstLine="709"/>
        <w:rPr>
          <w:rFonts w:ascii="Lato" w:hAnsi="Lato" w:cs="Times New Roman"/>
        </w:rPr>
      </w:pPr>
      <w:r w:rsidRPr="00903C4F">
        <w:rPr>
          <w:rFonts w:ascii="Lato" w:hAnsi="Lato" w:cs="Times New Roman"/>
        </w:rPr>
        <w:t xml:space="preserve">Obiekty budowlane znajdujące się na terenie </w:t>
      </w:r>
      <w:r w:rsidR="00D212A0" w:rsidRPr="00903C4F">
        <w:rPr>
          <w:rFonts w:ascii="Lato" w:hAnsi="Lato" w:cs="Times New Roman"/>
        </w:rPr>
        <w:t>gminy</w:t>
      </w:r>
      <w:r w:rsidRPr="00903C4F">
        <w:rPr>
          <w:rFonts w:ascii="Lato" w:hAnsi="Lato" w:cs="Times New Roman"/>
        </w:rPr>
        <w:t xml:space="preserve"> różnią się wiekiem, technologią wykonania, przeznaczeniem, w związku z tym ich energochłonność jest także zróżnicowana. Spośród wszystkich budynków wyodrębniono podstawowe grupy obiektów:</w:t>
      </w:r>
    </w:p>
    <w:p w:rsidR="00003716" w:rsidRPr="00903C4F" w:rsidRDefault="00003716" w:rsidP="00CD3DFF">
      <w:pPr>
        <w:pStyle w:val="Tekstpodstawowy"/>
        <w:numPr>
          <w:ilvl w:val="0"/>
          <w:numId w:val="83"/>
        </w:numPr>
        <w:tabs>
          <w:tab w:val="clear" w:pos="360"/>
        </w:tabs>
        <w:ind w:left="709" w:hanging="425"/>
        <w:rPr>
          <w:rFonts w:ascii="Lato" w:hAnsi="Lato" w:cs="Times New Roman"/>
        </w:rPr>
      </w:pPr>
      <w:r w:rsidRPr="00903C4F">
        <w:rPr>
          <w:rFonts w:ascii="Lato" w:hAnsi="Lato" w:cs="Times New Roman"/>
        </w:rPr>
        <w:t>budynki mieszkalne jednorodzinne i wielorodzinne,</w:t>
      </w:r>
    </w:p>
    <w:p w:rsidR="00003716" w:rsidRPr="00903C4F" w:rsidRDefault="00003716" w:rsidP="00CD3DFF">
      <w:pPr>
        <w:pStyle w:val="Tekstpodstawowy"/>
        <w:numPr>
          <w:ilvl w:val="0"/>
          <w:numId w:val="83"/>
        </w:numPr>
        <w:tabs>
          <w:tab w:val="clear" w:pos="360"/>
        </w:tabs>
        <w:ind w:left="709" w:hanging="425"/>
        <w:rPr>
          <w:rFonts w:ascii="Lato" w:hAnsi="Lato" w:cs="Times New Roman"/>
        </w:rPr>
      </w:pPr>
      <w:r w:rsidRPr="00903C4F">
        <w:rPr>
          <w:rFonts w:ascii="Lato" w:hAnsi="Lato" w:cs="Times New Roman"/>
        </w:rPr>
        <w:t>obiekty użyteczności publicznej,</w:t>
      </w:r>
    </w:p>
    <w:p w:rsidR="00003716" w:rsidRPr="00903C4F" w:rsidRDefault="00003716" w:rsidP="00CD3DFF">
      <w:pPr>
        <w:pStyle w:val="Tekstpodstawowy"/>
        <w:numPr>
          <w:ilvl w:val="0"/>
          <w:numId w:val="83"/>
        </w:numPr>
        <w:tabs>
          <w:tab w:val="clear" w:pos="360"/>
        </w:tabs>
        <w:ind w:left="709" w:hanging="425"/>
        <w:rPr>
          <w:rFonts w:ascii="Lato" w:hAnsi="Lato" w:cs="Times New Roman"/>
        </w:rPr>
      </w:pPr>
      <w:r w:rsidRPr="00903C4F">
        <w:rPr>
          <w:rFonts w:ascii="Lato" w:hAnsi="Lato" w:cs="Times New Roman"/>
        </w:rPr>
        <w:t>obiekty handlowe, usługowe i przemysłowe – podmioty gospodarcze.</w:t>
      </w:r>
    </w:p>
    <w:p w:rsidR="00003716" w:rsidRPr="00903C4F" w:rsidRDefault="00003716" w:rsidP="00C729D3">
      <w:pPr>
        <w:pStyle w:val="Tekstpodstawowy"/>
        <w:ind w:firstLine="360"/>
        <w:rPr>
          <w:rFonts w:ascii="Lato" w:hAnsi="Lato" w:cs="Times New Roman"/>
        </w:rPr>
      </w:pPr>
      <w:r w:rsidRPr="00903C4F">
        <w:rPr>
          <w:rFonts w:ascii="Lato" w:hAnsi="Lato" w:cs="Times New Roman"/>
        </w:rPr>
        <w:t>W sektorze budynków mieszkalnych i użyteczności publicznej (budynki edukacyjne, urzędy, obiekty sportowe) energia może być użytkowana do realizacji</w:t>
      </w:r>
      <w:r w:rsidR="00903C4F" w:rsidRPr="00903C4F">
        <w:rPr>
          <w:rFonts w:ascii="Lato" w:hAnsi="Lato" w:cs="Times New Roman"/>
        </w:rPr>
        <w:t xml:space="preserve"> celów takich jak: ogrzewanie i </w:t>
      </w:r>
      <w:r w:rsidRPr="00903C4F">
        <w:rPr>
          <w:rFonts w:ascii="Lato" w:hAnsi="Lato" w:cs="Times New Roman"/>
        </w:rPr>
        <w:t>wentylacja, podgrzewanie wody, klimatyzacja, gotowanie, oświetlenie, napędy urządzeń elektrycznych, zasilanie urządzeń biurowych i sprzętu AGD. W budownictwie tradycyjnym energia zużywana jest głównie do celów ogrzewania pomieszczeń. Zasadniczymi czynnikami, od których zależy to zużycie jest temperatura zewnętrzna i temperatura wewnętrzna pomieszczeń ogrzewanych, a to z kolei wynika z przeznaczenia budynku. Charakterystyczne minimalne temperatury zewnętrzne dane są dla poszczególnych stref klimatycznych kraju. Podział na te strefy pokazano na poniższym rysunku.</w:t>
      </w:r>
    </w:p>
    <w:p w:rsidR="0050013E" w:rsidRPr="00D352C4" w:rsidRDefault="0050013E" w:rsidP="0050013E">
      <w:pPr>
        <w:pStyle w:val="Tekstpodstawowy"/>
        <w:rPr>
          <w:rFonts w:ascii="Lato" w:hAnsi="Lato" w:cs="Times New Roman"/>
          <w:highlight w:val="yellow"/>
        </w:rPr>
      </w:pPr>
    </w:p>
    <w:tbl>
      <w:tblPr>
        <w:tblW w:w="0" w:type="auto"/>
        <w:jc w:val="center"/>
        <w:tblLook w:val="01E0" w:firstRow="1" w:lastRow="1" w:firstColumn="1" w:lastColumn="1" w:noHBand="0" w:noVBand="0"/>
      </w:tblPr>
      <w:tblGrid>
        <w:gridCol w:w="6276"/>
        <w:gridCol w:w="2421"/>
      </w:tblGrid>
      <w:tr w:rsidR="0050013E" w:rsidRPr="00903C4F" w:rsidTr="0050013E">
        <w:trPr>
          <w:jc w:val="center"/>
        </w:trPr>
        <w:tc>
          <w:tcPr>
            <w:tcW w:w="6212" w:type="dxa"/>
          </w:tcPr>
          <w:p w:rsidR="0050013E" w:rsidRPr="00903C4F" w:rsidRDefault="0006260E" w:rsidP="00E9502B">
            <w:pPr>
              <w:jc w:val="center"/>
              <w:rPr>
                <w:rFonts w:ascii="Lato" w:hAnsi="Lato"/>
                <w:sz w:val="20"/>
              </w:rPr>
            </w:pPr>
            <w:r>
              <w:rPr>
                <w:rFonts w:ascii="Lato" w:hAnsi="Lato" w:cs="Tahoma"/>
                <w:noProof/>
              </w:rPr>
              <w:lastRenderedPageBreak/>
              <w:drawing>
                <wp:inline distT="0" distB="0" distL="0" distR="0" wp14:anchorId="631A2BA6" wp14:editId="7E097BFB">
                  <wp:extent cx="3838575" cy="3038475"/>
                  <wp:effectExtent l="0" t="0" r="9525" b="9525"/>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3038475"/>
                          </a:xfrm>
                          <a:prstGeom prst="rect">
                            <a:avLst/>
                          </a:prstGeom>
                          <a:noFill/>
                          <a:ln>
                            <a:noFill/>
                          </a:ln>
                        </pic:spPr>
                      </pic:pic>
                    </a:graphicData>
                  </a:graphic>
                </wp:inline>
              </w:drawing>
            </w:r>
          </w:p>
        </w:tc>
        <w:tc>
          <w:tcPr>
            <w:tcW w:w="2421" w:type="dxa"/>
            <w:vAlign w:val="center"/>
          </w:tcPr>
          <w:p w:rsidR="0050013E" w:rsidRPr="00903C4F" w:rsidRDefault="0050013E" w:rsidP="0050013E">
            <w:pPr>
              <w:jc w:val="both"/>
              <w:rPr>
                <w:rFonts w:ascii="Lato" w:hAnsi="Lato"/>
                <w:sz w:val="20"/>
              </w:rPr>
            </w:pPr>
          </w:p>
          <w:p w:rsidR="0050013E" w:rsidRPr="00903C4F" w:rsidRDefault="0050013E" w:rsidP="0050013E">
            <w:pPr>
              <w:ind w:firstLine="0"/>
              <w:rPr>
                <w:rFonts w:ascii="Lato" w:hAnsi="Lato"/>
                <w:sz w:val="20"/>
              </w:rPr>
            </w:pPr>
            <w:r w:rsidRPr="00903C4F">
              <w:rPr>
                <w:rFonts w:ascii="Lato" w:hAnsi="Lato"/>
                <w:sz w:val="20"/>
              </w:rPr>
              <w:t>Minimalna temperatura zewnętrzna danej strefy klimatycznej:</w:t>
            </w:r>
          </w:p>
          <w:p w:rsidR="0050013E" w:rsidRPr="00903C4F" w:rsidRDefault="0050013E" w:rsidP="0050013E">
            <w:pPr>
              <w:jc w:val="both"/>
              <w:rPr>
                <w:rFonts w:ascii="Lato" w:hAnsi="Lato"/>
                <w:sz w:val="20"/>
              </w:rPr>
            </w:pPr>
          </w:p>
          <w:p w:rsidR="0050013E" w:rsidRPr="00903C4F" w:rsidRDefault="0050013E" w:rsidP="00AB431C">
            <w:pPr>
              <w:numPr>
                <w:ilvl w:val="0"/>
                <w:numId w:val="9"/>
              </w:numPr>
              <w:tabs>
                <w:tab w:val="clear" w:pos="720"/>
                <w:tab w:val="num" w:pos="333"/>
              </w:tabs>
              <w:spacing w:line="360" w:lineRule="auto"/>
              <w:ind w:left="333" w:hanging="333"/>
              <w:jc w:val="both"/>
              <w:rPr>
                <w:rFonts w:ascii="Lato" w:hAnsi="Lato"/>
                <w:sz w:val="20"/>
              </w:rPr>
            </w:pPr>
            <w:r w:rsidRPr="00903C4F">
              <w:rPr>
                <w:rFonts w:ascii="Lato" w:hAnsi="Lato"/>
                <w:sz w:val="20"/>
              </w:rPr>
              <w:t>I strefa (-16</w:t>
            </w:r>
            <w:r w:rsidRPr="00903C4F">
              <w:rPr>
                <w:rFonts w:ascii="Lato" w:hAnsi="Lato"/>
                <w:sz w:val="20"/>
                <w:vertAlign w:val="superscript"/>
              </w:rPr>
              <w:t>o</w:t>
            </w:r>
            <w:r w:rsidRPr="00903C4F">
              <w:rPr>
                <w:rFonts w:ascii="Lato" w:hAnsi="Lato"/>
                <w:sz w:val="20"/>
              </w:rPr>
              <w:t>C),</w:t>
            </w:r>
          </w:p>
          <w:p w:rsidR="0050013E" w:rsidRPr="00903C4F" w:rsidRDefault="0050013E" w:rsidP="00AB431C">
            <w:pPr>
              <w:numPr>
                <w:ilvl w:val="0"/>
                <w:numId w:val="9"/>
              </w:numPr>
              <w:tabs>
                <w:tab w:val="clear" w:pos="720"/>
                <w:tab w:val="num" w:pos="333"/>
              </w:tabs>
              <w:spacing w:line="360" w:lineRule="auto"/>
              <w:ind w:left="333" w:hanging="333"/>
              <w:jc w:val="both"/>
              <w:rPr>
                <w:rFonts w:ascii="Lato" w:hAnsi="Lato"/>
                <w:sz w:val="20"/>
              </w:rPr>
            </w:pPr>
            <w:r w:rsidRPr="00903C4F">
              <w:rPr>
                <w:rFonts w:ascii="Lato" w:hAnsi="Lato"/>
                <w:sz w:val="20"/>
              </w:rPr>
              <w:t>II strefa (-18</w:t>
            </w:r>
            <w:r w:rsidRPr="00903C4F">
              <w:rPr>
                <w:rFonts w:ascii="Lato" w:hAnsi="Lato"/>
                <w:sz w:val="20"/>
                <w:vertAlign w:val="superscript"/>
              </w:rPr>
              <w:t>o</w:t>
            </w:r>
            <w:r w:rsidRPr="00903C4F">
              <w:rPr>
                <w:rFonts w:ascii="Lato" w:hAnsi="Lato"/>
                <w:sz w:val="20"/>
              </w:rPr>
              <w:t>C),</w:t>
            </w:r>
          </w:p>
          <w:p w:rsidR="0050013E" w:rsidRPr="00903C4F" w:rsidRDefault="0050013E" w:rsidP="00AB431C">
            <w:pPr>
              <w:numPr>
                <w:ilvl w:val="0"/>
                <w:numId w:val="9"/>
              </w:numPr>
              <w:tabs>
                <w:tab w:val="clear" w:pos="720"/>
                <w:tab w:val="num" w:pos="333"/>
              </w:tabs>
              <w:spacing w:line="360" w:lineRule="auto"/>
              <w:ind w:left="333" w:hanging="333"/>
              <w:jc w:val="both"/>
              <w:rPr>
                <w:rFonts w:ascii="Lato" w:hAnsi="Lato"/>
                <w:sz w:val="20"/>
              </w:rPr>
            </w:pPr>
            <w:r w:rsidRPr="00903C4F">
              <w:rPr>
                <w:rFonts w:ascii="Lato" w:hAnsi="Lato"/>
                <w:sz w:val="20"/>
              </w:rPr>
              <w:t>III strefa (-20</w:t>
            </w:r>
            <w:r w:rsidRPr="00903C4F">
              <w:rPr>
                <w:rFonts w:ascii="Lato" w:hAnsi="Lato"/>
                <w:sz w:val="20"/>
                <w:vertAlign w:val="superscript"/>
              </w:rPr>
              <w:t>o</w:t>
            </w:r>
            <w:r w:rsidRPr="00903C4F">
              <w:rPr>
                <w:rFonts w:ascii="Lato" w:hAnsi="Lato"/>
                <w:sz w:val="20"/>
              </w:rPr>
              <w:t>C),</w:t>
            </w:r>
          </w:p>
          <w:p w:rsidR="0050013E" w:rsidRPr="00903C4F" w:rsidRDefault="0050013E" w:rsidP="00AB431C">
            <w:pPr>
              <w:numPr>
                <w:ilvl w:val="0"/>
                <w:numId w:val="9"/>
              </w:numPr>
              <w:tabs>
                <w:tab w:val="clear" w:pos="720"/>
                <w:tab w:val="num" w:pos="333"/>
              </w:tabs>
              <w:spacing w:line="360" w:lineRule="auto"/>
              <w:ind w:left="333" w:hanging="333"/>
              <w:jc w:val="both"/>
              <w:rPr>
                <w:rFonts w:ascii="Lato" w:hAnsi="Lato"/>
                <w:sz w:val="20"/>
              </w:rPr>
            </w:pPr>
            <w:r w:rsidRPr="00903C4F">
              <w:rPr>
                <w:rFonts w:ascii="Lato" w:hAnsi="Lato"/>
                <w:sz w:val="20"/>
              </w:rPr>
              <w:t>IV strefa (-22</w:t>
            </w:r>
            <w:r w:rsidRPr="00903C4F">
              <w:rPr>
                <w:rFonts w:ascii="Lato" w:hAnsi="Lato"/>
                <w:sz w:val="20"/>
                <w:vertAlign w:val="superscript"/>
              </w:rPr>
              <w:t>o</w:t>
            </w:r>
            <w:r w:rsidRPr="00903C4F">
              <w:rPr>
                <w:rFonts w:ascii="Lato" w:hAnsi="Lato"/>
                <w:sz w:val="20"/>
              </w:rPr>
              <w:t>C),</w:t>
            </w:r>
          </w:p>
          <w:p w:rsidR="0050013E" w:rsidRPr="00903C4F" w:rsidRDefault="0050013E" w:rsidP="00AB431C">
            <w:pPr>
              <w:numPr>
                <w:ilvl w:val="0"/>
                <w:numId w:val="9"/>
              </w:numPr>
              <w:tabs>
                <w:tab w:val="clear" w:pos="720"/>
                <w:tab w:val="num" w:pos="333"/>
              </w:tabs>
              <w:spacing w:line="360" w:lineRule="auto"/>
              <w:ind w:left="333" w:hanging="333"/>
              <w:jc w:val="both"/>
              <w:rPr>
                <w:rFonts w:ascii="Lato" w:hAnsi="Lato"/>
                <w:sz w:val="20"/>
              </w:rPr>
            </w:pPr>
            <w:r w:rsidRPr="00903C4F">
              <w:rPr>
                <w:rFonts w:ascii="Lato" w:hAnsi="Lato"/>
                <w:sz w:val="20"/>
              </w:rPr>
              <w:t>V strefa (-24</w:t>
            </w:r>
            <w:r w:rsidRPr="00903C4F">
              <w:rPr>
                <w:rFonts w:ascii="Lato" w:hAnsi="Lato"/>
                <w:sz w:val="20"/>
                <w:vertAlign w:val="superscript"/>
              </w:rPr>
              <w:t>o</w:t>
            </w:r>
            <w:r w:rsidRPr="00903C4F">
              <w:rPr>
                <w:rFonts w:ascii="Lato" w:hAnsi="Lato"/>
                <w:sz w:val="20"/>
              </w:rPr>
              <w:t>C).</w:t>
            </w:r>
          </w:p>
        </w:tc>
      </w:tr>
    </w:tbl>
    <w:p w:rsidR="0050013E" w:rsidRDefault="0050013E" w:rsidP="00E51AB9">
      <w:pPr>
        <w:pStyle w:val="Legenda"/>
        <w:jc w:val="center"/>
        <w:rPr>
          <w:rFonts w:ascii="Lato" w:hAnsi="Lato"/>
          <w:color w:val="365F91"/>
          <w:sz w:val="20"/>
          <w:szCs w:val="20"/>
          <w:lang w:val="pl-PL"/>
        </w:rPr>
      </w:pPr>
      <w:bookmarkStart w:id="73" w:name="_Toc20219216"/>
      <w:r w:rsidRPr="00903C4F">
        <w:rPr>
          <w:rFonts w:ascii="Lato" w:hAnsi="Lato"/>
          <w:color w:val="365F91"/>
          <w:sz w:val="20"/>
          <w:szCs w:val="20"/>
        </w:rPr>
        <w:t xml:space="preserve">Rysunek </w:t>
      </w:r>
      <w:r w:rsidR="004042AE" w:rsidRPr="00903C4F">
        <w:rPr>
          <w:rFonts w:ascii="Lato" w:hAnsi="Lato"/>
          <w:color w:val="365F91"/>
          <w:sz w:val="20"/>
          <w:szCs w:val="20"/>
        </w:rPr>
        <w:fldChar w:fldCharType="begin"/>
      </w:r>
      <w:r w:rsidR="005430ED" w:rsidRPr="00903C4F">
        <w:rPr>
          <w:rFonts w:ascii="Lato" w:hAnsi="Lato"/>
          <w:color w:val="365F91"/>
          <w:sz w:val="20"/>
          <w:szCs w:val="20"/>
        </w:rPr>
        <w:instrText xml:space="preserve"> STYLEREF 1 \s </w:instrText>
      </w:r>
      <w:r w:rsidR="004042AE" w:rsidRPr="00903C4F">
        <w:rPr>
          <w:rFonts w:ascii="Lato" w:hAnsi="Lato"/>
          <w:color w:val="365F91"/>
          <w:sz w:val="20"/>
          <w:szCs w:val="20"/>
        </w:rPr>
        <w:fldChar w:fldCharType="separate"/>
      </w:r>
      <w:r w:rsidR="0040205B">
        <w:rPr>
          <w:rFonts w:ascii="Lato" w:hAnsi="Lato"/>
          <w:noProof/>
          <w:color w:val="365F91"/>
          <w:sz w:val="20"/>
          <w:szCs w:val="20"/>
        </w:rPr>
        <w:t>1</w:t>
      </w:r>
      <w:r w:rsidR="004042AE" w:rsidRPr="00903C4F">
        <w:rPr>
          <w:rFonts w:ascii="Lato" w:hAnsi="Lato"/>
          <w:color w:val="365F91"/>
          <w:sz w:val="20"/>
          <w:szCs w:val="20"/>
        </w:rPr>
        <w:fldChar w:fldCharType="end"/>
      </w:r>
      <w:r w:rsidR="005430ED" w:rsidRPr="00903C4F">
        <w:rPr>
          <w:rFonts w:ascii="Lato" w:hAnsi="Lato"/>
          <w:color w:val="365F91"/>
          <w:sz w:val="20"/>
          <w:szCs w:val="20"/>
        </w:rPr>
        <w:noBreakHyphen/>
      </w:r>
      <w:r w:rsidR="004042AE" w:rsidRPr="00903C4F">
        <w:rPr>
          <w:rFonts w:ascii="Lato" w:hAnsi="Lato"/>
          <w:color w:val="365F91"/>
          <w:sz w:val="20"/>
          <w:szCs w:val="20"/>
        </w:rPr>
        <w:fldChar w:fldCharType="begin"/>
      </w:r>
      <w:r w:rsidR="005430ED" w:rsidRPr="00903C4F">
        <w:rPr>
          <w:rFonts w:ascii="Lato" w:hAnsi="Lato"/>
          <w:color w:val="365F91"/>
          <w:sz w:val="20"/>
          <w:szCs w:val="20"/>
        </w:rPr>
        <w:instrText xml:space="preserve"> SEQ Rysunek \* ARABIC \s 1 </w:instrText>
      </w:r>
      <w:r w:rsidR="004042AE" w:rsidRPr="00903C4F">
        <w:rPr>
          <w:rFonts w:ascii="Lato" w:hAnsi="Lato"/>
          <w:color w:val="365F91"/>
          <w:sz w:val="20"/>
          <w:szCs w:val="20"/>
        </w:rPr>
        <w:fldChar w:fldCharType="separate"/>
      </w:r>
      <w:r w:rsidR="0040205B">
        <w:rPr>
          <w:rFonts w:ascii="Lato" w:hAnsi="Lato"/>
          <w:noProof/>
          <w:color w:val="365F91"/>
          <w:sz w:val="20"/>
          <w:szCs w:val="20"/>
        </w:rPr>
        <w:t>7</w:t>
      </w:r>
      <w:r w:rsidR="004042AE" w:rsidRPr="00903C4F">
        <w:rPr>
          <w:rFonts w:ascii="Lato" w:hAnsi="Lato"/>
          <w:color w:val="365F91"/>
          <w:sz w:val="20"/>
          <w:szCs w:val="20"/>
        </w:rPr>
        <w:fldChar w:fldCharType="end"/>
      </w:r>
      <w:r w:rsidRPr="00903C4F">
        <w:rPr>
          <w:rFonts w:ascii="Lato" w:hAnsi="Lato"/>
          <w:color w:val="365F91"/>
          <w:sz w:val="20"/>
          <w:szCs w:val="20"/>
        </w:rPr>
        <w:t xml:space="preserve"> Mapa stref klimatycznych Polski i minimalne temperatury zewnętrzne</w:t>
      </w:r>
      <w:bookmarkEnd w:id="73"/>
    </w:p>
    <w:p w:rsidR="00424595" w:rsidRPr="008F1406" w:rsidRDefault="00C34520" w:rsidP="00424595">
      <w:pPr>
        <w:pStyle w:val="Tekstpodstawowy"/>
        <w:jc w:val="center"/>
        <w:rPr>
          <w:rFonts w:ascii="Lato" w:hAnsi="Lato" w:cs="Times New Roman"/>
          <w:i/>
          <w:sz w:val="20"/>
          <w:szCs w:val="20"/>
          <w:highlight w:val="red"/>
        </w:rPr>
      </w:pPr>
      <w:r w:rsidRPr="008F1406">
        <w:rPr>
          <w:rFonts w:ascii="Lato" w:hAnsi="Lato" w:cs="Times New Roman"/>
          <w:i/>
          <w:sz w:val="20"/>
          <w:szCs w:val="20"/>
        </w:rPr>
        <w:t>Źródło: www.jak-zrobic-dom.pl</w:t>
      </w:r>
    </w:p>
    <w:p w:rsidR="0050013E" w:rsidRPr="00903C4F" w:rsidRDefault="0050013E" w:rsidP="0050013E">
      <w:pPr>
        <w:pStyle w:val="Tekstpodstawowy"/>
        <w:rPr>
          <w:rFonts w:ascii="Lato" w:hAnsi="Lato" w:cs="Times New Roman"/>
        </w:rPr>
      </w:pPr>
    </w:p>
    <w:p w:rsidR="0050013E" w:rsidRPr="00903C4F" w:rsidRDefault="0050013E" w:rsidP="00C729D3">
      <w:pPr>
        <w:pStyle w:val="Tekstpodstawowy"/>
        <w:rPr>
          <w:rFonts w:ascii="Lato" w:hAnsi="Lato" w:cs="Times New Roman"/>
        </w:rPr>
      </w:pPr>
      <w:r w:rsidRPr="00903C4F">
        <w:rPr>
          <w:rFonts w:ascii="Lato" w:hAnsi="Lato" w:cs="Times New Roman"/>
        </w:rPr>
        <w:t>Inne czynniki decydujące o wielkości zużycia energii w budynku to:</w:t>
      </w:r>
    </w:p>
    <w:p w:rsidR="0050013E" w:rsidRPr="00903C4F" w:rsidRDefault="0050013E" w:rsidP="00CD3DFF">
      <w:pPr>
        <w:pStyle w:val="Tekstpodstawowy"/>
        <w:numPr>
          <w:ilvl w:val="0"/>
          <w:numId w:val="83"/>
        </w:numPr>
        <w:tabs>
          <w:tab w:val="clear" w:pos="360"/>
        </w:tabs>
        <w:ind w:left="709" w:hanging="425"/>
        <w:rPr>
          <w:rFonts w:ascii="Lato" w:hAnsi="Lato" w:cs="Times New Roman"/>
        </w:rPr>
      </w:pPr>
      <w:r w:rsidRPr="00903C4F">
        <w:rPr>
          <w:rFonts w:ascii="Lato" w:hAnsi="Lato" w:cs="Times New Roman"/>
        </w:rPr>
        <w:t>zwartość budynku (współczynnik A/V) – mniejsza energochłonność to minimalna powierzchnia ścian zewnętrznych i płaski dach;</w:t>
      </w:r>
    </w:p>
    <w:p w:rsidR="0050013E" w:rsidRPr="00903C4F" w:rsidRDefault="0050013E" w:rsidP="00CD3DFF">
      <w:pPr>
        <w:pStyle w:val="Tekstpodstawowy"/>
        <w:numPr>
          <w:ilvl w:val="0"/>
          <w:numId w:val="83"/>
        </w:numPr>
        <w:tabs>
          <w:tab w:val="clear" w:pos="360"/>
        </w:tabs>
        <w:ind w:left="709" w:hanging="425"/>
        <w:rPr>
          <w:rFonts w:ascii="Lato" w:hAnsi="Lato" w:cs="Times New Roman"/>
        </w:rPr>
      </w:pPr>
      <w:r w:rsidRPr="00903C4F">
        <w:rPr>
          <w:rFonts w:ascii="Lato" w:hAnsi="Lato" w:cs="Times New Roman"/>
        </w:rPr>
        <w:t>usytuowanie względem stron świata – pozyskiwanie energii promieniowania słonecznego – mniejsza energochłonność to elewacja południowa z przeszkleniami i roletami opuszczanymi na noc; elewacja północna z jak najmniejszą liczbą otworów w przegrodach; w tej strefie budynku można lokalizować strefy gospodarcze, a pomieszczenia pobytu dziennego od strony południowej;</w:t>
      </w:r>
    </w:p>
    <w:p w:rsidR="0050013E" w:rsidRPr="00903C4F" w:rsidRDefault="0050013E" w:rsidP="00CD3DFF">
      <w:pPr>
        <w:pStyle w:val="Tekstpodstawowy"/>
        <w:numPr>
          <w:ilvl w:val="0"/>
          <w:numId w:val="83"/>
        </w:numPr>
        <w:tabs>
          <w:tab w:val="clear" w:pos="360"/>
        </w:tabs>
        <w:ind w:left="709" w:hanging="425"/>
        <w:rPr>
          <w:rFonts w:ascii="Lato" w:hAnsi="Lato" w:cs="Times New Roman"/>
        </w:rPr>
      </w:pPr>
      <w:r w:rsidRPr="00903C4F">
        <w:rPr>
          <w:rFonts w:ascii="Lato" w:hAnsi="Lato" w:cs="Times New Roman"/>
        </w:rPr>
        <w:t>stopień osłonięcia budynku od wiatru;</w:t>
      </w:r>
    </w:p>
    <w:p w:rsidR="0050013E" w:rsidRPr="00903C4F" w:rsidRDefault="0050013E" w:rsidP="00CD3DFF">
      <w:pPr>
        <w:pStyle w:val="Tekstpodstawowy"/>
        <w:numPr>
          <w:ilvl w:val="0"/>
          <w:numId w:val="83"/>
        </w:numPr>
        <w:tabs>
          <w:tab w:val="clear" w:pos="360"/>
        </w:tabs>
        <w:ind w:left="709" w:hanging="425"/>
        <w:rPr>
          <w:rFonts w:ascii="Lato" w:hAnsi="Lato" w:cs="Times New Roman"/>
        </w:rPr>
      </w:pPr>
      <w:r w:rsidRPr="00903C4F">
        <w:rPr>
          <w:rFonts w:ascii="Lato" w:hAnsi="Lato" w:cs="Times New Roman"/>
        </w:rPr>
        <w:t>parametry izolacyjności termicznej przegród zewnętrznych;</w:t>
      </w:r>
    </w:p>
    <w:p w:rsidR="0050013E" w:rsidRPr="00903C4F" w:rsidRDefault="0050013E" w:rsidP="00CD3DFF">
      <w:pPr>
        <w:pStyle w:val="Tekstpodstawowy"/>
        <w:numPr>
          <w:ilvl w:val="0"/>
          <w:numId w:val="83"/>
        </w:numPr>
        <w:tabs>
          <w:tab w:val="clear" w:pos="360"/>
        </w:tabs>
        <w:ind w:left="709" w:hanging="425"/>
        <w:rPr>
          <w:rFonts w:ascii="Lato" w:hAnsi="Lato" w:cs="Times New Roman"/>
        </w:rPr>
      </w:pPr>
      <w:r w:rsidRPr="00903C4F">
        <w:rPr>
          <w:rFonts w:ascii="Lato" w:hAnsi="Lato" w:cs="Times New Roman"/>
        </w:rPr>
        <w:t>rozwiązania wentylacji wnętrz;</w:t>
      </w:r>
    </w:p>
    <w:p w:rsidR="0050013E" w:rsidRPr="00903C4F" w:rsidRDefault="0050013E" w:rsidP="00CD3DFF">
      <w:pPr>
        <w:pStyle w:val="Tekstpodstawowy"/>
        <w:numPr>
          <w:ilvl w:val="0"/>
          <w:numId w:val="83"/>
        </w:numPr>
        <w:tabs>
          <w:tab w:val="clear" w:pos="360"/>
        </w:tabs>
        <w:ind w:left="709" w:hanging="425"/>
        <w:rPr>
          <w:rFonts w:ascii="Lato" w:hAnsi="Lato" w:cs="Times New Roman"/>
        </w:rPr>
      </w:pPr>
      <w:r w:rsidRPr="00903C4F">
        <w:rPr>
          <w:rFonts w:ascii="Lato" w:hAnsi="Lato" w:cs="Times New Roman"/>
        </w:rPr>
        <w:t>świadome przemyślane wykorzystanie energii promieniowania słonecznego, energii gruntu.</w:t>
      </w:r>
    </w:p>
    <w:p w:rsidR="0050013E" w:rsidRPr="00D352C4" w:rsidRDefault="0050013E" w:rsidP="00C729D3">
      <w:pPr>
        <w:pStyle w:val="Tekstpodstawowy"/>
        <w:rPr>
          <w:rFonts w:ascii="Lato" w:hAnsi="Lato" w:cs="Times New Roman"/>
          <w:highlight w:val="yellow"/>
        </w:rPr>
      </w:pPr>
    </w:p>
    <w:p w:rsidR="0050013E" w:rsidRPr="00903C4F" w:rsidRDefault="0050013E" w:rsidP="00C729D3">
      <w:pPr>
        <w:pStyle w:val="Tekstpodstawowy"/>
        <w:ind w:firstLine="360"/>
        <w:rPr>
          <w:rFonts w:ascii="Lato" w:hAnsi="Lato" w:cs="Times New Roman"/>
        </w:rPr>
      </w:pPr>
      <w:r w:rsidRPr="00903C4F">
        <w:rPr>
          <w:rFonts w:ascii="Lato" w:hAnsi="Lato" w:cs="Times New Roman"/>
        </w:rPr>
        <w:t>Poniższy schemat ilustruje, jak kształtowały się technologie budowlane oraz standardy ochrony cieplnej budynków w poszczególnych okresach. Po roku 1993 nastąpiła znaczna poprawa parametrów energetycznych nowobudowanych obiektów, co bezpośrednio wiąże się z redukcją strat ciepła, wykorzystywanego do celów grzewczych.</w:t>
      </w:r>
    </w:p>
    <w:p w:rsidR="00CA7152" w:rsidRPr="00903C4F" w:rsidRDefault="00CA7152" w:rsidP="00C729D3">
      <w:pPr>
        <w:pStyle w:val="Tekstpodstawowy"/>
        <w:ind w:firstLine="360"/>
        <w:rPr>
          <w:rFonts w:ascii="Lato" w:hAnsi="Lato" w:cs="Times New Roman"/>
        </w:rPr>
      </w:pPr>
    </w:p>
    <w:p w:rsidR="0050013E" w:rsidRPr="00903C4F" w:rsidRDefault="0006260E" w:rsidP="00C729D3">
      <w:pPr>
        <w:pStyle w:val="Tekstpodstawowy"/>
        <w:jc w:val="center"/>
        <w:rPr>
          <w:rFonts w:ascii="Lato" w:hAnsi="Lato" w:cs="Times New Roman"/>
        </w:rPr>
      </w:pPr>
      <w:r>
        <w:rPr>
          <w:rFonts w:ascii="Lato" w:hAnsi="Lato" w:cs="Times New Roman"/>
          <w:noProof/>
        </w:rPr>
        <w:lastRenderedPageBreak/>
        <w:drawing>
          <wp:inline distT="0" distB="0" distL="0" distR="0" wp14:anchorId="4CE655FA" wp14:editId="3B7D3329">
            <wp:extent cx="5391150" cy="2609850"/>
            <wp:effectExtent l="0" t="0" r="0" b="0"/>
            <wp:docPr id="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2609850"/>
                    </a:xfrm>
                    <a:prstGeom prst="rect">
                      <a:avLst/>
                    </a:prstGeom>
                    <a:noFill/>
                    <a:ln>
                      <a:noFill/>
                    </a:ln>
                  </pic:spPr>
                </pic:pic>
              </a:graphicData>
            </a:graphic>
          </wp:inline>
        </w:drawing>
      </w:r>
    </w:p>
    <w:p w:rsidR="0050013E" w:rsidRPr="00903C4F" w:rsidRDefault="0050013E" w:rsidP="00B75A57">
      <w:pPr>
        <w:pStyle w:val="Legenda"/>
        <w:jc w:val="center"/>
        <w:rPr>
          <w:rFonts w:ascii="Lato" w:hAnsi="Lato"/>
          <w:color w:val="365F91"/>
          <w:sz w:val="20"/>
          <w:szCs w:val="20"/>
          <w:lang w:val="pl-PL"/>
        </w:rPr>
      </w:pPr>
      <w:bookmarkStart w:id="74" w:name="_Toc225155561"/>
      <w:bookmarkStart w:id="75" w:name="_Toc20219217"/>
      <w:r w:rsidRPr="00903C4F">
        <w:rPr>
          <w:rFonts w:ascii="Lato" w:hAnsi="Lato"/>
          <w:color w:val="365F91"/>
          <w:sz w:val="20"/>
          <w:szCs w:val="20"/>
        </w:rPr>
        <w:t xml:space="preserve">Rysunek </w:t>
      </w:r>
      <w:r w:rsidR="004042AE" w:rsidRPr="00903C4F">
        <w:rPr>
          <w:rFonts w:ascii="Lato" w:hAnsi="Lato"/>
          <w:color w:val="365F91"/>
          <w:sz w:val="20"/>
          <w:szCs w:val="20"/>
        </w:rPr>
        <w:fldChar w:fldCharType="begin"/>
      </w:r>
      <w:r w:rsidR="005430ED" w:rsidRPr="00903C4F">
        <w:rPr>
          <w:rFonts w:ascii="Lato" w:hAnsi="Lato"/>
          <w:color w:val="365F91"/>
          <w:sz w:val="20"/>
          <w:szCs w:val="20"/>
        </w:rPr>
        <w:instrText xml:space="preserve"> STYLEREF 1 \s </w:instrText>
      </w:r>
      <w:r w:rsidR="004042AE" w:rsidRPr="00903C4F">
        <w:rPr>
          <w:rFonts w:ascii="Lato" w:hAnsi="Lato"/>
          <w:color w:val="365F91"/>
          <w:sz w:val="20"/>
          <w:szCs w:val="20"/>
        </w:rPr>
        <w:fldChar w:fldCharType="separate"/>
      </w:r>
      <w:r w:rsidR="0040205B">
        <w:rPr>
          <w:rFonts w:ascii="Lato" w:hAnsi="Lato"/>
          <w:noProof/>
          <w:color w:val="365F91"/>
          <w:sz w:val="20"/>
          <w:szCs w:val="20"/>
        </w:rPr>
        <w:t>1</w:t>
      </w:r>
      <w:r w:rsidR="004042AE" w:rsidRPr="00903C4F">
        <w:rPr>
          <w:rFonts w:ascii="Lato" w:hAnsi="Lato"/>
          <w:color w:val="365F91"/>
          <w:sz w:val="20"/>
          <w:szCs w:val="20"/>
        </w:rPr>
        <w:fldChar w:fldCharType="end"/>
      </w:r>
      <w:r w:rsidR="005430ED" w:rsidRPr="00903C4F">
        <w:rPr>
          <w:rFonts w:ascii="Lato" w:hAnsi="Lato"/>
          <w:color w:val="365F91"/>
          <w:sz w:val="20"/>
          <w:szCs w:val="20"/>
        </w:rPr>
        <w:noBreakHyphen/>
      </w:r>
      <w:r w:rsidR="004042AE" w:rsidRPr="00903C4F">
        <w:rPr>
          <w:rFonts w:ascii="Lato" w:hAnsi="Lato"/>
          <w:color w:val="365F91"/>
          <w:sz w:val="20"/>
          <w:szCs w:val="20"/>
        </w:rPr>
        <w:fldChar w:fldCharType="begin"/>
      </w:r>
      <w:r w:rsidR="005430ED" w:rsidRPr="00903C4F">
        <w:rPr>
          <w:rFonts w:ascii="Lato" w:hAnsi="Lato"/>
          <w:color w:val="365F91"/>
          <w:sz w:val="20"/>
          <w:szCs w:val="20"/>
        </w:rPr>
        <w:instrText xml:space="preserve"> SEQ Rysunek \* ARABIC \s 1 </w:instrText>
      </w:r>
      <w:r w:rsidR="004042AE" w:rsidRPr="00903C4F">
        <w:rPr>
          <w:rFonts w:ascii="Lato" w:hAnsi="Lato"/>
          <w:color w:val="365F91"/>
          <w:sz w:val="20"/>
          <w:szCs w:val="20"/>
        </w:rPr>
        <w:fldChar w:fldCharType="separate"/>
      </w:r>
      <w:r w:rsidR="0040205B">
        <w:rPr>
          <w:rFonts w:ascii="Lato" w:hAnsi="Lato"/>
          <w:noProof/>
          <w:color w:val="365F91"/>
          <w:sz w:val="20"/>
          <w:szCs w:val="20"/>
        </w:rPr>
        <w:t>8</w:t>
      </w:r>
      <w:r w:rsidR="004042AE" w:rsidRPr="00903C4F">
        <w:rPr>
          <w:rFonts w:ascii="Lato" w:hAnsi="Lato"/>
          <w:color w:val="365F91"/>
          <w:sz w:val="20"/>
          <w:szCs w:val="20"/>
        </w:rPr>
        <w:fldChar w:fldCharType="end"/>
      </w:r>
      <w:r w:rsidRPr="00903C4F">
        <w:rPr>
          <w:rFonts w:ascii="Lato" w:hAnsi="Lato"/>
          <w:color w:val="365F91"/>
          <w:sz w:val="20"/>
          <w:szCs w:val="20"/>
        </w:rPr>
        <w:t xml:space="preserve"> Przeciętne roczne zapotrzebowanie energii na ogrzewanie </w:t>
      </w:r>
      <w:r w:rsidR="00206874" w:rsidRPr="00903C4F">
        <w:rPr>
          <w:rFonts w:ascii="Lato" w:hAnsi="Lato"/>
          <w:color w:val="365F91"/>
          <w:sz w:val="20"/>
          <w:szCs w:val="20"/>
        </w:rPr>
        <w:t>w</w:t>
      </w:r>
      <w:r w:rsidR="000F2422">
        <w:rPr>
          <w:rFonts w:ascii="Lato" w:hAnsi="Lato"/>
          <w:color w:val="365F91"/>
          <w:sz w:val="20"/>
          <w:szCs w:val="20"/>
          <w:lang w:val="pl-PL"/>
        </w:rPr>
        <w:t xml:space="preserve"> </w:t>
      </w:r>
      <w:r w:rsidR="00E51AB9" w:rsidRPr="00903C4F">
        <w:rPr>
          <w:rFonts w:ascii="Lato" w:hAnsi="Lato"/>
          <w:color w:val="365F91"/>
          <w:sz w:val="20"/>
          <w:szCs w:val="20"/>
        </w:rPr>
        <w:t>budownictwie mieszkaniowym w</w:t>
      </w:r>
      <w:r w:rsidR="00E51AB9" w:rsidRPr="00903C4F">
        <w:rPr>
          <w:rFonts w:ascii="Lato" w:hAnsi="Lato"/>
          <w:color w:val="365F91"/>
          <w:sz w:val="20"/>
          <w:szCs w:val="20"/>
          <w:lang w:val="pl-PL"/>
        </w:rPr>
        <w:t> </w:t>
      </w:r>
      <w:r w:rsidRPr="00903C4F">
        <w:rPr>
          <w:rFonts w:ascii="Lato" w:hAnsi="Lato"/>
          <w:color w:val="365F91"/>
          <w:sz w:val="20"/>
          <w:szCs w:val="20"/>
        </w:rPr>
        <w:t>kWh/m</w:t>
      </w:r>
      <w:r w:rsidRPr="00903C4F">
        <w:rPr>
          <w:rFonts w:ascii="Lato" w:hAnsi="Lato"/>
          <w:color w:val="365F91"/>
          <w:sz w:val="20"/>
          <w:szCs w:val="20"/>
          <w:vertAlign w:val="superscript"/>
        </w:rPr>
        <w:t>2</w:t>
      </w:r>
      <w:r w:rsidRPr="00903C4F">
        <w:rPr>
          <w:rFonts w:ascii="Lato" w:hAnsi="Lato"/>
          <w:color w:val="365F91"/>
          <w:sz w:val="20"/>
          <w:szCs w:val="20"/>
        </w:rPr>
        <w:t xml:space="preserve"> powierzchni użytkowej</w:t>
      </w:r>
      <w:bookmarkEnd w:id="74"/>
      <w:bookmarkEnd w:id="75"/>
    </w:p>
    <w:p w:rsidR="00E51AB9" w:rsidRPr="008F1406" w:rsidRDefault="00E51AB9" w:rsidP="00E51AB9">
      <w:pPr>
        <w:jc w:val="center"/>
        <w:rPr>
          <w:rFonts w:ascii="Lato" w:hAnsi="Lato"/>
          <w:i/>
          <w:sz w:val="20"/>
          <w:lang w:eastAsia="x-none"/>
        </w:rPr>
      </w:pPr>
      <w:r w:rsidRPr="008F1406">
        <w:rPr>
          <w:rFonts w:ascii="Lato" w:hAnsi="Lato"/>
          <w:i/>
          <w:sz w:val="20"/>
          <w:lang w:eastAsia="x-none"/>
        </w:rPr>
        <w:t>Źródło</w:t>
      </w:r>
      <w:r w:rsidR="0085006F" w:rsidRPr="008F1406">
        <w:rPr>
          <w:rFonts w:ascii="Lato" w:hAnsi="Lato"/>
          <w:i/>
          <w:sz w:val="20"/>
          <w:lang w:eastAsia="x-none"/>
        </w:rPr>
        <w:t>: KAPE</w:t>
      </w:r>
    </w:p>
    <w:p w:rsidR="0050013E" w:rsidRPr="00903C4F" w:rsidRDefault="0050013E" w:rsidP="0050013E">
      <w:pPr>
        <w:ind w:firstLine="0"/>
        <w:jc w:val="both"/>
        <w:rPr>
          <w:rFonts w:ascii="Lato" w:hAnsi="Lato"/>
          <w:b/>
        </w:rPr>
      </w:pPr>
    </w:p>
    <w:p w:rsidR="0050013E" w:rsidRPr="00903C4F" w:rsidRDefault="0050013E" w:rsidP="00C729D3">
      <w:pPr>
        <w:ind w:firstLine="709"/>
        <w:jc w:val="both"/>
        <w:rPr>
          <w:rFonts w:ascii="Lato" w:hAnsi="Lato"/>
        </w:rPr>
      </w:pPr>
      <w:r w:rsidRPr="00903C4F">
        <w:rPr>
          <w:rFonts w:ascii="Lato" w:hAnsi="Lato"/>
        </w:rPr>
        <w:t>Orientacyjna klasyfikacja budynków mieszkalnych w zależności od jednostkowego zużycia energii użytecznej w obiekcie podana jest w poniższej tabeli.</w:t>
      </w:r>
    </w:p>
    <w:p w:rsidR="0050013E" w:rsidRPr="00903C4F" w:rsidRDefault="0050013E" w:rsidP="00C729D3">
      <w:pPr>
        <w:ind w:firstLine="0"/>
        <w:jc w:val="both"/>
        <w:rPr>
          <w:rFonts w:ascii="Lato" w:hAnsi="Lato"/>
        </w:rPr>
      </w:pPr>
    </w:p>
    <w:p w:rsidR="0050013E" w:rsidRPr="00903C4F" w:rsidRDefault="0050013E" w:rsidP="00C54B26">
      <w:pPr>
        <w:pStyle w:val="Legenda"/>
        <w:rPr>
          <w:rFonts w:ascii="Lato" w:hAnsi="Lato"/>
          <w:color w:val="365F91"/>
          <w:sz w:val="20"/>
          <w:szCs w:val="20"/>
        </w:rPr>
      </w:pPr>
      <w:bookmarkStart w:id="76" w:name="_Toc20219163"/>
      <w:r w:rsidRPr="00903C4F">
        <w:rPr>
          <w:rFonts w:ascii="Lato" w:hAnsi="Lato"/>
          <w:color w:val="365F91"/>
          <w:sz w:val="20"/>
          <w:szCs w:val="20"/>
        </w:rPr>
        <w:t xml:space="preserve">Tabela </w:t>
      </w:r>
      <w:r w:rsidR="004042AE" w:rsidRPr="00903C4F">
        <w:rPr>
          <w:rFonts w:ascii="Lato" w:hAnsi="Lato"/>
          <w:color w:val="365F91"/>
          <w:sz w:val="20"/>
          <w:szCs w:val="20"/>
        </w:rPr>
        <w:fldChar w:fldCharType="begin"/>
      </w:r>
      <w:r w:rsidR="005430ED" w:rsidRPr="00903C4F">
        <w:rPr>
          <w:rFonts w:ascii="Lato" w:hAnsi="Lato"/>
          <w:color w:val="365F91"/>
          <w:sz w:val="20"/>
          <w:szCs w:val="20"/>
        </w:rPr>
        <w:instrText xml:space="preserve"> STYLEREF 1 \s </w:instrText>
      </w:r>
      <w:r w:rsidR="004042AE" w:rsidRPr="00903C4F">
        <w:rPr>
          <w:rFonts w:ascii="Lato" w:hAnsi="Lato"/>
          <w:color w:val="365F91"/>
          <w:sz w:val="20"/>
          <w:szCs w:val="20"/>
        </w:rPr>
        <w:fldChar w:fldCharType="separate"/>
      </w:r>
      <w:r w:rsidR="0040205B">
        <w:rPr>
          <w:rFonts w:ascii="Lato" w:hAnsi="Lato"/>
          <w:noProof/>
          <w:color w:val="365F91"/>
          <w:sz w:val="20"/>
          <w:szCs w:val="20"/>
        </w:rPr>
        <w:t>1</w:t>
      </w:r>
      <w:r w:rsidR="004042AE" w:rsidRPr="00903C4F">
        <w:rPr>
          <w:rFonts w:ascii="Lato" w:hAnsi="Lato"/>
          <w:color w:val="365F91"/>
          <w:sz w:val="20"/>
          <w:szCs w:val="20"/>
        </w:rPr>
        <w:fldChar w:fldCharType="end"/>
      </w:r>
      <w:r w:rsidR="005430ED" w:rsidRPr="00903C4F">
        <w:rPr>
          <w:rFonts w:ascii="Lato" w:hAnsi="Lato"/>
          <w:color w:val="365F91"/>
          <w:sz w:val="20"/>
          <w:szCs w:val="20"/>
        </w:rPr>
        <w:noBreakHyphen/>
      </w:r>
      <w:r w:rsidR="004042AE" w:rsidRPr="00903C4F">
        <w:rPr>
          <w:rFonts w:ascii="Lato" w:hAnsi="Lato"/>
          <w:color w:val="365F91"/>
          <w:sz w:val="20"/>
          <w:szCs w:val="20"/>
        </w:rPr>
        <w:fldChar w:fldCharType="begin"/>
      </w:r>
      <w:r w:rsidR="005430ED" w:rsidRPr="00903C4F">
        <w:rPr>
          <w:rFonts w:ascii="Lato" w:hAnsi="Lato"/>
          <w:color w:val="365F91"/>
          <w:sz w:val="20"/>
          <w:szCs w:val="20"/>
        </w:rPr>
        <w:instrText xml:space="preserve"> SEQ Tabela \* ARABIC \s 1 </w:instrText>
      </w:r>
      <w:r w:rsidR="004042AE" w:rsidRPr="00903C4F">
        <w:rPr>
          <w:rFonts w:ascii="Lato" w:hAnsi="Lato"/>
          <w:color w:val="365F91"/>
          <w:sz w:val="20"/>
          <w:szCs w:val="20"/>
        </w:rPr>
        <w:fldChar w:fldCharType="separate"/>
      </w:r>
      <w:r w:rsidR="0040205B">
        <w:rPr>
          <w:rFonts w:ascii="Lato" w:hAnsi="Lato"/>
          <w:noProof/>
          <w:color w:val="365F91"/>
          <w:sz w:val="20"/>
          <w:szCs w:val="20"/>
        </w:rPr>
        <w:t>4</w:t>
      </w:r>
      <w:r w:rsidR="004042AE" w:rsidRPr="00903C4F">
        <w:rPr>
          <w:rFonts w:ascii="Lato" w:hAnsi="Lato"/>
          <w:color w:val="365F91"/>
          <w:sz w:val="20"/>
          <w:szCs w:val="20"/>
        </w:rPr>
        <w:fldChar w:fldCharType="end"/>
      </w:r>
      <w:r w:rsidRPr="00903C4F">
        <w:rPr>
          <w:rFonts w:ascii="Lato" w:hAnsi="Lato"/>
          <w:color w:val="365F91"/>
          <w:sz w:val="20"/>
          <w:szCs w:val="20"/>
        </w:rPr>
        <w:t xml:space="preserve"> Podział budynków ze względu na zużycie energii do ogrzewania</w:t>
      </w:r>
      <w:bookmarkEnd w:id="76"/>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4250"/>
        <w:gridCol w:w="5379"/>
      </w:tblGrid>
      <w:tr w:rsidR="00E52BE7" w:rsidRPr="00903C4F" w:rsidTr="00E069CF">
        <w:trPr>
          <w:trHeight w:val="491"/>
          <w:jc w:val="center"/>
        </w:trPr>
        <w:tc>
          <w:tcPr>
            <w:tcW w:w="2207" w:type="pct"/>
            <w:shd w:val="clear" w:color="auto" w:fill="DBE5F1"/>
            <w:vAlign w:val="center"/>
          </w:tcPr>
          <w:p w:rsidR="0050013E" w:rsidRPr="00903C4F" w:rsidRDefault="0050013E" w:rsidP="00E52BE7">
            <w:pPr>
              <w:spacing w:line="240" w:lineRule="auto"/>
              <w:ind w:hanging="102"/>
              <w:jc w:val="center"/>
              <w:rPr>
                <w:rFonts w:ascii="Lato" w:hAnsi="Lato"/>
                <w:color w:val="365F91"/>
                <w:sz w:val="20"/>
              </w:rPr>
            </w:pPr>
            <w:r w:rsidRPr="00903C4F">
              <w:rPr>
                <w:rFonts w:ascii="Lato" w:hAnsi="Lato"/>
                <w:color w:val="365F91"/>
                <w:sz w:val="20"/>
              </w:rPr>
              <w:t>Rodzaj budynku</w:t>
            </w:r>
          </w:p>
        </w:tc>
        <w:tc>
          <w:tcPr>
            <w:tcW w:w="2793" w:type="pct"/>
            <w:shd w:val="clear" w:color="auto" w:fill="DBE5F1"/>
            <w:vAlign w:val="center"/>
          </w:tcPr>
          <w:p w:rsidR="0050013E" w:rsidRPr="00903C4F" w:rsidRDefault="0050013E" w:rsidP="00E52BE7">
            <w:pPr>
              <w:spacing w:line="240" w:lineRule="auto"/>
              <w:ind w:firstLine="0"/>
              <w:jc w:val="center"/>
              <w:rPr>
                <w:rFonts w:ascii="Lato" w:hAnsi="Lato"/>
                <w:color w:val="365F91"/>
                <w:sz w:val="20"/>
              </w:rPr>
            </w:pPr>
            <w:r w:rsidRPr="00903C4F">
              <w:rPr>
                <w:rFonts w:ascii="Lato" w:hAnsi="Lato"/>
                <w:color w:val="365F91"/>
                <w:sz w:val="20"/>
              </w:rPr>
              <w:t>Zakres jednostkowego zużycia energii, kWh/m</w:t>
            </w:r>
            <w:r w:rsidRPr="00903C4F">
              <w:rPr>
                <w:rFonts w:ascii="Lato" w:hAnsi="Lato"/>
                <w:color w:val="365F91"/>
                <w:sz w:val="20"/>
                <w:vertAlign w:val="superscript"/>
              </w:rPr>
              <w:t>2</w:t>
            </w:r>
            <w:r w:rsidRPr="00903C4F">
              <w:rPr>
                <w:rFonts w:ascii="Lato" w:hAnsi="Lato"/>
                <w:color w:val="365F91"/>
                <w:sz w:val="20"/>
              </w:rPr>
              <w:t>/rok</w:t>
            </w:r>
          </w:p>
        </w:tc>
      </w:tr>
      <w:tr w:rsidR="00E52BE7" w:rsidRPr="00903C4F" w:rsidTr="000B521E">
        <w:trPr>
          <w:trHeight w:val="284"/>
          <w:jc w:val="center"/>
        </w:trPr>
        <w:tc>
          <w:tcPr>
            <w:tcW w:w="2207" w:type="pct"/>
            <w:vAlign w:val="center"/>
          </w:tcPr>
          <w:p w:rsidR="0050013E" w:rsidRPr="00903C4F" w:rsidRDefault="0050013E" w:rsidP="00E52BE7">
            <w:pPr>
              <w:ind w:hanging="102"/>
              <w:jc w:val="center"/>
              <w:rPr>
                <w:rFonts w:ascii="Lato" w:hAnsi="Lato"/>
                <w:color w:val="365F91"/>
                <w:sz w:val="20"/>
              </w:rPr>
            </w:pPr>
            <w:r w:rsidRPr="00903C4F">
              <w:rPr>
                <w:rFonts w:ascii="Lato" w:hAnsi="Lato"/>
                <w:color w:val="365F91"/>
                <w:sz w:val="20"/>
              </w:rPr>
              <w:t>energochłonny</w:t>
            </w:r>
          </w:p>
        </w:tc>
        <w:tc>
          <w:tcPr>
            <w:tcW w:w="2793" w:type="pct"/>
            <w:vAlign w:val="center"/>
          </w:tcPr>
          <w:p w:rsidR="0050013E" w:rsidRPr="00903C4F" w:rsidRDefault="0050013E" w:rsidP="00E52BE7">
            <w:pPr>
              <w:ind w:firstLine="0"/>
              <w:jc w:val="center"/>
              <w:rPr>
                <w:rFonts w:ascii="Lato" w:hAnsi="Lato"/>
                <w:color w:val="365F91"/>
                <w:sz w:val="20"/>
              </w:rPr>
            </w:pPr>
            <w:r w:rsidRPr="00903C4F">
              <w:rPr>
                <w:rFonts w:ascii="Lato" w:hAnsi="Lato"/>
                <w:color w:val="365F91"/>
                <w:sz w:val="20"/>
              </w:rPr>
              <w:t>Powyżej 150</w:t>
            </w:r>
          </w:p>
        </w:tc>
      </w:tr>
      <w:tr w:rsidR="00E52BE7" w:rsidRPr="00903C4F" w:rsidTr="000B521E">
        <w:trPr>
          <w:trHeight w:val="284"/>
          <w:jc w:val="center"/>
        </w:trPr>
        <w:tc>
          <w:tcPr>
            <w:tcW w:w="2207" w:type="pct"/>
            <w:vAlign w:val="center"/>
          </w:tcPr>
          <w:p w:rsidR="0050013E" w:rsidRPr="00903C4F" w:rsidRDefault="0050013E" w:rsidP="00E52BE7">
            <w:pPr>
              <w:ind w:hanging="102"/>
              <w:jc w:val="center"/>
              <w:rPr>
                <w:rFonts w:ascii="Lato" w:hAnsi="Lato"/>
                <w:color w:val="365F91"/>
                <w:sz w:val="20"/>
              </w:rPr>
            </w:pPr>
            <w:r w:rsidRPr="00903C4F">
              <w:rPr>
                <w:rFonts w:ascii="Lato" w:hAnsi="Lato"/>
                <w:color w:val="365F91"/>
                <w:sz w:val="20"/>
              </w:rPr>
              <w:t>średnio energochłonny</w:t>
            </w:r>
          </w:p>
        </w:tc>
        <w:tc>
          <w:tcPr>
            <w:tcW w:w="2793" w:type="pct"/>
            <w:vAlign w:val="center"/>
          </w:tcPr>
          <w:p w:rsidR="0050013E" w:rsidRPr="00903C4F" w:rsidRDefault="0050013E" w:rsidP="00E52BE7">
            <w:pPr>
              <w:ind w:firstLine="0"/>
              <w:jc w:val="center"/>
              <w:rPr>
                <w:rFonts w:ascii="Lato" w:hAnsi="Lato"/>
                <w:color w:val="365F91"/>
                <w:sz w:val="20"/>
              </w:rPr>
            </w:pPr>
            <w:r w:rsidRPr="00903C4F">
              <w:rPr>
                <w:rFonts w:ascii="Lato" w:hAnsi="Lato"/>
                <w:color w:val="365F91"/>
                <w:sz w:val="20"/>
              </w:rPr>
              <w:t>120 do 150</w:t>
            </w:r>
          </w:p>
        </w:tc>
      </w:tr>
      <w:tr w:rsidR="00E52BE7" w:rsidRPr="00903C4F" w:rsidTr="000B521E">
        <w:trPr>
          <w:trHeight w:val="284"/>
          <w:jc w:val="center"/>
        </w:trPr>
        <w:tc>
          <w:tcPr>
            <w:tcW w:w="2207" w:type="pct"/>
            <w:vAlign w:val="center"/>
          </w:tcPr>
          <w:p w:rsidR="0050013E" w:rsidRPr="00903C4F" w:rsidRDefault="0050013E" w:rsidP="00E52BE7">
            <w:pPr>
              <w:ind w:hanging="102"/>
              <w:jc w:val="center"/>
              <w:rPr>
                <w:rFonts w:ascii="Lato" w:hAnsi="Lato"/>
                <w:color w:val="365F91"/>
                <w:sz w:val="20"/>
              </w:rPr>
            </w:pPr>
            <w:r w:rsidRPr="00903C4F">
              <w:rPr>
                <w:rFonts w:ascii="Lato" w:hAnsi="Lato"/>
                <w:color w:val="365F91"/>
                <w:sz w:val="20"/>
              </w:rPr>
              <w:t>standardowy</w:t>
            </w:r>
          </w:p>
        </w:tc>
        <w:tc>
          <w:tcPr>
            <w:tcW w:w="2793" w:type="pct"/>
            <w:vAlign w:val="center"/>
          </w:tcPr>
          <w:p w:rsidR="0050013E" w:rsidRPr="00903C4F" w:rsidRDefault="0050013E" w:rsidP="00E52BE7">
            <w:pPr>
              <w:ind w:firstLine="0"/>
              <w:jc w:val="center"/>
              <w:rPr>
                <w:rFonts w:ascii="Lato" w:hAnsi="Lato"/>
                <w:color w:val="365F91"/>
                <w:sz w:val="20"/>
              </w:rPr>
            </w:pPr>
            <w:r w:rsidRPr="00903C4F">
              <w:rPr>
                <w:rFonts w:ascii="Lato" w:hAnsi="Lato"/>
                <w:color w:val="365F91"/>
                <w:sz w:val="20"/>
              </w:rPr>
              <w:t>80 do 120</w:t>
            </w:r>
          </w:p>
        </w:tc>
      </w:tr>
      <w:tr w:rsidR="00E52BE7" w:rsidRPr="00903C4F" w:rsidTr="000B521E">
        <w:trPr>
          <w:trHeight w:val="284"/>
          <w:jc w:val="center"/>
        </w:trPr>
        <w:tc>
          <w:tcPr>
            <w:tcW w:w="2207" w:type="pct"/>
            <w:vAlign w:val="center"/>
          </w:tcPr>
          <w:p w:rsidR="0050013E" w:rsidRPr="00903C4F" w:rsidRDefault="0050013E" w:rsidP="00E52BE7">
            <w:pPr>
              <w:ind w:hanging="102"/>
              <w:jc w:val="center"/>
              <w:rPr>
                <w:rFonts w:ascii="Lato" w:hAnsi="Lato"/>
                <w:color w:val="365F91"/>
                <w:sz w:val="20"/>
              </w:rPr>
            </w:pPr>
            <w:r w:rsidRPr="00903C4F">
              <w:rPr>
                <w:rFonts w:ascii="Lato" w:hAnsi="Lato"/>
                <w:color w:val="365F91"/>
                <w:sz w:val="20"/>
              </w:rPr>
              <w:t>energooszczędny</w:t>
            </w:r>
          </w:p>
        </w:tc>
        <w:tc>
          <w:tcPr>
            <w:tcW w:w="2793" w:type="pct"/>
            <w:vAlign w:val="center"/>
          </w:tcPr>
          <w:p w:rsidR="0050013E" w:rsidRPr="00903C4F" w:rsidRDefault="0050013E" w:rsidP="00E52BE7">
            <w:pPr>
              <w:ind w:firstLine="0"/>
              <w:jc w:val="center"/>
              <w:rPr>
                <w:rFonts w:ascii="Lato" w:hAnsi="Lato"/>
                <w:color w:val="365F91"/>
                <w:sz w:val="20"/>
              </w:rPr>
            </w:pPr>
            <w:r w:rsidRPr="00903C4F">
              <w:rPr>
                <w:rFonts w:ascii="Lato" w:hAnsi="Lato"/>
                <w:color w:val="365F91"/>
                <w:sz w:val="20"/>
              </w:rPr>
              <w:t>45 do 80</w:t>
            </w:r>
          </w:p>
        </w:tc>
      </w:tr>
      <w:tr w:rsidR="00E52BE7" w:rsidRPr="00903C4F" w:rsidTr="000B521E">
        <w:trPr>
          <w:trHeight w:val="284"/>
          <w:jc w:val="center"/>
        </w:trPr>
        <w:tc>
          <w:tcPr>
            <w:tcW w:w="2207" w:type="pct"/>
            <w:vAlign w:val="center"/>
          </w:tcPr>
          <w:p w:rsidR="0050013E" w:rsidRPr="00903C4F" w:rsidRDefault="0050013E" w:rsidP="00E52BE7">
            <w:pPr>
              <w:ind w:hanging="102"/>
              <w:jc w:val="center"/>
              <w:rPr>
                <w:rFonts w:ascii="Lato" w:hAnsi="Lato"/>
                <w:color w:val="365F91"/>
                <w:sz w:val="20"/>
              </w:rPr>
            </w:pPr>
            <w:r w:rsidRPr="00903C4F">
              <w:rPr>
                <w:rFonts w:ascii="Lato" w:hAnsi="Lato"/>
                <w:color w:val="365F91"/>
                <w:sz w:val="20"/>
              </w:rPr>
              <w:t>niskoenergetyczny</w:t>
            </w:r>
          </w:p>
        </w:tc>
        <w:tc>
          <w:tcPr>
            <w:tcW w:w="2793" w:type="pct"/>
            <w:vAlign w:val="center"/>
          </w:tcPr>
          <w:p w:rsidR="0050013E" w:rsidRPr="00903C4F" w:rsidRDefault="0050013E" w:rsidP="00E52BE7">
            <w:pPr>
              <w:ind w:firstLine="0"/>
              <w:jc w:val="center"/>
              <w:rPr>
                <w:rFonts w:ascii="Lato" w:hAnsi="Lato"/>
                <w:color w:val="365F91"/>
                <w:sz w:val="20"/>
              </w:rPr>
            </w:pPr>
            <w:r w:rsidRPr="00903C4F">
              <w:rPr>
                <w:rFonts w:ascii="Lato" w:hAnsi="Lato"/>
                <w:color w:val="365F91"/>
                <w:sz w:val="20"/>
              </w:rPr>
              <w:t>20 do 45</w:t>
            </w:r>
          </w:p>
        </w:tc>
      </w:tr>
      <w:tr w:rsidR="00E52BE7" w:rsidRPr="00903C4F" w:rsidTr="000B521E">
        <w:trPr>
          <w:trHeight w:val="284"/>
          <w:jc w:val="center"/>
        </w:trPr>
        <w:tc>
          <w:tcPr>
            <w:tcW w:w="2207" w:type="pct"/>
            <w:vAlign w:val="center"/>
          </w:tcPr>
          <w:p w:rsidR="0050013E" w:rsidRPr="00903C4F" w:rsidRDefault="0050013E" w:rsidP="00E52BE7">
            <w:pPr>
              <w:ind w:hanging="102"/>
              <w:jc w:val="center"/>
              <w:rPr>
                <w:rFonts w:ascii="Lato" w:hAnsi="Lato"/>
                <w:color w:val="365F91"/>
                <w:sz w:val="20"/>
              </w:rPr>
            </w:pPr>
            <w:r w:rsidRPr="00903C4F">
              <w:rPr>
                <w:rFonts w:ascii="Lato" w:hAnsi="Lato"/>
                <w:color w:val="365F91"/>
                <w:sz w:val="20"/>
              </w:rPr>
              <w:t>pasywny</w:t>
            </w:r>
          </w:p>
        </w:tc>
        <w:tc>
          <w:tcPr>
            <w:tcW w:w="2793" w:type="pct"/>
            <w:vAlign w:val="center"/>
          </w:tcPr>
          <w:p w:rsidR="0050013E" w:rsidRPr="00903C4F" w:rsidRDefault="0050013E" w:rsidP="00E52BE7">
            <w:pPr>
              <w:ind w:firstLine="0"/>
              <w:jc w:val="center"/>
              <w:rPr>
                <w:rFonts w:ascii="Lato" w:hAnsi="Lato"/>
                <w:color w:val="365F91"/>
                <w:sz w:val="20"/>
              </w:rPr>
            </w:pPr>
            <w:r w:rsidRPr="00903C4F">
              <w:rPr>
                <w:rFonts w:ascii="Lato" w:hAnsi="Lato"/>
                <w:color w:val="365F91"/>
                <w:sz w:val="20"/>
              </w:rPr>
              <w:t>Poniżej 20</w:t>
            </w:r>
          </w:p>
        </w:tc>
      </w:tr>
    </w:tbl>
    <w:p w:rsidR="00E51AB9" w:rsidRPr="008F1406" w:rsidRDefault="00E51AB9" w:rsidP="00E51AB9">
      <w:pPr>
        <w:spacing w:before="240"/>
        <w:jc w:val="center"/>
        <w:rPr>
          <w:rFonts w:ascii="Lato" w:hAnsi="Lato"/>
          <w:i/>
          <w:sz w:val="20"/>
          <w:lang w:eastAsia="x-none"/>
        </w:rPr>
      </w:pPr>
      <w:r w:rsidRPr="008F1406">
        <w:rPr>
          <w:rFonts w:ascii="Lato" w:hAnsi="Lato"/>
          <w:i/>
          <w:sz w:val="20"/>
          <w:lang w:eastAsia="x-none"/>
        </w:rPr>
        <w:t>Źródło:</w:t>
      </w:r>
      <w:r w:rsidR="00747319" w:rsidRPr="008F1406">
        <w:rPr>
          <w:rFonts w:ascii="Lato" w:hAnsi="Lato"/>
          <w:i/>
          <w:sz w:val="20"/>
          <w:lang w:eastAsia="x-none"/>
        </w:rPr>
        <w:t xml:space="preserve"> KAPE</w:t>
      </w:r>
    </w:p>
    <w:p w:rsidR="005D3F7F" w:rsidRPr="00903C4F" w:rsidRDefault="005D3F7F" w:rsidP="005D3F7F">
      <w:pPr>
        <w:jc w:val="center"/>
        <w:rPr>
          <w:rFonts w:ascii="Lato" w:hAnsi="Lato"/>
          <w:i/>
          <w:sz w:val="20"/>
          <w:lang w:eastAsia="x-none"/>
        </w:rPr>
      </w:pPr>
    </w:p>
    <w:p w:rsidR="0050013E" w:rsidRPr="00903C4F" w:rsidRDefault="0050013E" w:rsidP="0050013E">
      <w:pPr>
        <w:jc w:val="both"/>
        <w:rPr>
          <w:rFonts w:ascii="Lato" w:hAnsi="Lato"/>
          <w:sz w:val="2"/>
          <w:szCs w:val="2"/>
        </w:rPr>
      </w:pPr>
    </w:p>
    <w:p w:rsidR="0047368F" w:rsidRPr="00903C4F" w:rsidRDefault="00055FCD" w:rsidP="00AB431C">
      <w:pPr>
        <w:pStyle w:val="Nagwek4"/>
        <w:numPr>
          <w:ilvl w:val="3"/>
          <w:numId w:val="38"/>
        </w:numPr>
        <w:ind w:left="1134" w:right="52" w:hanging="1134"/>
        <w:jc w:val="both"/>
        <w:rPr>
          <w:rFonts w:ascii="Lato" w:hAnsi="Lato"/>
          <w:b w:val="0"/>
          <w:i w:val="0"/>
          <w:color w:val="365F91"/>
          <w:sz w:val="22"/>
          <w:szCs w:val="22"/>
        </w:rPr>
      </w:pPr>
      <w:r>
        <w:rPr>
          <w:rFonts w:ascii="Lato" w:hAnsi="Lato"/>
          <w:b w:val="0"/>
          <w:i w:val="0"/>
          <w:color w:val="365F91"/>
          <w:sz w:val="22"/>
          <w:szCs w:val="22"/>
        </w:rPr>
        <w:br w:type="page"/>
      </w:r>
      <w:r w:rsidR="0047368F" w:rsidRPr="00903C4F">
        <w:rPr>
          <w:rFonts w:ascii="Lato" w:hAnsi="Lato"/>
          <w:b w:val="0"/>
          <w:i w:val="0"/>
          <w:color w:val="365F91"/>
          <w:sz w:val="22"/>
          <w:szCs w:val="22"/>
        </w:rPr>
        <w:lastRenderedPageBreak/>
        <w:t>Zabudowa mieszkaniowa</w:t>
      </w:r>
    </w:p>
    <w:p w:rsidR="00D212A0" w:rsidRPr="00903C4F" w:rsidRDefault="00D212A0" w:rsidP="00C729D3">
      <w:pPr>
        <w:pStyle w:val="Tekstpodstawowy"/>
        <w:ind w:firstLine="709"/>
        <w:rPr>
          <w:rFonts w:ascii="Lato" w:hAnsi="Lato" w:cs="Times New Roman"/>
        </w:rPr>
      </w:pPr>
      <w:r w:rsidRPr="00903C4F">
        <w:rPr>
          <w:rFonts w:ascii="Lato" w:hAnsi="Lato" w:cs="Times New Roman"/>
        </w:rPr>
        <w:t xml:space="preserve">Na terenie Gminy </w:t>
      </w:r>
      <w:r w:rsidR="00903C4F" w:rsidRPr="00903C4F">
        <w:rPr>
          <w:rFonts w:ascii="Lato" w:hAnsi="Lato" w:cs="Times New Roman"/>
        </w:rPr>
        <w:t>Pabianice</w:t>
      </w:r>
      <w:r w:rsidRPr="00903C4F">
        <w:rPr>
          <w:rFonts w:ascii="Lato" w:hAnsi="Lato" w:cs="Times New Roman"/>
        </w:rPr>
        <w:t xml:space="preserve"> można wyróżnić następujące rodzaje zabudowy mieszkaniowej: jednorodzinną, wielorodzinną oraz rolniczą zagrodową. Dane dotyczące budownictwa mieszkaniowego opracowano w oparciu o informacje GUS do roku 2017 oraz Narodowy Spis Powszechny 2002 oraz 2011.</w:t>
      </w:r>
    </w:p>
    <w:p w:rsidR="0050013E" w:rsidRPr="00600DD0" w:rsidRDefault="00D212A0" w:rsidP="00617C1D">
      <w:pPr>
        <w:pStyle w:val="Tekstpodstawowy"/>
        <w:ind w:firstLine="709"/>
        <w:rPr>
          <w:rFonts w:ascii="Lato" w:hAnsi="Lato" w:cs="Times New Roman"/>
        </w:rPr>
      </w:pPr>
      <w:r w:rsidRPr="00EA5873">
        <w:rPr>
          <w:rFonts w:ascii="Lato" w:hAnsi="Lato" w:cs="Times New Roman"/>
        </w:rPr>
        <w:t xml:space="preserve">Na koniec 2017 roku na terenie gminy zlokalizowanych było </w:t>
      </w:r>
      <w:r w:rsidR="00EA5873" w:rsidRPr="00EA5873">
        <w:rPr>
          <w:rFonts w:ascii="Lato" w:hAnsi="Lato" w:cs="Times New Roman"/>
        </w:rPr>
        <w:t xml:space="preserve">2 </w:t>
      </w:r>
      <w:r w:rsidR="00EB2C0C">
        <w:rPr>
          <w:rFonts w:ascii="Lato" w:hAnsi="Lato" w:cs="Times New Roman"/>
        </w:rPr>
        <w:t>394</w:t>
      </w:r>
      <w:r w:rsidRPr="00EA5873">
        <w:rPr>
          <w:rFonts w:ascii="Lato" w:hAnsi="Lato" w:cs="Times New Roman"/>
        </w:rPr>
        <w:t xml:space="preserve"> mieszka</w:t>
      </w:r>
      <w:r w:rsidR="00EB2C0C">
        <w:rPr>
          <w:rFonts w:ascii="Lato" w:hAnsi="Lato" w:cs="Times New Roman"/>
        </w:rPr>
        <w:t>nia</w:t>
      </w:r>
      <w:r w:rsidRPr="00EA5873">
        <w:rPr>
          <w:rFonts w:ascii="Lato" w:hAnsi="Lato" w:cs="Times New Roman"/>
        </w:rPr>
        <w:t xml:space="preserve"> o łącznej powierzchni użytkowej </w:t>
      </w:r>
      <w:r w:rsidR="00EA5873" w:rsidRPr="00EA5873">
        <w:rPr>
          <w:rFonts w:ascii="Lato" w:hAnsi="Lato" w:cs="Times New Roman"/>
        </w:rPr>
        <w:t>2</w:t>
      </w:r>
      <w:r w:rsidR="00EB2C0C">
        <w:rPr>
          <w:rFonts w:ascii="Lato" w:hAnsi="Lato" w:cs="Times New Roman"/>
        </w:rPr>
        <w:t>44</w:t>
      </w:r>
      <w:r w:rsidR="00EA5873" w:rsidRPr="00EA5873">
        <w:rPr>
          <w:rFonts w:ascii="Lato" w:hAnsi="Lato" w:cs="Times New Roman"/>
        </w:rPr>
        <w:t xml:space="preserve"> </w:t>
      </w:r>
      <w:r w:rsidR="00EB2C0C">
        <w:rPr>
          <w:rFonts w:ascii="Lato" w:hAnsi="Lato" w:cs="Times New Roman"/>
        </w:rPr>
        <w:t>683</w:t>
      </w:r>
      <w:r w:rsidRPr="00EA5873">
        <w:rPr>
          <w:rFonts w:ascii="Lato" w:hAnsi="Lato" w:cs="Times New Roman"/>
        </w:rPr>
        <w:t xml:space="preserve"> m</w:t>
      </w:r>
      <w:r w:rsidRPr="00EA5873">
        <w:rPr>
          <w:rFonts w:ascii="Lato" w:hAnsi="Lato" w:cs="Times New Roman"/>
          <w:vertAlign w:val="superscript"/>
        </w:rPr>
        <w:t>2</w:t>
      </w:r>
      <w:r w:rsidRPr="00EA5873">
        <w:rPr>
          <w:rFonts w:ascii="Lato" w:hAnsi="Lato" w:cs="Times New Roman"/>
        </w:rPr>
        <w:t xml:space="preserve"> (wg danych GUS). </w:t>
      </w:r>
      <w:r w:rsidRPr="00303D33">
        <w:rPr>
          <w:rFonts w:ascii="Lato" w:hAnsi="Lato" w:cs="Times New Roman"/>
        </w:rPr>
        <w:t xml:space="preserve">Wskaźnik powierzchni mieszkalnej przypadającej na jednego mieszkańca wyniósł </w:t>
      </w:r>
      <w:r w:rsidR="002E5101" w:rsidRPr="00303D33">
        <w:rPr>
          <w:rFonts w:ascii="Lato" w:hAnsi="Lato" w:cs="Times New Roman"/>
        </w:rPr>
        <w:t>3</w:t>
      </w:r>
      <w:r w:rsidR="00303D33" w:rsidRPr="00303D33">
        <w:rPr>
          <w:rFonts w:ascii="Lato" w:hAnsi="Lato" w:cs="Times New Roman"/>
        </w:rPr>
        <w:t>3</w:t>
      </w:r>
      <w:r w:rsidR="002E5101" w:rsidRPr="00303D33">
        <w:rPr>
          <w:rFonts w:ascii="Lato" w:hAnsi="Lato" w:cs="Times New Roman"/>
        </w:rPr>
        <w:t>,8</w:t>
      </w:r>
      <w:r w:rsidR="00EB2C0C">
        <w:rPr>
          <w:rFonts w:ascii="Lato" w:hAnsi="Lato" w:cs="Times New Roman"/>
        </w:rPr>
        <w:t>1</w:t>
      </w:r>
      <w:r w:rsidRPr="00303D33">
        <w:rPr>
          <w:rFonts w:ascii="Lato" w:hAnsi="Lato" w:cs="Times New Roman"/>
        </w:rPr>
        <w:t xml:space="preserve"> m</w:t>
      </w:r>
      <w:r w:rsidRPr="00303D33">
        <w:rPr>
          <w:rFonts w:ascii="Lato" w:hAnsi="Lato" w:cs="Times New Roman"/>
          <w:vertAlign w:val="superscript"/>
        </w:rPr>
        <w:t>2</w:t>
      </w:r>
      <w:r w:rsidRPr="00303D33">
        <w:rPr>
          <w:rFonts w:ascii="Lato" w:hAnsi="Lato" w:cs="Times New Roman"/>
        </w:rPr>
        <w:t xml:space="preserve"> i wzrósł w odniesieniu do </w:t>
      </w:r>
      <w:r w:rsidR="00303D33" w:rsidRPr="00667E49">
        <w:rPr>
          <w:rFonts w:ascii="Lato" w:hAnsi="Lato" w:cs="Times New Roman"/>
        </w:rPr>
        <w:t>2000</w:t>
      </w:r>
      <w:r w:rsidR="00667E49">
        <w:rPr>
          <w:rFonts w:ascii="Lato" w:hAnsi="Lato" w:cs="Times New Roman"/>
        </w:rPr>
        <w:t xml:space="preserve"> roku o </w:t>
      </w:r>
      <w:r w:rsidR="00667E49" w:rsidRPr="00667E49">
        <w:rPr>
          <w:rFonts w:ascii="Lato" w:hAnsi="Lato" w:cs="Times New Roman"/>
        </w:rPr>
        <w:t>12,9</w:t>
      </w:r>
      <w:r w:rsidR="00667E49">
        <w:rPr>
          <w:rFonts w:ascii="Lato" w:hAnsi="Lato" w:cs="Times New Roman"/>
        </w:rPr>
        <w:t> </w:t>
      </w:r>
      <w:r w:rsidRPr="00667E49">
        <w:rPr>
          <w:rFonts w:ascii="Lato" w:hAnsi="Lato" w:cs="Times New Roman"/>
        </w:rPr>
        <w:t>m</w:t>
      </w:r>
      <w:r w:rsidRPr="00667E49">
        <w:rPr>
          <w:rFonts w:ascii="Lato" w:hAnsi="Lato" w:cs="Times New Roman"/>
          <w:vertAlign w:val="superscript"/>
        </w:rPr>
        <w:t>2</w:t>
      </w:r>
      <w:r w:rsidRPr="00667E49">
        <w:rPr>
          <w:rFonts w:ascii="Lato" w:hAnsi="Lato" w:cs="Times New Roman"/>
        </w:rPr>
        <w:t xml:space="preserve">/osobę. Średni metraż przeciętnego mieszkania wynosił </w:t>
      </w:r>
      <w:r w:rsidR="002E5101" w:rsidRPr="00667E49">
        <w:rPr>
          <w:rFonts w:ascii="Lato" w:hAnsi="Lato" w:cs="Times New Roman"/>
        </w:rPr>
        <w:t>1</w:t>
      </w:r>
      <w:r w:rsidR="00303D33" w:rsidRPr="00667E49">
        <w:rPr>
          <w:rFonts w:ascii="Lato" w:hAnsi="Lato" w:cs="Times New Roman"/>
        </w:rPr>
        <w:t>02</w:t>
      </w:r>
      <w:r w:rsidR="002E5101" w:rsidRPr="00667E49">
        <w:rPr>
          <w:rFonts w:ascii="Lato" w:hAnsi="Lato" w:cs="Times New Roman"/>
        </w:rPr>
        <w:t>,2</w:t>
      </w:r>
      <w:r w:rsidRPr="00667E49">
        <w:rPr>
          <w:rFonts w:ascii="Lato" w:hAnsi="Lato" w:cs="Times New Roman"/>
        </w:rPr>
        <w:t xml:space="preserve"> m</w:t>
      </w:r>
      <w:r w:rsidRPr="00667E49">
        <w:rPr>
          <w:rFonts w:ascii="Lato" w:hAnsi="Lato" w:cs="Times New Roman"/>
          <w:vertAlign w:val="superscript"/>
        </w:rPr>
        <w:t>2</w:t>
      </w:r>
      <w:r w:rsidRPr="00667E49">
        <w:rPr>
          <w:rFonts w:ascii="Lato" w:hAnsi="Lato" w:cs="Times New Roman"/>
        </w:rPr>
        <w:t xml:space="preserve"> (2017 rok) i wzró</w:t>
      </w:r>
      <w:r w:rsidR="00667E49">
        <w:rPr>
          <w:rFonts w:ascii="Lato" w:hAnsi="Lato" w:cs="Times New Roman"/>
        </w:rPr>
        <w:t>sł w </w:t>
      </w:r>
      <w:r w:rsidR="005006A8" w:rsidRPr="00667E49">
        <w:rPr>
          <w:rFonts w:ascii="Lato" w:hAnsi="Lato" w:cs="Times New Roman"/>
        </w:rPr>
        <w:t xml:space="preserve">odniesieniu do </w:t>
      </w:r>
      <w:r w:rsidR="00667E49" w:rsidRPr="00667E49">
        <w:rPr>
          <w:rFonts w:ascii="Lato" w:hAnsi="Lato" w:cs="Times New Roman"/>
        </w:rPr>
        <w:t>2000</w:t>
      </w:r>
      <w:r w:rsidR="005006A8" w:rsidRPr="00667E49">
        <w:rPr>
          <w:rFonts w:ascii="Lato" w:hAnsi="Lato" w:cs="Times New Roman"/>
        </w:rPr>
        <w:t xml:space="preserve"> roku o </w:t>
      </w:r>
      <w:r w:rsidR="00667E49" w:rsidRPr="00667E49">
        <w:rPr>
          <w:rFonts w:ascii="Lato" w:hAnsi="Lato" w:cs="Times New Roman"/>
        </w:rPr>
        <w:t>30</w:t>
      </w:r>
      <w:r w:rsidR="005006A8" w:rsidRPr="00667E49">
        <w:rPr>
          <w:rFonts w:ascii="Lato" w:hAnsi="Lato" w:cs="Times New Roman"/>
        </w:rPr>
        <w:t> </w:t>
      </w:r>
      <w:r w:rsidRPr="00667E49">
        <w:rPr>
          <w:rFonts w:ascii="Lato" w:hAnsi="Lato" w:cs="Times New Roman"/>
        </w:rPr>
        <w:t>m</w:t>
      </w:r>
      <w:r w:rsidRPr="00667E49">
        <w:rPr>
          <w:rFonts w:ascii="Lato" w:hAnsi="Lato" w:cs="Times New Roman"/>
          <w:vertAlign w:val="superscript"/>
        </w:rPr>
        <w:t>2</w:t>
      </w:r>
      <w:r w:rsidRPr="00667E49">
        <w:rPr>
          <w:rFonts w:ascii="Lato" w:hAnsi="Lato" w:cs="Times New Roman"/>
        </w:rPr>
        <w:t>/mieszkańca. Rosnące wskaźniki związane z</w:t>
      </w:r>
      <w:r w:rsidRPr="00600DD0">
        <w:rPr>
          <w:rFonts w:ascii="Lato" w:hAnsi="Lato" w:cs="Times New Roman"/>
        </w:rPr>
        <w:t xml:space="preserve"> gospodarką mieszkaniową stanowią pozytywny czynnik świadczący o wzroście jakości życia społeczności gminy i stanowią podstawy do prognozowania dalszego wzrostu poziomu życia w następnych latach. </w:t>
      </w:r>
    </w:p>
    <w:p w:rsidR="0050013E" w:rsidRPr="00600DD0" w:rsidRDefault="006D2CE4" w:rsidP="00C729D3">
      <w:pPr>
        <w:pStyle w:val="Tekstpodstawowy"/>
        <w:rPr>
          <w:rFonts w:ascii="Lato" w:hAnsi="Lato" w:cs="Times New Roman"/>
        </w:rPr>
      </w:pPr>
      <w:r w:rsidRPr="00600DD0">
        <w:rPr>
          <w:rFonts w:ascii="Lato" w:hAnsi="Lato" w:cs="Times New Roman"/>
        </w:rPr>
        <w:t>W tabe</w:t>
      </w:r>
      <w:r w:rsidR="000C7B7A" w:rsidRPr="00600DD0">
        <w:rPr>
          <w:rFonts w:ascii="Lato" w:hAnsi="Lato" w:cs="Times New Roman"/>
        </w:rPr>
        <w:t>lach</w:t>
      </w:r>
      <w:r w:rsidRPr="00600DD0">
        <w:rPr>
          <w:rFonts w:ascii="Lato" w:hAnsi="Lato" w:cs="Times New Roman"/>
        </w:rPr>
        <w:t xml:space="preserve"> 1-</w:t>
      </w:r>
      <w:r w:rsidR="00315C25" w:rsidRPr="00600DD0">
        <w:rPr>
          <w:rFonts w:ascii="Lato" w:hAnsi="Lato" w:cs="Times New Roman"/>
        </w:rPr>
        <w:t>5</w:t>
      </w:r>
      <w:r w:rsidRPr="00600DD0">
        <w:rPr>
          <w:rFonts w:ascii="Lato" w:hAnsi="Lato" w:cs="Times New Roman"/>
        </w:rPr>
        <w:t xml:space="preserve"> i 1-</w:t>
      </w:r>
      <w:r w:rsidR="00315C25" w:rsidRPr="00600DD0">
        <w:rPr>
          <w:rFonts w:ascii="Lato" w:hAnsi="Lato" w:cs="Times New Roman"/>
        </w:rPr>
        <w:t>6</w:t>
      </w:r>
      <w:r w:rsidR="0050013E" w:rsidRPr="00600DD0">
        <w:rPr>
          <w:rFonts w:ascii="Lato" w:hAnsi="Lato" w:cs="Times New Roman"/>
        </w:rPr>
        <w:t xml:space="preserve"> zestawiono informacje na temat zmian w gospodarce mieszkaniowej.</w:t>
      </w:r>
    </w:p>
    <w:p w:rsidR="00256959" w:rsidRPr="00600DD0" w:rsidRDefault="00256959" w:rsidP="00C729D3">
      <w:pPr>
        <w:pStyle w:val="Tekstpodstawowy"/>
        <w:rPr>
          <w:rFonts w:ascii="Lato" w:hAnsi="Lato" w:cs="Times New Roman"/>
        </w:rPr>
      </w:pPr>
    </w:p>
    <w:p w:rsidR="0050013E" w:rsidRPr="00EA5873" w:rsidRDefault="0050013E" w:rsidP="00C54B26">
      <w:pPr>
        <w:pStyle w:val="Legenda"/>
        <w:rPr>
          <w:rFonts w:ascii="Lato" w:hAnsi="Lato"/>
          <w:color w:val="365F91"/>
          <w:sz w:val="20"/>
          <w:szCs w:val="20"/>
          <w:lang w:val="pl-PL"/>
        </w:rPr>
      </w:pPr>
      <w:bookmarkStart w:id="77" w:name="_Toc217206091"/>
      <w:bookmarkStart w:id="78" w:name="_Toc20219164"/>
      <w:r w:rsidRPr="00EA5873">
        <w:rPr>
          <w:rFonts w:ascii="Lato" w:hAnsi="Lato"/>
          <w:color w:val="365F91"/>
          <w:sz w:val="20"/>
          <w:szCs w:val="20"/>
        </w:rPr>
        <w:t xml:space="preserve">Tabela </w:t>
      </w:r>
      <w:r w:rsidR="004042AE" w:rsidRPr="00EA5873">
        <w:rPr>
          <w:rFonts w:ascii="Lato" w:hAnsi="Lato"/>
          <w:color w:val="365F91"/>
          <w:sz w:val="20"/>
          <w:szCs w:val="20"/>
        </w:rPr>
        <w:fldChar w:fldCharType="begin"/>
      </w:r>
      <w:r w:rsidR="005430ED" w:rsidRPr="00EA5873">
        <w:rPr>
          <w:rFonts w:ascii="Lato" w:hAnsi="Lato"/>
          <w:color w:val="365F91"/>
          <w:sz w:val="20"/>
          <w:szCs w:val="20"/>
        </w:rPr>
        <w:instrText xml:space="preserve"> STYLEREF 1 \s </w:instrText>
      </w:r>
      <w:r w:rsidR="004042AE" w:rsidRPr="00EA5873">
        <w:rPr>
          <w:rFonts w:ascii="Lato" w:hAnsi="Lato"/>
          <w:color w:val="365F91"/>
          <w:sz w:val="20"/>
          <w:szCs w:val="20"/>
        </w:rPr>
        <w:fldChar w:fldCharType="separate"/>
      </w:r>
      <w:r w:rsidR="0040205B">
        <w:rPr>
          <w:rFonts w:ascii="Lato" w:hAnsi="Lato"/>
          <w:noProof/>
          <w:color w:val="365F91"/>
          <w:sz w:val="20"/>
          <w:szCs w:val="20"/>
        </w:rPr>
        <w:t>1</w:t>
      </w:r>
      <w:r w:rsidR="004042AE" w:rsidRPr="00EA5873">
        <w:rPr>
          <w:rFonts w:ascii="Lato" w:hAnsi="Lato"/>
          <w:color w:val="365F91"/>
          <w:sz w:val="20"/>
          <w:szCs w:val="20"/>
        </w:rPr>
        <w:fldChar w:fldCharType="end"/>
      </w:r>
      <w:r w:rsidR="005430ED" w:rsidRPr="00EA5873">
        <w:rPr>
          <w:rFonts w:ascii="Lato" w:hAnsi="Lato"/>
          <w:color w:val="365F91"/>
          <w:sz w:val="20"/>
          <w:szCs w:val="20"/>
        </w:rPr>
        <w:noBreakHyphen/>
      </w:r>
      <w:r w:rsidR="004042AE" w:rsidRPr="00EA5873">
        <w:rPr>
          <w:rFonts w:ascii="Lato" w:hAnsi="Lato"/>
          <w:color w:val="365F91"/>
          <w:sz w:val="20"/>
          <w:szCs w:val="20"/>
        </w:rPr>
        <w:fldChar w:fldCharType="begin"/>
      </w:r>
      <w:r w:rsidR="005430ED" w:rsidRPr="00EA5873">
        <w:rPr>
          <w:rFonts w:ascii="Lato" w:hAnsi="Lato"/>
          <w:color w:val="365F91"/>
          <w:sz w:val="20"/>
          <w:szCs w:val="20"/>
        </w:rPr>
        <w:instrText xml:space="preserve"> SEQ Tabela \* ARABIC \s 1 </w:instrText>
      </w:r>
      <w:r w:rsidR="004042AE" w:rsidRPr="00EA5873">
        <w:rPr>
          <w:rFonts w:ascii="Lato" w:hAnsi="Lato"/>
          <w:color w:val="365F91"/>
          <w:sz w:val="20"/>
          <w:szCs w:val="20"/>
        </w:rPr>
        <w:fldChar w:fldCharType="separate"/>
      </w:r>
      <w:r w:rsidR="0040205B">
        <w:rPr>
          <w:rFonts w:ascii="Lato" w:hAnsi="Lato"/>
          <w:noProof/>
          <w:color w:val="365F91"/>
          <w:sz w:val="20"/>
          <w:szCs w:val="20"/>
        </w:rPr>
        <w:t>5</w:t>
      </w:r>
      <w:r w:rsidR="004042AE" w:rsidRPr="00EA5873">
        <w:rPr>
          <w:rFonts w:ascii="Lato" w:hAnsi="Lato"/>
          <w:color w:val="365F91"/>
          <w:sz w:val="20"/>
          <w:szCs w:val="20"/>
        </w:rPr>
        <w:fldChar w:fldCharType="end"/>
      </w:r>
      <w:r w:rsidRPr="00EA5873">
        <w:rPr>
          <w:rFonts w:ascii="Lato" w:hAnsi="Lato"/>
          <w:color w:val="365F91"/>
          <w:sz w:val="20"/>
          <w:szCs w:val="20"/>
        </w:rPr>
        <w:t xml:space="preserve"> Statystyka mieszkaniowa z la</w:t>
      </w:r>
      <w:r w:rsidR="006D2CE4" w:rsidRPr="00EA5873">
        <w:rPr>
          <w:rFonts w:ascii="Lato" w:hAnsi="Lato"/>
          <w:color w:val="365F91"/>
          <w:sz w:val="20"/>
          <w:szCs w:val="20"/>
        </w:rPr>
        <w:t>t 1995 – 201</w:t>
      </w:r>
      <w:r w:rsidR="007A0293" w:rsidRPr="00EA5873">
        <w:rPr>
          <w:rFonts w:ascii="Lato" w:hAnsi="Lato"/>
          <w:color w:val="365F91"/>
          <w:sz w:val="20"/>
          <w:szCs w:val="20"/>
          <w:lang w:val="pl-PL"/>
        </w:rPr>
        <w:t>7</w:t>
      </w:r>
      <w:r w:rsidRPr="00EA5873">
        <w:rPr>
          <w:rFonts w:ascii="Lato" w:hAnsi="Lato"/>
          <w:color w:val="365F91"/>
          <w:sz w:val="20"/>
          <w:szCs w:val="20"/>
        </w:rPr>
        <w:t xml:space="preserve"> dotycząca </w:t>
      </w:r>
      <w:bookmarkEnd w:id="77"/>
      <w:r w:rsidR="006076FA" w:rsidRPr="00EA5873">
        <w:rPr>
          <w:rFonts w:ascii="Lato" w:hAnsi="Lato"/>
          <w:color w:val="365F91"/>
          <w:sz w:val="20"/>
          <w:szCs w:val="20"/>
        </w:rPr>
        <w:t xml:space="preserve">Gminy </w:t>
      </w:r>
      <w:r w:rsidR="00EA5873" w:rsidRPr="00EA5873">
        <w:rPr>
          <w:rFonts w:ascii="Lato" w:hAnsi="Lato"/>
          <w:color w:val="365F91"/>
          <w:sz w:val="20"/>
          <w:szCs w:val="20"/>
          <w:lang w:val="pl-PL"/>
        </w:rPr>
        <w:t>Pabianice</w:t>
      </w:r>
      <w:bookmarkEnd w:id="78"/>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1690"/>
        <w:gridCol w:w="1624"/>
        <w:gridCol w:w="2167"/>
        <w:gridCol w:w="1760"/>
        <w:gridCol w:w="2312"/>
      </w:tblGrid>
      <w:tr w:rsidR="006076FA" w:rsidRPr="00EA5873" w:rsidTr="00B54CD4">
        <w:trPr>
          <w:trHeight w:val="555"/>
          <w:jc w:val="center"/>
        </w:trPr>
        <w:tc>
          <w:tcPr>
            <w:tcW w:w="885" w:type="pct"/>
            <w:vMerge w:val="restart"/>
            <w:shd w:val="clear" w:color="auto" w:fill="DBE5F1"/>
            <w:vAlign w:val="center"/>
            <w:hideMark/>
          </w:tcPr>
          <w:p w:rsidR="006076FA" w:rsidRPr="00EA5873" w:rsidRDefault="006076FA" w:rsidP="00E27451">
            <w:pPr>
              <w:spacing w:line="240" w:lineRule="auto"/>
              <w:ind w:firstLine="0"/>
              <w:jc w:val="center"/>
              <w:rPr>
                <w:rFonts w:ascii="Lato" w:hAnsi="Lato"/>
                <w:b/>
                <w:color w:val="365F91"/>
                <w:sz w:val="18"/>
                <w:szCs w:val="18"/>
              </w:rPr>
            </w:pPr>
            <w:r w:rsidRPr="00EA5873">
              <w:rPr>
                <w:rFonts w:ascii="Lato" w:hAnsi="Lato"/>
                <w:b/>
                <w:color w:val="365F91"/>
                <w:sz w:val="18"/>
                <w:szCs w:val="18"/>
              </w:rPr>
              <w:t>Rok</w:t>
            </w:r>
          </w:p>
        </w:tc>
        <w:tc>
          <w:tcPr>
            <w:tcW w:w="1984" w:type="pct"/>
            <w:gridSpan w:val="2"/>
            <w:shd w:val="clear" w:color="auto" w:fill="DBE5F1"/>
            <w:noWrap/>
            <w:vAlign w:val="center"/>
            <w:hideMark/>
          </w:tcPr>
          <w:p w:rsidR="006076FA" w:rsidRPr="00EA5873" w:rsidRDefault="006076FA" w:rsidP="00E27451">
            <w:pPr>
              <w:spacing w:line="240" w:lineRule="auto"/>
              <w:ind w:firstLine="0"/>
              <w:jc w:val="center"/>
              <w:rPr>
                <w:rFonts w:ascii="Lato" w:hAnsi="Lato"/>
                <w:b/>
                <w:color w:val="365F91"/>
                <w:sz w:val="18"/>
                <w:szCs w:val="18"/>
              </w:rPr>
            </w:pPr>
            <w:r w:rsidRPr="00EA5873">
              <w:rPr>
                <w:rFonts w:ascii="Lato" w:hAnsi="Lato"/>
                <w:b/>
                <w:color w:val="365F91"/>
                <w:sz w:val="18"/>
                <w:szCs w:val="18"/>
              </w:rPr>
              <w:t>Mieszkania istniejące</w:t>
            </w:r>
          </w:p>
        </w:tc>
        <w:tc>
          <w:tcPr>
            <w:tcW w:w="2131" w:type="pct"/>
            <w:gridSpan w:val="2"/>
            <w:shd w:val="clear" w:color="auto" w:fill="DBE5F1"/>
            <w:vAlign w:val="center"/>
            <w:hideMark/>
          </w:tcPr>
          <w:p w:rsidR="006076FA" w:rsidRPr="00EA5873" w:rsidRDefault="006076FA" w:rsidP="00E27451">
            <w:pPr>
              <w:spacing w:line="240" w:lineRule="auto"/>
              <w:ind w:firstLine="0"/>
              <w:jc w:val="center"/>
              <w:rPr>
                <w:rFonts w:ascii="Lato" w:hAnsi="Lato"/>
                <w:b/>
                <w:color w:val="365F91"/>
                <w:sz w:val="18"/>
                <w:szCs w:val="18"/>
              </w:rPr>
            </w:pPr>
            <w:r w:rsidRPr="00EA5873">
              <w:rPr>
                <w:rFonts w:ascii="Lato" w:hAnsi="Lato"/>
                <w:b/>
                <w:color w:val="365F91"/>
                <w:sz w:val="18"/>
                <w:szCs w:val="18"/>
              </w:rPr>
              <w:t>Mieszkania oddane do użytku w danym roku</w:t>
            </w:r>
          </w:p>
        </w:tc>
      </w:tr>
      <w:tr w:rsidR="006076FA" w:rsidRPr="00EA5873" w:rsidTr="00B54CD4">
        <w:trPr>
          <w:trHeight w:val="510"/>
          <w:jc w:val="center"/>
        </w:trPr>
        <w:tc>
          <w:tcPr>
            <w:tcW w:w="885" w:type="pct"/>
            <w:vMerge/>
            <w:shd w:val="clear" w:color="auto" w:fill="DBE5F1"/>
            <w:vAlign w:val="center"/>
            <w:hideMark/>
          </w:tcPr>
          <w:p w:rsidR="006076FA" w:rsidRPr="00EA5873" w:rsidRDefault="006076FA" w:rsidP="00E27451">
            <w:pPr>
              <w:spacing w:line="240" w:lineRule="auto"/>
              <w:ind w:firstLine="0"/>
              <w:rPr>
                <w:rFonts w:ascii="Lato" w:hAnsi="Lato"/>
                <w:b/>
                <w:color w:val="365F91"/>
                <w:sz w:val="18"/>
                <w:szCs w:val="18"/>
              </w:rPr>
            </w:pPr>
          </w:p>
        </w:tc>
        <w:tc>
          <w:tcPr>
            <w:tcW w:w="850" w:type="pct"/>
            <w:shd w:val="clear" w:color="auto" w:fill="DBE5F1"/>
            <w:vAlign w:val="center"/>
            <w:hideMark/>
          </w:tcPr>
          <w:p w:rsidR="006076FA" w:rsidRPr="00EA5873" w:rsidRDefault="006076FA" w:rsidP="00E27451">
            <w:pPr>
              <w:spacing w:line="240" w:lineRule="auto"/>
              <w:ind w:firstLine="0"/>
              <w:jc w:val="center"/>
              <w:rPr>
                <w:rFonts w:ascii="Lato" w:hAnsi="Lato"/>
                <w:b/>
                <w:color w:val="365F91"/>
                <w:sz w:val="18"/>
                <w:szCs w:val="18"/>
              </w:rPr>
            </w:pPr>
            <w:r w:rsidRPr="00EA5873">
              <w:rPr>
                <w:rFonts w:ascii="Lato" w:hAnsi="Lato"/>
                <w:b/>
                <w:color w:val="365F91"/>
                <w:sz w:val="18"/>
                <w:szCs w:val="18"/>
              </w:rPr>
              <w:t>Liczba</w:t>
            </w:r>
          </w:p>
        </w:tc>
        <w:tc>
          <w:tcPr>
            <w:tcW w:w="1134" w:type="pct"/>
            <w:shd w:val="clear" w:color="auto" w:fill="DBE5F1"/>
            <w:vAlign w:val="center"/>
            <w:hideMark/>
          </w:tcPr>
          <w:p w:rsidR="006076FA" w:rsidRPr="00EA5873" w:rsidRDefault="006076FA" w:rsidP="00E27451">
            <w:pPr>
              <w:spacing w:line="240" w:lineRule="auto"/>
              <w:ind w:firstLine="0"/>
              <w:jc w:val="center"/>
              <w:rPr>
                <w:rFonts w:ascii="Lato" w:hAnsi="Lato"/>
                <w:b/>
                <w:color w:val="365F91"/>
                <w:sz w:val="18"/>
                <w:szCs w:val="18"/>
              </w:rPr>
            </w:pPr>
            <w:r w:rsidRPr="00EA5873">
              <w:rPr>
                <w:rFonts w:ascii="Lato" w:hAnsi="Lato"/>
                <w:b/>
                <w:color w:val="365F91"/>
                <w:sz w:val="18"/>
                <w:szCs w:val="18"/>
              </w:rPr>
              <w:t>Powierzchnia użytkowa</w:t>
            </w:r>
          </w:p>
        </w:tc>
        <w:tc>
          <w:tcPr>
            <w:tcW w:w="921" w:type="pct"/>
            <w:shd w:val="clear" w:color="auto" w:fill="DBE5F1"/>
            <w:vAlign w:val="center"/>
            <w:hideMark/>
          </w:tcPr>
          <w:p w:rsidR="006076FA" w:rsidRPr="00EA5873" w:rsidRDefault="006076FA" w:rsidP="00E27451">
            <w:pPr>
              <w:spacing w:line="240" w:lineRule="auto"/>
              <w:ind w:firstLine="0"/>
              <w:jc w:val="center"/>
              <w:rPr>
                <w:rFonts w:ascii="Lato" w:hAnsi="Lato"/>
                <w:b/>
                <w:color w:val="365F91"/>
                <w:sz w:val="18"/>
                <w:szCs w:val="18"/>
              </w:rPr>
            </w:pPr>
            <w:r w:rsidRPr="00EA5873">
              <w:rPr>
                <w:rFonts w:ascii="Lato" w:hAnsi="Lato"/>
                <w:b/>
                <w:color w:val="365F91"/>
                <w:sz w:val="18"/>
                <w:szCs w:val="18"/>
              </w:rPr>
              <w:t xml:space="preserve">Liczba </w:t>
            </w:r>
          </w:p>
        </w:tc>
        <w:tc>
          <w:tcPr>
            <w:tcW w:w="1210" w:type="pct"/>
            <w:shd w:val="clear" w:color="auto" w:fill="DBE5F1"/>
            <w:vAlign w:val="center"/>
            <w:hideMark/>
          </w:tcPr>
          <w:p w:rsidR="006076FA" w:rsidRPr="00EA5873" w:rsidRDefault="006076FA" w:rsidP="00E27451">
            <w:pPr>
              <w:spacing w:line="240" w:lineRule="auto"/>
              <w:ind w:firstLine="0"/>
              <w:jc w:val="center"/>
              <w:rPr>
                <w:rFonts w:ascii="Lato" w:hAnsi="Lato"/>
                <w:b/>
                <w:color w:val="365F91"/>
                <w:sz w:val="18"/>
                <w:szCs w:val="18"/>
              </w:rPr>
            </w:pPr>
            <w:r w:rsidRPr="00EA5873">
              <w:rPr>
                <w:rFonts w:ascii="Lato" w:hAnsi="Lato"/>
                <w:b/>
                <w:color w:val="365F91"/>
                <w:sz w:val="18"/>
                <w:szCs w:val="18"/>
              </w:rPr>
              <w:t>Powierzchnia użytkowa</w:t>
            </w:r>
          </w:p>
        </w:tc>
      </w:tr>
      <w:tr w:rsidR="006076FA" w:rsidRPr="00EA5873" w:rsidTr="00B54CD4">
        <w:trPr>
          <w:trHeight w:val="255"/>
          <w:jc w:val="center"/>
        </w:trPr>
        <w:tc>
          <w:tcPr>
            <w:tcW w:w="885" w:type="pct"/>
            <w:vMerge/>
            <w:shd w:val="clear" w:color="auto" w:fill="DBE5F1"/>
            <w:vAlign w:val="center"/>
            <w:hideMark/>
          </w:tcPr>
          <w:p w:rsidR="006076FA" w:rsidRPr="00EA5873" w:rsidRDefault="006076FA" w:rsidP="00E27451">
            <w:pPr>
              <w:spacing w:line="240" w:lineRule="auto"/>
              <w:ind w:firstLine="0"/>
              <w:rPr>
                <w:rFonts w:ascii="Lato" w:hAnsi="Lato"/>
                <w:b/>
                <w:color w:val="365F91"/>
                <w:sz w:val="18"/>
                <w:szCs w:val="18"/>
              </w:rPr>
            </w:pPr>
          </w:p>
        </w:tc>
        <w:tc>
          <w:tcPr>
            <w:tcW w:w="850" w:type="pct"/>
            <w:shd w:val="clear" w:color="auto" w:fill="DBE5F1"/>
            <w:vAlign w:val="center"/>
            <w:hideMark/>
          </w:tcPr>
          <w:p w:rsidR="006076FA" w:rsidRPr="00EA5873" w:rsidRDefault="006076FA" w:rsidP="00E27451">
            <w:pPr>
              <w:spacing w:line="240" w:lineRule="auto"/>
              <w:ind w:firstLine="0"/>
              <w:jc w:val="center"/>
              <w:rPr>
                <w:rFonts w:ascii="Lato" w:hAnsi="Lato"/>
                <w:color w:val="365F91"/>
                <w:sz w:val="18"/>
                <w:szCs w:val="18"/>
              </w:rPr>
            </w:pPr>
            <w:r w:rsidRPr="00EA5873">
              <w:rPr>
                <w:rFonts w:ascii="Lato" w:hAnsi="Lato"/>
                <w:color w:val="365F91"/>
                <w:sz w:val="18"/>
                <w:szCs w:val="18"/>
              </w:rPr>
              <w:t>sztuk</w:t>
            </w:r>
          </w:p>
        </w:tc>
        <w:tc>
          <w:tcPr>
            <w:tcW w:w="1134" w:type="pct"/>
            <w:shd w:val="clear" w:color="auto" w:fill="DBE5F1"/>
            <w:vAlign w:val="center"/>
            <w:hideMark/>
          </w:tcPr>
          <w:p w:rsidR="006076FA" w:rsidRPr="00EA5873" w:rsidRDefault="006076FA" w:rsidP="00E27451">
            <w:pPr>
              <w:spacing w:line="240" w:lineRule="auto"/>
              <w:ind w:firstLine="0"/>
              <w:jc w:val="center"/>
              <w:rPr>
                <w:rFonts w:ascii="Lato" w:hAnsi="Lato"/>
                <w:color w:val="365F91"/>
                <w:sz w:val="18"/>
                <w:szCs w:val="18"/>
              </w:rPr>
            </w:pPr>
            <w:r w:rsidRPr="00EA5873">
              <w:rPr>
                <w:rFonts w:ascii="Lato" w:hAnsi="Lato"/>
                <w:color w:val="365F91"/>
                <w:sz w:val="18"/>
                <w:szCs w:val="18"/>
              </w:rPr>
              <w:t>m</w:t>
            </w:r>
            <w:r w:rsidRPr="00EA5873">
              <w:rPr>
                <w:rFonts w:ascii="Lato" w:hAnsi="Lato"/>
                <w:color w:val="365F91"/>
                <w:sz w:val="18"/>
                <w:szCs w:val="18"/>
                <w:vertAlign w:val="superscript"/>
              </w:rPr>
              <w:t>2</w:t>
            </w:r>
          </w:p>
        </w:tc>
        <w:tc>
          <w:tcPr>
            <w:tcW w:w="921" w:type="pct"/>
            <w:shd w:val="clear" w:color="auto" w:fill="DBE5F1"/>
            <w:vAlign w:val="center"/>
            <w:hideMark/>
          </w:tcPr>
          <w:p w:rsidR="006076FA" w:rsidRPr="00EA5873" w:rsidRDefault="006076FA" w:rsidP="00E27451">
            <w:pPr>
              <w:spacing w:line="240" w:lineRule="auto"/>
              <w:ind w:firstLine="0"/>
              <w:jc w:val="center"/>
              <w:rPr>
                <w:rFonts w:ascii="Lato" w:hAnsi="Lato"/>
                <w:color w:val="365F91"/>
                <w:sz w:val="18"/>
                <w:szCs w:val="18"/>
              </w:rPr>
            </w:pPr>
            <w:r w:rsidRPr="00EA5873">
              <w:rPr>
                <w:rFonts w:ascii="Lato" w:hAnsi="Lato"/>
                <w:color w:val="365F91"/>
                <w:sz w:val="18"/>
                <w:szCs w:val="18"/>
              </w:rPr>
              <w:t>sztuk</w:t>
            </w:r>
          </w:p>
        </w:tc>
        <w:tc>
          <w:tcPr>
            <w:tcW w:w="1210" w:type="pct"/>
            <w:shd w:val="clear" w:color="auto" w:fill="DBE5F1"/>
            <w:vAlign w:val="center"/>
            <w:hideMark/>
          </w:tcPr>
          <w:p w:rsidR="006076FA" w:rsidRPr="00EA5873" w:rsidRDefault="006076FA" w:rsidP="00E27451">
            <w:pPr>
              <w:spacing w:line="240" w:lineRule="auto"/>
              <w:ind w:firstLine="0"/>
              <w:jc w:val="center"/>
              <w:rPr>
                <w:rFonts w:ascii="Lato" w:hAnsi="Lato"/>
                <w:color w:val="365F91"/>
                <w:sz w:val="18"/>
                <w:szCs w:val="18"/>
              </w:rPr>
            </w:pPr>
            <w:r w:rsidRPr="00EA5873">
              <w:rPr>
                <w:rFonts w:ascii="Lato" w:hAnsi="Lato"/>
                <w:color w:val="365F91"/>
                <w:sz w:val="18"/>
                <w:szCs w:val="18"/>
              </w:rPr>
              <w:t>m</w:t>
            </w:r>
            <w:r w:rsidRPr="00EA5873">
              <w:rPr>
                <w:rFonts w:ascii="Lato" w:hAnsi="Lato"/>
                <w:color w:val="365F91"/>
                <w:sz w:val="18"/>
                <w:szCs w:val="18"/>
                <w:vertAlign w:val="superscript"/>
              </w:rPr>
              <w:t>2</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2000</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1 476</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114 189</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10</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1 022</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2001</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1 498</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116 710</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22</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2 521</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2002</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1 553</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124 036</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55</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7 326</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2003</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1 623</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134 757</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70</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10 721</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2004</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1 663</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140 163</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40</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5 406</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2005</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1 706</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146 840</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43</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6 677</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2006</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1 743</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151 902</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37</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5 062</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2007</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1 788</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158 321</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45</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6 419</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2008</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1 838</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164 552</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50</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6 231</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2009</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1 907</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174 301</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69</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9 749</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2010</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1 949</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180 246</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42</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5 945</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2011</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1 996</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187 056</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47</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6 810</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2012</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2 046</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194 426</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50</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7 370</w:t>
            </w:r>
          </w:p>
        </w:tc>
      </w:tr>
      <w:tr w:rsidR="00EB2C0C" w:rsidRPr="00EA5873" w:rsidTr="00B54CD4">
        <w:trPr>
          <w:trHeight w:val="315"/>
          <w:jc w:val="center"/>
        </w:trPr>
        <w:tc>
          <w:tcPr>
            <w:tcW w:w="885" w:type="pct"/>
            <w:shd w:val="clear" w:color="auto" w:fill="auto"/>
            <w:vAlign w:val="center"/>
            <w:hideMark/>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2013</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2 104</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202 886</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58</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8 460</w:t>
            </w:r>
          </w:p>
        </w:tc>
      </w:tr>
      <w:tr w:rsidR="00EB2C0C" w:rsidRPr="00EA5873" w:rsidTr="00B54CD4">
        <w:trPr>
          <w:trHeight w:val="315"/>
          <w:jc w:val="center"/>
        </w:trPr>
        <w:tc>
          <w:tcPr>
            <w:tcW w:w="885" w:type="pct"/>
            <w:shd w:val="clear" w:color="auto" w:fill="auto"/>
            <w:vAlign w:val="center"/>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2014</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2 165</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212 015</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61</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9 129</w:t>
            </w:r>
          </w:p>
        </w:tc>
      </w:tr>
      <w:tr w:rsidR="00EB2C0C" w:rsidRPr="00EA5873" w:rsidTr="00B54CD4">
        <w:trPr>
          <w:trHeight w:val="315"/>
          <w:jc w:val="center"/>
        </w:trPr>
        <w:tc>
          <w:tcPr>
            <w:tcW w:w="885" w:type="pct"/>
            <w:shd w:val="clear" w:color="auto" w:fill="auto"/>
            <w:vAlign w:val="center"/>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2015</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2 255</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224 766</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90</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12 751</w:t>
            </w:r>
          </w:p>
        </w:tc>
      </w:tr>
      <w:tr w:rsidR="00EB2C0C" w:rsidRPr="00EA5873" w:rsidTr="00B54CD4">
        <w:trPr>
          <w:trHeight w:val="315"/>
          <w:jc w:val="center"/>
        </w:trPr>
        <w:tc>
          <w:tcPr>
            <w:tcW w:w="885" w:type="pct"/>
            <w:shd w:val="clear" w:color="auto" w:fill="auto"/>
            <w:vAlign w:val="center"/>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2016</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2 320</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233 437</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65</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8 671</w:t>
            </w:r>
          </w:p>
        </w:tc>
      </w:tr>
      <w:tr w:rsidR="00EB2C0C" w:rsidRPr="00EA5873" w:rsidTr="00B54CD4">
        <w:trPr>
          <w:trHeight w:val="315"/>
          <w:jc w:val="center"/>
        </w:trPr>
        <w:tc>
          <w:tcPr>
            <w:tcW w:w="885" w:type="pct"/>
            <w:shd w:val="clear" w:color="auto" w:fill="auto"/>
            <w:vAlign w:val="center"/>
          </w:tcPr>
          <w:p w:rsidR="00EB2C0C" w:rsidRPr="00EA5873" w:rsidRDefault="00EB2C0C" w:rsidP="00E27451">
            <w:pPr>
              <w:spacing w:line="240" w:lineRule="auto"/>
              <w:ind w:firstLine="0"/>
              <w:jc w:val="center"/>
              <w:rPr>
                <w:rFonts w:ascii="Lato" w:hAnsi="Lato"/>
                <w:color w:val="365F91"/>
                <w:sz w:val="18"/>
                <w:szCs w:val="18"/>
              </w:rPr>
            </w:pPr>
            <w:r w:rsidRPr="00EA5873">
              <w:rPr>
                <w:rFonts w:ascii="Lato" w:hAnsi="Lato"/>
                <w:color w:val="365F91"/>
                <w:sz w:val="18"/>
                <w:szCs w:val="18"/>
              </w:rPr>
              <w:t>2017</w:t>
            </w:r>
          </w:p>
        </w:tc>
        <w:tc>
          <w:tcPr>
            <w:tcW w:w="85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2 394</w:t>
            </w:r>
          </w:p>
        </w:tc>
        <w:tc>
          <w:tcPr>
            <w:tcW w:w="1134"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244 683</w:t>
            </w:r>
          </w:p>
        </w:tc>
        <w:tc>
          <w:tcPr>
            <w:tcW w:w="921"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74</w:t>
            </w:r>
          </w:p>
        </w:tc>
        <w:tc>
          <w:tcPr>
            <w:tcW w:w="1210" w:type="pct"/>
            <w:shd w:val="clear" w:color="auto" w:fill="auto"/>
            <w:vAlign w:val="center"/>
          </w:tcPr>
          <w:p w:rsidR="00EB2C0C" w:rsidRPr="00EB2C0C" w:rsidRDefault="00EB2C0C" w:rsidP="00EB2C0C">
            <w:pPr>
              <w:spacing w:line="240" w:lineRule="auto"/>
              <w:ind w:firstLine="0"/>
              <w:jc w:val="center"/>
              <w:rPr>
                <w:rFonts w:ascii="Lato" w:hAnsi="Lato"/>
                <w:color w:val="365F91"/>
                <w:sz w:val="18"/>
                <w:szCs w:val="18"/>
              </w:rPr>
            </w:pPr>
            <w:r w:rsidRPr="00EB2C0C">
              <w:rPr>
                <w:rFonts w:ascii="Lato" w:hAnsi="Lato"/>
                <w:color w:val="365F91"/>
                <w:sz w:val="18"/>
                <w:szCs w:val="18"/>
              </w:rPr>
              <w:t>11 246</w:t>
            </w:r>
          </w:p>
        </w:tc>
      </w:tr>
    </w:tbl>
    <w:p w:rsidR="00E51AB9" w:rsidRPr="008F1406" w:rsidRDefault="00E51AB9" w:rsidP="00A33898">
      <w:pPr>
        <w:spacing w:before="240"/>
        <w:jc w:val="center"/>
        <w:rPr>
          <w:rFonts w:ascii="Lato" w:hAnsi="Lato"/>
          <w:i/>
          <w:sz w:val="20"/>
          <w:lang w:eastAsia="x-none"/>
        </w:rPr>
      </w:pPr>
      <w:r w:rsidRPr="008F1406">
        <w:rPr>
          <w:rFonts w:ascii="Lato" w:hAnsi="Lato"/>
          <w:i/>
          <w:sz w:val="20"/>
          <w:lang w:eastAsia="x-none"/>
        </w:rPr>
        <w:t>Źródło:</w:t>
      </w:r>
      <w:r w:rsidR="00201BF7" w:rsidRPr="008F1406">
        <w:rPr>
          <w:rFonts w:ascii="Lato" w:hAnsi="Lato"/>
          <w:i/>
          <w:sz w:val="20"/>
          <w:lang w:eastAsia="x-none"/>
        </w:rPr>
        <w:t xml:space="preserve"> GUS</w:t>
      </w:r>
    </w:p>
    <w:p w:rsidR="00B944E6" w:rsidRPr="00D352C4" w:rsidRDefault="00B944E6" w:rsidP="0050013E">
      <w:pPr>
        <w:pStyle w:val="Tekstpodstawowy"/>
        <w:rPr>
          <w:rFonts w:ascii="Lato" w:hAnsi="Lato" w:cs="Times New Roman"/>
          <w:highlight w:val="yellow"/>
        </w:rPr>
      </w:pPr>
    </w:p>
    <w:p w:rsidR="0050013E" w:rsidRPr="00D352C4" w:rsidRDefault="006076FA" w:rsidP="00C729D3">
      <w:pPr>
        <w:pStyle w:val="Tekstpodstawowy"/>
        <w:ind w:firstLine="709"/>
        <w:rPr>
          <w:rFonts w:ascii="Lato" w:hAnsi="Lato" w:cs="Times New Roman"/>
          <w:highlight w:val="yellow"/>
        </w:rPr>
      </w:pPr>
      <w:r w:rsidRPr="00A778EE">
        <w:rPr>
          <w:rFonts w:ascii="Lato" w:hAnsi="Lato" w:cs="Times New Roman"/>
        </w:rPr>
        <w:t xml:space="preserve">Na terenie gminy, pod względem liczby mieszkań i ich powierzchni użytkowej, zdecydowanie </w:t>
      </w:r>
      <w:r w:rsidR="008236AD">
        <w:rPr>
          <w:rFonts w:ascii="Lato" w:hAnsi="Lato" w:cs="Times New Roman"/>
        </w:rPr>
        <w:t>przeważa zabudowa jednorodzinna.</w:t>
      </w:r>
    </w:p>
    <w:p w:rsidR="00B944E6" w:rsidRPr="00D352C4" w:rsidRDefault="00B944E6" w:rsidP="00C729D3">
      <w:pPr>
        <w:pStyle w:val="Tekstpodstawowy"/>
        <w:rPr>
          <w:rFonts w:ascii="Lato" w:hAnsi="Lato" w:cs="Times New Roman"/>
          <w:highlight w:val="yellow"/>
        </w:rPr>
      </w:pPr>
    </w:p>
    <w:p w:rsidR="0050013E" w:rsidRPr="00303D33" w:rsidRDefault="0050013E" w:rsidP="00C54B26">
      <w:pPr>
        <w:pStyle w:val="Legenda"/>
        <w:rPr>
          <w:rFonts w:ascii="Lato" w:hAnsi="Lato"/>
          <w:sz w:val="20"/>
          <w:szCs w:val="20"/>
        </w:rPr>
      </w:pPr>
      <w:bookmarkStart w:id="79" w:name="_Toc217206092"/>
      <w:bookmarkStart w:id="80" w:name="_Toc20219165"/>
      <w:r w:rsidRPr="00303D33">
        <w:rPr>
          <w:rFonts w:ascii="Lato" w:hAnsi="Lato"/>
          <w:color w:val="365F91"/>
          <w:sz w:val="20"/>
          <w:szCs w:val="20"/>
        </w:rPr>
        <w:t xml:space="preserve">Tabela </w:t>
      </w:r>
      <w:r w:rsidR="004042AE" w:rsidRPr="00303D33">
        <w:rPr>
          <w:rFonts w:ascii="Lato" w:hAnsi="Lato"/>
          <w:color w:val="365F91"/>
          <w:sz w:val="20"/>
          <w:szCs w:val="20"/>
        </w:rPr>
        <w:fldChar w:fldCharType="begin"/>
      </w:r>
      <w:r w:rsidR="005430ED" w:rsidRPr="00303D33">
        <w:rPr>
          <w:rFonts w:ascii="Lato" w:hAnsi="Lato"/>
          <w:color w:val="365F91"/>
          <w:sz w:val="20"/>
          <w:szCs w:val="20"/>
        </w:rPr>
        <w:instrText xml:space="preserve"> STYLEREF 1 \s </w:instrText>
      </w:r>
      <w:r w:rsidR="004042AE" w:rsidRPr="00303D33">
        <w:rPr>
          <w:rFonts w:ascii="Lato" w:hAnsi="Lato"/>
          <w:color w:val="365F91"/>
          <w:sz w:val="20"/>
          <w:szCs w:val="20"/>
        </w:rPr>
        <w:fldChar w:fldCharType="separate"/>
      </w:r>
      <w:r w:rsidR="0040205B">
        <w:rPr>
          <w:rFonts w:ascii="Lato" w:hAnsi="Lato"/>
          <w:noProof/>
          <w:color w:val="365F91"/>
          <w:sz w:val="20"/>
          <w:szCs w:val="20"/>
        </w:rPr>
        <w:t>1</w:t>
      </w:r>
      <w:r w:rsidR="004042AE" w:rsidRPr="00303D33">
        <w:rPr>
          <w:rFonts w:ascii="Lato" w:hAnsi="Lato"/>
          <w:color w:val="365F91"/>
          <w:sz w:val="20"/>
          <w:szCs w:val="20"/>
        </w:rPr>
        <w:fldChar w:fldCharType="end"/>
      </w:r>
      <w:r w:rsidR="005430ED" w:rsidRPr="00303D33">
        <w:rPr>
          <w:rFonts w:ascii="Lato" w:hAnsi="Lato"/>
          <w:color w:val="365F91"/>
          <w:sz w:val="20"/>
          <w:szCs w:val="20"/>
        </w:rPr>
        <w:noBreakHyphen/>
      </w:r>
      <w:r w:rsidR="004042AE" w:rsidRPr="00303D33">
        <w:rPr>
          <w:rFonts w:ascii="Lato" w:hAnsi="Lato"/>
          <w:color w:val="365F91"/>
          <w:sz w:val="20"/>
          <w:szCs w:val="20"/>
        </w:rPr>
        <w:fldChar w:fldCharType="begin"/>
      </w:r>
      <w:r w:rsidR="005430ED" w:rsidRPr="00303D33">
        <w:rPr>
          <w:rFonts w:ascii="Lato" w:hAnsi="Lato"/>
          <w:color w:val="365F91"/>
          <w:sz w:val="20"/>
          <w:szCs w:val="20"/>
        </w:rPr>
        <w:instrText xml:space="preserve"> SEQ Tabela \* ARABIC \s 1 </w:instrText>
      </w:r>
      <w:r w:rsidR="004042AE" w:rsidRPr="00303D33">
        <w:rPr>
          <w:rFonts w:ascii="Lato" w:hAnsi="Lato"/>
          <w:color w:val="365F91"/>
          <w:sz w:val="20"/>
          <w:szCs w:val="20"/>
        </w:rPr>
        <w:fldChar w:fldCharType="separate"/>
      </w:r>
      <w:r w:rsidR="0040205B">
        <w:rPr>
          <w:rFonts w:ascii="Lato" w:hAnsi="Lato"/>
          <w:noProof/>
          <w:color w:val="365F91"/>
          <w:sz w:val="20"/>
          <w:szCs w:val="20"/>
        </w:rPr>
        <w:t>6</w:t>
      </w:r>
      <w:r w:rsidR="004042AE" w:rsidRPr="00303D33">
        <w:rPr>
          <w:rFonts w:ascii="Lato" w:hAnsi="Lato"/>
          <w:color w:val="365F91"/>
          <w:sz w:val="20"/>
          <w:szCs w:val="20"/>
        </w:rPr>
        <w:fldChar w:fldCharType="end"/>
      </w:r>
      <w:r w:rsidRPr="00303D33">
        <w:rPr>
          <w:rFonts w:ascii="Lato" w:hAnsi="Lato"/>
          <w:color w:val="365F91"/>
          <w:sz w:val="20"/>
          <w:szCs w:val="20"/>
        </w:rPr>
        <w:t xml:space="preserve"> Wskaźniki zmian w gospodarce mieszkaniowej</w:t>
      </w:r>
      <w:bookmarkEnd w:id="79"/>
      <w:bookmarkEnd w:id="80"/>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4259"/>
        <w:gridCol w:w="1368"/>
        <w:gridCol w:w="1215"/>
        <w:gridCol w:w="1544"/>
        <w:gridCol w:w="1167"/>
      </w:tblGrid>
      <w:tr w:rsidR="00CA6FAE" w:rsidRPr="00303D33" w:rsidTr="00303D33">
        <w:trPr>
          <w:cantSplit/>
          <w:trHeight w:val="540"/>
          <w:tblHeader/>
        </w:trPr>
        <w:tc>
          <w:tcPr>
            <w:tcW w:w="2945" w:type="pct"/>
            <w:gridSpan w:val="2"/>
            <w:shd w:val="clear" w:color="000000" w:fill="DBE5F1"/>
            <w:noWrap/>
            <w:vAlign w:val="center"/>
            <w:hideMark/>
          </w:tcPr>
          <w:p w:rsidR="00CA6FAE" w:rsidRPr="00303D33" w:rsidRDefault="00CA6FAE" w:rsidP="00E27451">
            <w:pPr>
              <w:spacing w:line="240" w:lineRule="auto"/>
              <w:ind w:firstLine="0"/>
              <w:jc w:val="center"/>
              <w:rPr>
                <w:rFonts w:ascii="Lato" w:hAnsi="Lato"/>
                <w:b/>
                <w:bCs/>
                <w:color w:val="1F497D"/>
                <w:sz w:val="20"/>
                <w:szCs w:val="20"/>
              </w:rPr>
            </w:pPr>
            <w:r w:rsidRPr="00303D33">
              <w:rPr>
                <w:rFonts w:ascii="Lato" w:hAnsi="Lato"/>
                <w:b/>
                <w:bCs/>
                <w:color w:val="1F497D"/>
                <w:sz w:val="20"/>
                <w:szCs w:val="20"/>
              </w:rPr>
              <w:t>Wskaźnik</w:t>
            </w:r>
          </w:p>
        </w:tc>
        <w:tc>
          <w:tcPr>
            <w:tcW w:w="636" w:type="pct"/>
            <w:shd w:val="clear" w:color="000000" w:fill="DBE5F1"/>
            <w:noWrap/>
            <w:vAlign w:val="center"/>
            <w:hideMark/>
          </w:tcPr>
          <w:p w:rsidR="00CA6FAE" w:rsidRPr="00303D33" w:rsidRDefault="00CA6FAE" w:rsidP="00E27451">
            <w:pPr>
              <w:spacing w:line="240" w:lineRule="auto"/>
              <w:ind w:firstLine="0"/>
              <w:jc w:val="center"/>
              <w:rPr>
                <w:rFonts w:ascii="Lato" w:hAnsi="Lato"/>
                <w:b/>
                <w:bCs/>
                <w:color w:val="1F497D"/>
                <w:sz w:val="20"/>
                <w:szCs w:val="20"/>
              </w:rPr>
            </w:pPr>
            <w:r w:rsidRPr="00303D33">
              <w:rPr>
                <w:rFonts w:ascii="Lato" w:hAnsi="Lato"/>
                <w:b/>
                <w:bCs/>
                <w:color w:val="1F497D"/>
                <w:sz w:val="20"/>
                <w:szCs w:val="20"/>
              </w:rPr>
              <w:t>Wielkość</w:t>
            </w:r>
          </w:p>
        </w:tc>
        <w:tc>
          <w:tcPr>
            <w:tcW w:w="808" w:type="pct"/>
            <w:shd w:val="clear" w:color="000000" w:fill="DBE5F1"/>
            <w:noWrap/>
            <w:vAlign w:val="center"/>
            <w:hideMark/>
          </w:tcPr>
          <w:p w:rsidR="00CA6FAE" w:rsidRPr="00303D33" w:rsidRDefault="00914877" w:rsidP="00E27451">
            <w:pPr>
              <w:spacing w:line="240" w:lineRule="auto"/>
              <w:ind w:firstLine="0"/>
              <w:jc w:val="center"/>
              <w:rPr>
                <w:rFonts w:ascii="Lato" w:hAnsi="Lato"/>
                <w:b/>
                <w:bCs/>
                <w:color w:val="1F497D"/>
                <w:sz w:val="20"/>
                <w:szCs w:val="20"/>
              </w:rPr>
            </w:pPr>
            <w:r w:rsidRPr="00303D33">
              <w:rPr>
                <w:rFonts w:ascii="Lato" w:hAnsi="Lato"/>
                <w:b/>
                <w:bCs/>
                <w:color w:val="1F497D"/>
                <w:sz w:val="18"/>
                <w:szCs w:val="18"/>
              </w:rPr>
              <w:t>Jednostka</w:t>
            </w:r>
          </w:p>
        </w:tc>
        <w:tc>
          <w:tcPr>
            <w:tcW w:w="611" w:type="pct"/>
            <w:shd w:val="clear" w:color="000000" w:fill="DBE5F1"/>
            <w:vAlign w:val="center"/>
            <w:hideMark/>
          </w:tcPr>
          <w:p w:rsidR="00CA6FAE" w:rsidRPr="00303D33" w:rsidRDefault="00CA6FAE" w:rsidP="00E27451">
            <w:pPr>
              <w:spacing w:line="240" w:lineRule="auto"/>
              <w:ind w:firstLine="0"/>
              <w:jc w:val="center"/>
              <w:rPr>
                <w:rFonts w:ascii="Lato" w:hAnsi="Lato"/>
                <w:b/>
                <w:bCs/>
                <w:color w:val="1F497D"/>
                <w:sz w:val="20"/>
                <w:szCs w:val="20"/>
              </w:rPr>
            </w:pPr>
            <w:r w:rsidRPr="00303D33">
              <w:rPr>
                <w:rFonts w:ascii="Lato" w:hAnsi="Lato"/>
                <w:b/>
                <w:bCs/>
                <w:color w:val="1F497D"/>
                <w:sz w:val="20"/>
                <w:szCs w:val="20"/>
              </w:rPr>
              <w:t>Trend z lat 1995-2014</w:t>
            </w:r>
          </w:p>
        </w:tc>
      </w:tr>
      <w:tr w:rsidR="00303D33" w:rsidRPr="00303D33" w:rsidTr="00303D33">
        <w:trPr>
          <w:cantSplit/>
          <w:trHeight w:val="285"/>
        </w:trPr>
        <w:tc>
          <w:tcPr>
            <w:tcW w:w="2229" w:type="pct"/>
            <w:vMerge w:val="restart"/>
            <w:shd w:val="clear" w:color="auto" w:fill="auto"/>
            <w:vAlign w:val="center"/>
            <w:hideMark/>
          </w:tcPr>
          <w:p w:rsidR="00303D33" w:rsidRPr="00303D33" w:rsidRDefault="00303D33" w:rsidP="00E27451">
            <w:pPr>
              <w:spacing w:line="240" w:lineRule="auto"/>
              <w:ind w:firstLine="0"/>
              <w:rPr>
                <w:rFonts w:ascii="Lato" w:hAnsi="Lato"/>
                <w:color w:val="1F497D"/>
                <w:sz w:val="20"/>
                <w:szCs w:val="20"/>
              </w:rPr>
            </w:pPr>
            <w:r w:rsidRPr="00303D33">
              <w:rPr>
                <w:rFonts w:ascii="Lato" w:hAnsi="Lato"/>
                <w:color w:val="1F497D"/>
                <w:sz w:val="20"/>
                <w:szCs w:val="20"/>
              </w:rPr>
              <w:t>Gęstość zabudowy mieszkaniowej</w:t>
            </w: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b/>
                <w:bCs/>
                <w:color w:val="1F497D"/>
                <w:sz w:val="20"/>
                <w:szCs w:val="20"/>
              </w:rPr>
            </w:pPr>
            <w:r w:rsidRPr="00303D33">
              <w:rPr>
                <w:rFonts w:ascii="Lato" w:hAnsi="Lato"/>
                <w:b/>
                <w:bCs/>
                <w:color w:val="1F497D"/>
                <w:sz w:val="20"/>
                <w:szCs w:val="20"/>
              </w:rPr>
              <w:t>gmina</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b/>
                <w:color w:val="1F497D"/>
                <w:sz w:val="20"/>
                <w:szCs w:val="20"/>
              </w:rPr>
            </w:pPr>
            <w:r w:rsidRPr="00303D33">
              <w:rPr>
                <w:rFonts w:ascii="Lato" w:hAnsi="Lato"/>
                <w:b/>
                <w:color w:val="1F497D"/>
                <w:sz w:val="20"/>
                <w:szCs w:val="20"/>
              </w:rPr>
              <w:t>27,9</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pow.uż/ha</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powiat</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71,3</w:t>
            </w:r>
          </w:p>
        </w:tc>
        <w:tc>
          <w:tcPr>
            <w:tcW w:w="808" w:type="pct"/>
            <w:shd w:val="clear" w:color="auto" w:fill="auto"/>
            <w:noWrap/>
            <w:vAlign w:val="center"/>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pow.uż/ha</w:t>
            </w:r>
          </w:p>
        </w:tc>
        <w:tc>
          <w:tcPr>
            <w:tcW w:w="611" w:type="pct"/>
            <w:shd w:val="clear" w:color="auto" w:fill="auto"/>
            <w:noWrap/>
            <w:vAlign w:val="center"/>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województwo</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38,6</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pow.uż/ha</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kraj</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34,2</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pow.uż/ha</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restart"/>
            <w:shd w:val="clear" w:color="auto" w:fill="auto"/>
            <w:vAlign w:val="center"/>
            <w:hideMark/>
          </w:tcPr>
          <w:p w:rsidR="00303D33" w:rsidRPr="00303D33" w:rsidRDefault="00303D33" w:rsidP="00E27451">
            <w:pPr>
              <w:spacing w:line="240" w:lineRule="auto"/>
              <w:ind w:firstLine="0"/>
              <w:rPr>
                <w:rFonts w:ascii="Lato" w:hAnsi="Lato"/>
                <w:color w:val="1F497D"/>
                <w:sz w:val="20"/>
                <w:szCs w:val="20"/>
              </w:rPr>
            </w:pPr>
            <w:r w:rsidRPr="00303D33">
              <w:rPr>
                <w:rFonts w:ascii="Lato" w:hAnsi="Lato"/>
                <w:color w:val="1F497D"/>
                <w:sz w:val="20"/>
                <w:szCs w:val="20"/>
              </w:rPr>
              <w:t>Średnia powierzchnia mieszkania na 1 mieszkańca</w:t>
            </w: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b/>
                <w:bCs/>
                <w:color w:val="1F497D"/>
                <w:sz w:val="20"/>
                <w:szCs w:val="20"/>
              </w:rPr>
            </w:pPr>
            <w:r w:rsidRPr="00303D33">
              <w:rPr>
                <w:rFonts w:ascii="Lato" w:hAnsi="Lato"/>
                <w:b/>
                <w:bCs/>
                <w:color w:val="1F497D"/>
                <w:sz w:val="20"/>
                <w:szCs w:val="20"/>
              </w:rPr>
              <w:t>gmina</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b/>
                <w:color w:val="1F497D"/>
                <w:sz w:val="20"/>
                <w:szCs w:val="20"/>
              </w:rPr>
            </w:pPr>
            <w:r w:rsidRPr="00303D33">
              <w:rPr>
                <w:rFonts w:ascii="Lato" w:hAnsi="Lato"/>
                <w:b/>
                <w:color w:val="1F497D"/>
                <w:sz w:val="20"/>
                <w:szCs w:val="20"/>
              </w:rPr>
              <w:t>33,8</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/osobę</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powiat</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29,4</w:t>
            </w:r>
          </w:p>
        </w:tc>
        <w:tc>
          <w:tcPr>
            <w:tcW w:w="808" w:type="pct"/>
            <w:shd w:val="clear" w:color="auto" w:fill="auto"/>
            <w:noWrap/>
            <w:vAlign w:val="center"/>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/osobę</w:t>
            </w:r>
          </w:p>
        </w:tc>
        <w:tc>
          <w:tcPr>
            <w:tcW w:w="611" w:type="pct"/>
            <w:shd w:val="clear" w:color="auto" w:fill="auto"/>
            <w:noWrap/>
            <w:vAlign w:val="center"/>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województwo</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28,4</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/osobę</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kraj</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27,8</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/osobę</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restart"/>
            <w:shd w:val="clear" w:color="auto" w:fill="auto"/>
            <w:vAlign w:val="center"/>
            <w:hideMark/>
          </w:tcPr>
          <w:p w:rsidR="00303D33" w:rsidRPr="00303D33" w:rsidRDefault="00303D33" w:rsidP="00E27451">
            <w:pPr>
              <w:spacing w:line="240" w:lineRule="auto"/>
              <w:ind w:firstLine="0"/>
              <w:rPr>
                <w:rFonts w:ascii="Lato" w:hAnsi="Lato"/>
                <w:color w:val="1F497D"/>
                <w:sz w:val="20"/>
                <w:szCs w:val="20"/>
              </w:rPr>
            </w:pPr>
            <w:r w:rsidRPr="00303D33">
              <w:rPr>
                <w:rFonts w:ascii="Lato" w:hAnsi="Lato"/>
                <w:color w:val="1F497D"/>
                <w:sz w:val="20"/>
                <w:szCs w:val="20"/>
              </w:rPr>
              <w:t xml:space="preserve">Średnia powierzchnia mieszkania </w:t>
            </w: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b/>
                <w:bCs/>
                <w:color w:val="1F497D"/>
                <w:sz w:val="20"/>
                <w:szCs w:val="20"/>
              </w:rPr>
            </w:pPr>
            <w:r w:rsidRPr="00303D33">
              <w:rPr>
                <w:rFonts w:ascii="Lato" w:hAnsi="Lato"/>
                <w:b/>
                <w:bCs/>
                <w:color w:val="1F497D"/>
                <w:sz w:val="20"/>
                <w:szCs w:val="20"/>
              </w:rPr>
              <w:t>gmina</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b/>
                <w:color w:val="1F497D"/>
                <w:sz w:val="20"/>
                <w:szCs w:val="20"/>
              </w:rPr>
            </w:pPr>
            <w:r w:rsidRPr="00303D33">
              <w:rPr>
                <w:rFonts w:ascii="Lato" w:hAnsi="Lato"/>
                <w:b/>
                <w:color w:val="1F497D"/>
                <w:sz w:val="20"/>
                <w:szCs w:val="20"/>
              </w:rPr>
              <w:t>102,2</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/mieszk.</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powiat</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68,5</w:t>
            </w:r>
          </w:p>
        </w:tc>
        <w:tc>
          <w:tcPr>
            <w:tcW w:w="808" w:type="pct"/>
            <w:shd w:val="clear" w:color="auto" w:fill="auto"/>
            <w:noWrap/>
            <w:vAlign w:val="center"/>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/mieszk.</w:t>
            </w:r>
          </w:p>
        </w:tc>
        <w:tc>
          <w:tcPr>
            <w:tcW w:w="611" w:type="pct"/>
            <w:shd w:val="clear" w:color="auto" w:fill="auto"/>
            <w:noWrap/>
            <w:vAlign w:val="center"/>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województwo</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69,2</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/mieszk.</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kraj</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74,0</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/mieszk.</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2"/>
        </w:trPr>
        <w:tc>
          <w:tcPr>
            <w:tcW w:w="2229" w:type="pct"/>
            <w:vMerge w:val="restart"/>
            <w:shd w:val="clear" w:color="auto" w:fill="auto"/>
            <w:vAlign w:val="center"/>
            <w:hideMark/>
          </w:tcPr>
          <w:p w:rsidR="00303D33" w:rsidRPr="00303D33" w:rsidRDefault="00303D33" w:rsidP="00E27451">
            <w:pPr>
              <w:spacing w:line="240" w:lineRule="auto"/>
              <w:ind w:firstLine="0"/>
              <w:rPr>
                <w:rFonts w:ascii="Lato" w:hAnsi="Lato"/>
                <w:color w:val="1F497D"/>
                <w:sz w:val="20"/>
                <w:szCs w:val="20"/>
              </w:rPr>
            </w:pPr>
            <w:r w:rsidRPr="00303D33">
              <w:rPr>
                <w:rFonts w:ascii="Lato" w:hAnsi="Lato"/>
                <w:color w:val="1F497D"/>
                <w:sz w:val="20"/>
                <w:szCs w:val="20"/>
              </w:rPr>
              <w:t>Liczba osób na 1 mieszkanie</w:t>
            </w: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b/>
                <w:bCs/>
                <w:color w:val="1F497D"/>
                <w:sz w:val="20"/>
                <w:szCs w:val="20"/>
              </w:rPr>
            </w:pPr>
            <w:r w:rsidRPr="00303D33">
              <w:rPr>
                <w:rFonts w:ascii="Lato" w:hAnsi="Lato"/>
                <w:b/>
                <w:bCs/>
                <w:color w:val="1F497D"/>
                <w:sz w:val="20"/>
                <w:szCs w:val="20"/>
              </w:rPr>
              <w:t>gmina</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b/>
                <w:color w:val="1F497D"/>
                <w:sz w:val="20"/>
                <w:szCs w:val="20"/>
              </w:rPr>
            </w:pPr>
            <w:r w:rsidRPr="00303D33">
              <w:rPr>
                <w:rFonts w:ascii="Lato" w:hAnsi="Lato"/>
                <w:b/>
                <w:color w:val="1F497D"/>
                <w:sz w:val="20"/>
                <w:szCs w:val="20"/>
              </w:rPr>
              <w:t>3,0</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os./mieszk.</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FF0000"/>
              </w:rPr>
            </w:pPr>
            <w:r w:rsidRPr="00303D33">
              <w:rPr>
                <w:rFonts w:ascii="Wingdings" w:hAnsi="Wingdings" w:cs="Arial"/>
                <w:color w:val="FF0000"/>
              </w:rPr>
              <w:t></w:t>
            </w:r>
          </w:p>
        </w:tc>
      </w:tr>
      <w:tr w:rsidR="00303D33" w:rsidRPr="00303D33" w:rsidTr="00303D33">
        <w:trPr>
          <w:cantSplit/>
          <w:trHeight w:val="282"/>
        </w:trPr>
        <w:tc>
          <w:tcPr>
            <w:tcW w:w="2229" w:type="pct"/>
            <w:vMerge/>
            <w:vAlign w:val="center"/>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powiat</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2,3</w:t>
            </w:r>
          </w:p>
        </w:tc>
        <w:tc>
          <w:tcPr>
            <w:tcW w:w="808" w:type="pct"/>
            <w:shd w:val="clear" w:color="auto" w:fill="auto"/>
            <w:noWrap/>
            <w:vAlign w:val="center"/>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os./mieszk.</w:t>
            </w:r>
          </w:p>
        </w:tc>
        <w:tc>
          <w:tcPr>
            <w:tcW w:w="611" w:type="pct"/>
            <w:shd w:val="clear" w:color="auto" w:fill="auto"/>
            <w:noWrap/>
            <w:vAlign w:val="center"/>
          </w:tcPr>
          <w:p w:rsidR="00303D33" w:rsidRPr="00303D33" w:rsidRDefault="00303D33" w:rsidP="00E27451">
            <w:pPr>
              <w:spacing w:line="240" w:lineRule="auto"/>
              <w:ind w:firstLine="0"/>
              <w:jc w:val="center"/>
              <w:rPr>
                <w:rFonts w:ascii="Wingdings" w:hAnsi="Wingdings" w:cs="Arial"/>
                <w:color w:val="FF0000"/>
              </w:rPr>
            </w:pPr>
            <w:r w:rsidRPr="00303D33">
              <w:rPr>
                <w:rFonts w:ascii="Wingdings" w:hAnsi="Wingdings" w:cs="Arial"/>
                <w:color w:val="FF0000"/>
              </w:rPr>
              <w:t></w:t>
            </w:r>
          </w:p>
        </w:tc>
      </w:tr>
      <w:tr w:rsidR="00303D33" w:rsidRPr="00303D33" w:rsidTr="00303D33">
        <w:trPr>
          <w:cantSplit/>
          <w:trHeight w:val="282"/>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województwo</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2,4</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os./mieszk.</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FF0000"/>
              </w:rPr>
            </w:pPr>
            <w:r w:rsidRPr="00303D33">
              <w:rPr>
                <w:rFonts w:ascii="Wingdings" w:hAnsi="Wingdings" w:cs="Arial"/>
                <w:color w:val="FF0000"/>
              </w:rPr>
              <w:t></w:t>
            </w:r>
          </w:p>
        </w:tc>
      </w:tr>
      <w:tr w:rsidR="00303D33" w:rsidRPr="00303D33" w:rsidTr="00303D33">
        <w:trPr>
          <w:cantSplit/>
          <w:trHeight w:val="282"/>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kraj</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2,7</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os./mieszk.</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FF0000"/>
              </w:rPr>
            </w:pPr>
            <w:r w:rsidRPr="00303D33">
              <w:rPr>
                <w:rFonts w:ascii="Wingdings" w:hAnsi="Wingdings" w:cs="Arial"/>
                <w:color w:val="FF0000"/>
              </w:rPr>
              <w:t></w:t>
            </w:r>
          </w:p>
        </w:tc>
      </w:tr>
      <w:tr w:rsidR="00303D33" w:rsidRPr="00303D33" w:rsidTr="00303D33">
        <w:trPr>
          <w:cantSplit/>
          <w:trHeight w:val="282"/>
        </w:trPr>
        <w:tc>
          <w:tcPr>
            <w:tcW w:w="2229" w:type="pct"/>
            <w:vMerge w:val="restart"/>
            <w:shd w:val="clear" w:color="auto" w:fill="auto"/>
            <w:vAlign w:val="center"/>
            <w:hideMark/>
          </w:tcPr>
          <w:p w:rsidR="00303D33" w:rsidRPr="00303D33" w:rsidRDefault="00303D33" w:rsidP="00600DD0">
            <w:pPr>
              <w:spacing w:line="240" w:lineRule="auto"/>
              <w:ind w:firstLine="0"/>
              <w:rPr>
                <w:rFonts w:ascii="Lato" w:hAnsi="Lato"/>
                <w:color w:val="1F497D"/>
                <w:sz w:val="20"/>
                <w:szCs w:val="20"/>
              </w:rPr>
            </w:pPr>
            <w:r w:rsidRPr="00303D33">
              <w:rPr>
                <w:rFonts w:ascii="Lato" w:hAnsi="Lato"/>
                <w:color w:val="1F497D"/>
                <w:sz w:val="20"/>
                <w:szCs w:val="20"/>
              </w:rPr>
              <w:t xml:space="preserve">Liczba oddanych mieszkań w latach </w:t>
            </w:r>
            <w:r w:rsidR="00600DD0">
              <w:rPr>
                <w:rFonts w:ascii="Lato" w:hAnsi="Lato"/>
                <w:color w:val="1F497D"/>
                <w:sz w:val="20"/>
                <w:szCs w:val="20"/>
              </w:rPr>
              <w:t>2000-2017</w:t>
            </w:r>
            <w:r w:rsidRPr="00303D33">
              <w:rPr>
                <w:rFonts w:ascii="Lato" w:hAnsi="Lato"/>
                <w:color w:val="1F497D"/>
                <w:sz w:val="20"/>
                <w:szCs w:val="20"/>
              </w:rPr>
              <w:t xml:space="preserve"> na 1000 mieszkańców</w:t>
            </w: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b/>
                <w:bCs/>
                <w:color w:val="1F497D"/>
                <w:sz w:val="20"/>
                <w:szCs w:val="20"/>
              </w:rPr>
            </w:pPr>
            <w:r w:rsidRPr="00303D33">
              <w:rPr>
                <w:rFonts w:ascii="Lato" w:hAnsi="Lato"/>
                <w:b/>
                <w:bCs/>
                <w:color w:val="1F497D"/>
                <w:sz w:val="20"/>
                <w:szCs w:val="20"/>
              </w:rPr>
              <w:t>gmina</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b/>
                <w:color w:val="1F497D"/>
                <w:sz w:val="20"/>
                <w:szCs w:val="20"/>
              </w:rPr>
            </w:pPr>
            <w:r w:rsidRPr="00303D33">
              <w:rPr>
                <w:rFonts w:ascii="Lato" w:hAnsi="Lato"/>
                <w:b/>
                <w:color w:val="1F497D"/>
                <w:sz w:val="20"/>
                <w:szCs w:val="20"/>
              </w:rPr>
              <w:t>136,8</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szt.</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2"/>
        </w:trPr>
        <w:tc>
          <w:tcPr>
            <w:tcW w:w="2229" w:type="pct"/>
            <w:vMerge/>
            <w:vAlign w:val="center"/>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powiat</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55,7</w:t>
            </w:r>
          </w:p>
        </w:tc>
        <w:tc>
          <w:tcPr>
            <w:tcW w:w="808" w:type="pct"/>
            <w:shd w:val="clear" w:color="auto" w:fill="auto"/>
            <w:noWrap/>
            <w:vAlign w:val="center"/>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szt.</w:t>
            </w:r>
          </w:p>
        </w:tc>
        <w:tc>
          <w:tcPr>
            <w:tcW w:w="611" w:type="pct"/>
            <w:shd w:val="clear" w:color="auto" w:fill="auto"/>
            <w:noWrap/>
            <w:vAlign w:val="center"/>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2"/>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województwo</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53,2</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szt.</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2"/>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kraj</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73,2</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szt.</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2"/>
        </w:trPr>
        <w:tc>
          <w:tcPr>
            <w:tcW w:w="2229" w:type="pct"/>
            <w:vMerge w:val="restart"/>
            <w:shd w:val="clear" w:color="auto" w:fill="auto"/>
            <w:vAlign w:val="center"/>
            <w:hideMark/>
          </w:tcPr>
          <w:p w:rsidR="00303D33" w:rsidRPr="00303D33" w:rsidRDefault="00303D33" w:rsidP="00600DD0">
            <w:pPr>
              <w:spacing w:line="240" w:lineRule="auto"/>
              <w:ind w:firstLine="0"/>
              <w:jc w:val="both"/>
              <w:rPr>
                <w:rFonts w:ascii="Lato" w:hAnsi="Lato"/>
                <w:color w:val="1F497D"/>
                <w:sz w:val="20"/>
                <w:szCs w:val="20"/>
              </w:rPr>
            </w:pPr>
            <w:r w:rsidRPr="00303D33">
              <w:rPr>
                <w:rFonts w:ascii="Lato" w:hAnsi="Lato"/>
                <w:color w:val="1F497D"/>
                <w:sz w:val="20"/>
                <w:szCs w:val="20"/>
              </w:rPr>
              <w:t xml:space="preserve">Udział mieszkań oddawanych w latach </w:t>
            </w:r>
            <w:r w:rsidR="00600DD0">
              <w:rPr>
                <w:rFonts w:ascii="Lato" w:hAnsi="Lato"/>
                <w:color w:val="1F497D"/>
                <w:sz w:val="20"/>
                <w:szCs w:val="20"/>
              </w:rPr>
              <w:t>2000-2017</w:t>
            </w:r>
            <w:r w:rsidRPr="00303D33">
              <w:rPr>
                <w:rFonts w:ascii="Lato" w:hAnsi="Lato"/>
                <w:color w:val="1F497D"/>
                <w:sz w:val="20"/>
                <w:szCs w:val="20"/>
              </w:rPr>
              <w:t xml:space="preserve"> w całkowitej liczbie mieszkań</w:t>
            </w: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b/>
                <w:bCs/>
                <w:color w:val="1F497D"/>
                <w:sz w:val="20"/>
                <w:szCs w:val="20"/>
              </w:rPr>
            </w:pPr>
            <w:r w:rsidRPr="00303D33">
              <w:rPr>
                <w:rFonts w:ascii="Lato" w:hAnsi="Lato"/>
                <w:b/>
                <w:bCs/>
                <w:color w:val="1F497D"/>
                <w:sz w:val="20"/>
                <w:szCs w:val="20"/>
              </w:rPr>
              <w:t>gmina</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b/>
                <w:color w:val="1F497D"/>
                <w:sz w:val="20"/>
                <w:szCs w:val="20"/>
              </w:rPr>
            </w:pPr>
            <w:r w:rsidRPr="00303D33">
              <w:rPr>
                <w:rFonts w:ascii="Lato" w:hAnsi="Lato"/>
                <w:b/>
                <w:color w:val="1F497D"/>
                <w:sz w:val="20"/>
                <w:szCs w:val="20"/>
              </w:rPr>
              <w:t>41,4</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2"/>
        </w:trPr>
        <w:tc>
          <w:tcPr>
            <w:tcW w:w="2229" w:type="pct"/>
            <w:vMerge/>
            <w:vAlign w:val="center"/>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powiat</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13,0</w:t>
            </w:r>
          </w:p>
        </w:tc>
        <w:tc>
          <w:tcPr>
            <w:tcW w:w="808" w:type="pct"/>
            <w:shd w:val="clear" w:color="auto" w:fill="auto"/>
            <w:noWrap/>
            <w:vAlign w:val="center"/>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w:t>
            </w:r>
          </w:p>
        </w:tc>
        <w:tc>
          <w:tcPr>
            <w:tcW w:w="611" w:type="pct"/>
            <w:shd w:val="clear" w:color="auto" w:fill="auto"/>
            <w:noWrap/>
            <w:vAlign w:val="center"/>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2"/>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województwo</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13,0</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2"/>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kraj</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19,5</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restart"/>
            <w:shd w:val="clear" w:color="auto" w:fill="auto"/>
            <w:vAlign w:val="center"/>
            <w:hideMark/>
          </w:tcPr>
          <w:p w:rsidR="00303D33" w:rsidRPr="00303D33" w:rsidRDefault="00303D33" w:rsidP="00600DD0">
            <w:pPr>
              <w:spacing w:line="240" w:lineRule="auto"/>
              <w:ind w:firstLine="0"/>
              <w:rPr>
                <w:rFonts w:ascii="Lato" w:hAnsi="Lato"/>
                <w:color w:val="1F497D"/>
                <w:sz w:val="20"/>
                <w:szCs w:val="20"/>
              </w:rPr>
            </w:pPr>
            <w:r w:rsidRPr="00303D33">
              <w:rPr>
                <w:rFonts w:ascii="Lato" w:hAnsi="Lato"/>
                <w:color w:val="1F497D"/>
                <w:sz w:val="20"/>
                <w:szCs w:val="20"/>
              </w:rPr>
              <w:t xml:space="preserve">Średnia powierzchnia oddawanego mieszkania w latach </w:t>
            </w:r>
            <w:r w:rsidR="00600DD0">
              <w:rPr>
                <w:rFonts w:ascii="Lato" w:hAnsi="Lato"/>
                <w:color w:val="1F497D"/>
                <w:sz w:val="20"/>
                <w:szCs w:val="20"/>
              </w:rPr>
              <w:t>2000-2017</w:t>
            </w: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b/>
                <w:bCs/>
                <w:color w:val="1F497D"/>
                <w:sz w:val="20"/>
                <w:szCs w:val="20"/>
              </w:rPr>
            </w:pPr>
            <w:r w:rsidRPr="00303D33">
              <w:rPr>
                <w:rFonts w:ascii="Lato" w:hAnsi="Lato"/>
                <w:b/>
                <w:bCs/>
                <w:color w:val="1F497D"/>
                <w:sz w:val="20"/>
                <w:szCs w:val="20"/>
              </w:rPr>
              <w:t>gmina</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b/>
                <w:color w:val="1F497D"/>
                <w:sz w:val="20"/>
                <w:szCs w:val="20"/>
              </w:rPr>
            </w:pPr>
            <w:r w:rsidRPr="00303D33">
              <w:rPr>
                <w:rFonts w:ascii="Lato" w:hAnsi="Lato"/>
                <w:b/>
                <w:color w:val="1F497D"/>
                <w:sz w:val="20"/>
                <w:szCs w:val="20"/>
              </w:rPr>
              <w:t>140,2</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/mieszk.</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powiat</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132,1</w:t>
            </w:r>
          </w:p>
        </w:tc>
        <w:tc>
          <w:tcPr>
            <w:tcW w:w="808" w:type="pct"/>
            <w:shd w:val="clear" w:color="auto" w:fill="auto"/>
            <w:noWrap/>
            <w:vAlign w:val="center"/>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/mieszk.</w:t>
            </w:r>
          </w:p>
        </w:tc>
        <w:tc>
          <w:tcPr>
            <w:tcW w:w="611" w:type="pct"/>
            <w:shd w:val="clear" w:color="auto" w:fill="auto"/>
            <w:noWrap/>
            <w:vAlign w:val="center"/>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województwo</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114,8</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/mieszk.</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r w:rsidR="00303D33" w:rsidRPr="00303D33" w:rsidTr="00303D33">
        <w:trPr>
          <w:cantSplit/>
          <w:trHeight w:val="285"/>
        </w:trPr>
        <w:tc>
          <w:tcPr>
            <w:tcW w:w="2229" w:type="pct"/>
            <w:vMerge/>
            <w:vAlign w:val="center"/>
            <w:hideMark/>
          </w:tcPr>
          <w:p w:rsidR="00303D33" w:rsidRPr="00303D33" w:rsidRDefault="00303D33" w:rsidP="00E27451">
            <w:pPr>
              <w:spacing w:line="240" w:lineRule="auto"/>
              <w:ind w:firstLine="0"/>
              <w:rPr>
                <w:rFonts w:ascii="Lato" w:hAnsi="Lato"/>
                <w:color w:val="1F497D"/>
                <w:sz w:val="20"/>
                <w:szCs w:val="20"/>
              </w:rPr>
            </w:pPr>
          </w:p>
        </w:tc>
        <w:tc>
          <w:tcPr>
            <w:tcW w:w="716" w:type="pct"/>
            <w:shd w:val="clear" w:color="auto" w:fill="auto"/>
            <w:noWrap/>
            <w:vAlign w:val="center"/>
            <w:hideMark/>
          </w:tcPr>
          <w:p w:rsidR="00303D33" w:rsidRPr="00303D33" w:rsidRDefault="00303D33" w:rsidP="00E27451">
            <w:pPr>
              <w:spacing w:line="240" w:lineRule="auto"/>
              <w:ind w:firstLine="0"/>
              <w:jc w:val="both"/>
              <w:rPr>
                <w:rFonts w:ascii="Lato" w:hAnsi="Lato"/>
                <w:color w:val="1F497D"/>
                <w:sz w:val="20"/>
                <w:szCs w:val="20"/>
              </w:rPr>
            </w:pPr>
            <w:r w:rsidRPr="00303D33">
              <w:rPr>
                <w:rFonts w:ascii="Lato" w:hAnsi="Lato"/>
                <w:color w:val="1F497D"/>
                <w:sz w:val="20"/>
                <w:szCs w:val="20"/>
              </w:rPr>
              <w:t>kraj</w:t>
            </w:r>
          </w:p>
        </w:tc>
        <w:tc>
          <w:tcPr>
            <w:tcW w:w="636" w:type="pct"/>
            <w:shd w:val="clear" w:color="auto" w:fill="auto"/>
            <w:noWrap/>
            <w:vAlign w:val="center"/>
          </w:tcPr>
          <w:p w:rsidR="00303D33" w:rsidRPr="00303D33" w:rsidRDefault="00303D33" w:rsidP="00303D33">
            <w:pPr>
              <w:spacing w:line="240" w:lineRule="auto"/>
              <w:ind w:firstLine="0"/>
              <w:jc w:val="center"/>
              <w:rPr>
                <w:rFonts w:ascii="Lato" w:hAnsi="Lato"/>
                <w:color w:val="1F497D"/>
                <w:sz w:val="20"/>
                <w:szCs w:val="20"/>
              </w:rPr>
            </w:pPr>
            <w:r w:rsidRPr="00303D33">
              <w:rPr>
                <w:rFonts w:ascii="Lato" w:hAnsi="Lato"/>
                <w:color w:val="1F497D"/>
                <w:sz w:val="20"/>
                <w:szCs w:val="20"/>
              </w:rPr>
              <w:t>100,2</w:t>
            </w:r>
          </w:p>
        </w:tc>
        <w:tc>
          <w:tcPr>
            <w:tcW w:w="808" w:type="pct"/>
            <w:shd w:val="clear" w:color="auto" w:fill="auto"/>
            <w:noWrap/>
            <w:vAlign w:val="center"/>
            <w:hideMark/>
          </w:tcPr>
          <w:p w:rsidR="00303D33" w:rsidRPr="00303D33" w:rsidRDefault="00303D33" w:rsidP="00E27451">
            <w:pPr>
              <w:spacing w:line="240" w:lineRule="auto"/>
              <w:ind w:firstLine="0"/>
              <w:jc w:val="center"/>
              <w:rPr>
                <w:rFonts w:ascii="Lato" w:hAnsi="Lato"/>
                <w:color w:val="1F497D"/>
                <w:sz w:val="20"/>
                <w:szCs w:val="20"/>
              </w:rPr>
            </w:pPr>
            <w:r w:rsidRPr="00303D33">
              <w:rPr>
                <w:rFonts w:ascii="Lato" w:hAnsi="Lato"/>
                <w:color w:val="1F497D"/>
                <w:sz w:val="20"/>
                <w:szCs w:val="20"/>
              </w:rPr>
              <w:t>m</w:t>
            </w:r>
            <w:r w:rsidRPr="00303D33">
              <w:rPr>
                <w:rFonts w:ascii="Lato" w:hAnsi="Lato"/>
                <w:color w:val="1F497D"/>
                <w:sz w:val="20"/>
                <w:szCs w:val="20"/>
                <w:vertAlign w:val="superscript"/>
              </w:rPr>
              <w:t>2</w:t>
            </w:r>
            <w:r w:rsidRPr="00303D33">
              <w:rPr>
                <w:rFonts w:ascii="Lato" w:hAnsi="Lato"/>
                <w:color w:val="1F497D"/>
                <w:sz w:val="20"/>
                <w:szCs w:val="20"/>
              </w:rPr>
              <w:t>/mieszk.</w:t>
            </w:r>
          </w:p>
        </w:tc>
        <w:tc>
          <w:tcPr>
            <w:tcW w:w="611" w:type="pct"/>
            <w:shd w:val="clear" w:color="auto" w:fill="auto"/>
            <w:noWrap/>
            <w:vAlign w:val="center"/>
            <w:hideMark/>
          </w:tcPr>
          <w:p w:rsidR="00303D33" w:rsidRPr="00303D33" w:rsidRDefault="00303D33" w:rsidP="00E27451">
            <w:pPr>
              <w:spacing w:line="240" w:lineRule="auto"/>
              <w:ind w:firstLine="0"/>
              <w:jc w:val="center"/>
              <w:rPr>
                <w:rFonts w:ascii="Wingdings" w:hAnsi="Wingdings" w:cs="Arial"/>
                <w:color w:val="008000"/>
              </w:rPr>
            </w:pPr>
            <w:r w:rsidRPr="00303D33">
              <w:rPr>
                <w:rFonts w:ascii="Wingdings" w:hAnsi="Wingdings" w:cs="Arial"/>
                <w:color w:val="008000"/>
              </w:rPr>
              <w:t></w:t>
            </w:r>
          </w:p>
        </w:tc>
      </w:tr>
    </w:tbl>
    <w:p w:rsidR="00A33898" w:rsidRPr="008F1406" w:rsidRDefault="00A33898" w:rsidP="00A33898">
      <w:pPr>
        <w:spacing w:before="240"/>
        <w:jc w:val="center"/>
        <w:rPr>
          <w:rFonts w:ascii="Lato" w:hAnsi="Lato"/>
          <w:i/>
          <w:sz w:val="20"/>
          <w:lang w:eastAsia="x-none"/>
        </w:rPr>
      </w:pPr>
      <w:r w:rsidRPr="008F1406">
        <w:rPr>
          <w:rFonts w:ascii="Lato" w:hAnsi="Lato"/>
          <w:i/>
          <w:sz w:val="20"/>
          <w:lang w:eastAsia="x-none"/>
        </w:rPr>
        <w:t>Źródło: GUS</w:t>
      </w:r>
    </w:p>
    <w:p w:rsidR="0050013E" w:rsidRPr="00D352C4" w:rsidRDefault="0050013E" w:rsidP="0050013E">
      <w:pPr>
        <w:pStyle w:val="Tekstpodstawowy"/>
        <w:rPr>
          <w:rFonts w:ascii="Lato" w:hAnsi="Lato" w:cs="Times New Roman"/>
          <w:highlight w:val="yellow"/>
        </w:rPr>
      </w:pPr>
    </w:p>
    <w:p w:rsidR="0050013E" w:rsidRPr="00303D33" w:rsidRDefault="0050013E" w:rsidP="00C2097B">
      <w:pPr>
        <w:pStyle w:val="Tekstpodstawowy"/>
        <w:ind w:right="57" w:firstLine="709"/>
        <w:rPr>
          <w:rFonts w:ascii="Lato" w:hAnsi="Lato" w:cs="Times New Roman"/>
        </w:rPr>
      </w:pPr>
      <w:r w:rsidRPr="00303D33">
        <w:rPr>
          <w:rFonts w:ascii="Lato" w:hAnsi="Lato" w:cs="Times New Roman"/>
        </w:rPr>
        <w:t>Liczbę mieszkań wybudowanych w p</w:t>
      </w:r>
      <w:r w:rsidR="006D2CE4" w:rsidRPr="00303D33">
        <w:rPr>
          <w:rFonts w:ascii="Lato" w:hAnsi="Lato" w:cs="Times New Roman"/>
        </w:rPr>
        <w:t>oszczególnych okresach w całej g</w:t>
      </w:r>
      <w:r w:rsidRPr="00303D33">
        <w:rPr>
          <w:rFonts w:ascii="Lato" w:hAnsi="Lato" w:cs="Times New Roman"/>
        </w:rPr>
        <w:t>minie pod względem liczby mieszkań oraz budynków przedstawiono na rysunku 1-9.</w:t>
      </w:r>
    </w:p>
    <w:p w:rsidR="00B944E6" w:rsidRPr="00D352C4" w:rsidRDefault="00B944E6" w:rsidP="00C729D3">
      <w:pPr>
        <w:pStyle w:val="Tekstpodstawowy"/>
        <w:rPr>
          <w:rFonts w:ascii="Lato" w:hAnsi="Lato" w:cs="Times New Roman"/>
          <w:highlight w:val="yellow"/>
        </w:rPr>
      </w:pPr>
    </w:p>
    <w:p w:rsidR="0050013E" w:rsidRPr="00D352C4" w:rsidRDefault="00EB2C0C" w:rsidP="0050013E">
      <w:pPr>
        <w:ind w:firstLine="0"/>
        <w:jc w:val="center"/>
        <w:rPr>
          <w:rFonts w:ascii="Lato" w:hAnsi="Lato"/>
          <w:highlight w:val="yellow"/>
        </w:rPr>
      </w:pPr>
      <w:r>
        <w:rPr>
          <w:noProof/>
        </w:rPr>
        <w:lastRenderedPageBreak/>
        <w:drawing>
          <wp:inline distT="0" distB="0" distL="0" distR="0" wp14:anchorId="0137A11D" wp14:editId="4E2C8411">
            <wp:extent cx="5586412" cy="2962275"/>
            <wp:effectExtent l="0" t="0" r="0" b="0"/>
            <wp:docPr id="113" name="Wykres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0013E" w:rsidRPr="00247552" w:rsidRDefault="0050013E" w:rsidP="00D93D22">
      <w:pPr>
        <w:pStyle w:val="Legenda"/>
        <w:jc w:val="center"/>
        <w:rPr>
          <w:rFonts w:ascii="Lato" w:hAnsi="Lato"/>
          <w:b w:val="0"/>
          <w:color w:val="365F91"/>
          <w:sz w:val="20"/>
          <w:szCs w:val="20"/>
          <w:lang w:val="pl-PL"/>
        </w:rPr>
      </w:pPr>
      <w:bookmarkStart w:id="81" w:name="_Toc225155562"/>
      <w:bookmarkStart w:id="82" w:name="_Toc20219218"/>
      <w:r w:rsidRPr="00247552">
        <w:rPr>
          <w:rFonts w:ascii="Lato" w:hAnsi="Lato"/>
          <w:color w:val="365F91"/>
          <w:sz w:val="20"/>
          <w:szCs w:val="20"/>
        </w:rPr>
        <w:t xml:space="preserve">Rysunek </w:t>
      </w:r>
      <w:r w:rsidR="004042AE" w:rsidRPr="00247552">
        <w:rPr>
          <w:rFonts w:ascii="Lato" w:hAnsi="Lato"/>
          <w:color w:val="365F91"/>
          <w:sz w:val="20"/>
          <w:szCs w:val="20"/>
        </w:rPr>
        <w:fldChar w:fldCharType="begin"/>
      </w:r>
      <w:r w:rsidR="005430ED" w:rsidRPr="00247552">
        <w:rPr>
          <w:rFonts w:ascii="Lato" w:hAnsi="Lato"/>
          <w:color w:val="365F91"/>
          <w:sz w:val="20"/>
          <w:szCs w:val="20"/>
        </w:rPr>
        <w:instrText xml:space="preserve"> STYLEREF 1 \s </w:instrText>
      </w:r>
      <w:r w:rsidR="004042AE" w:rsidRPr="00247552">
        <w:rPr>
          <w:rFonts w:ascii="Lato" w:hAnsi="Lato"/>
          <w:color w:val="365F91"/>
          <w:sz w:val="20"/>
          <w:szCs w:val="20"/>
        </w:rPr>
        <w:fldChar w:fldCharType="separate"/>
      </w:r>
      <w:r w:rsidR="0040205B">
        <w:rPr>
          <w:rFonts w:ascii="Lato" w:hAnsi="Lato"/>
          <w:noProof/>
          <w:color w:val="365F91"/>
          <w:sz w:val="20"/>
          <w:szCs w:val="20"/>
        </w:rPr>
        <w:t>1</w:t>
      </w:r>
      <w:r w:rsidR="004042AE" w:rsidRPr="00247552">
        <w:rPr>
          <w:rFonts w:ascii="Lato" w:hAnsi="Lato"/>
          <w:color w:val="365F91"/>
          <w:sz w:val="20"/>
          <w:szCs w:val="20"/>
        </w:rPr>
        <w:fldChar w:fldCharType="end"/>
      </w:r>
      <w:r w:rsidR="005430ED" w:rsidRPr="00247552">
        <w:rPr>
          <w:rFonts w:ascii="Lato" w:hAnsi="Lato"/>
          <w:color w:val="365F91"/>
          <w:sz w:val="20"/>
          <w:szCs w:val="20"/>
        </w:rPr>
        <w:noBreakHyphen/>
      </w:r>
      <w:r w:rsidR="004042AE" w:rsidRPr="00247552">
        <w:rPr>
          <w:rFonts w:ascii="Lato" w:hAnsi="Lato"/>
          <w:color w:val="365F91"/>
          <w:sz w:val="20"/>
          <w:szCs w:val="20"/>
        </w:rPr>
        <w:fldChar w:fldCharType="begin"/>
      </w:r>
      <w:r w:rsidR="005430ED" w:rsidRPr="00247552">
        <w:rPr>
          <w:rFonts w:ascii="Lato" w:hAnsi="Lato"/>
          <w:color w:val="365F91"/>
          <w:sz w:val="20"/>
          <w:szCs w:val="20"/>
        </w:rPr>
        <w:instrText xml:space="preserve"> SEQ Rysunek \* ARABIC \s 1 </w:instrText>
      </w:r>
      <w:r w:rsidR="004042AE" w:rsidRPr="00247552">
        <w:rPr>
          <w:rFonts w:ascii="Lato" w:hAnsi="Lato"/>
          <w:color w:val="365F91"/>
          <w:sz w:val="20"/>
          <w:szCs w:val="20"/>
        </w:rPr>
        <w:fldChar w:fldCharType="separate"/>
      </w:r>
      <w:r w:rsidR="0040205B">
        <w:rPr>
          <w:rFonts w:ascii="Lato" w:hAnsi="Lato"/>
          <w:noProof/>
          <w:color w:val="365F91"/>
          <w:sz w:val="20"/>
          <w:szCs w:val="20"/>
        </w:rPr>
        <w:t>9</w:t>
      </w:r>
      <w:r w:rsidR="004042AE" w:rsidRPr="00247552">
        <w:rPr>
          <w:rFonts w:ascii="Lato" w:hAnsi="Lato"/>
          <w:color w:val="365F91"/>
          <w:sz w:val="20"/>
          <w:szCs w:val="20"/>
        </w:rPr>
        <w:fldChar w:fldCharType="end"/>
      </w:r>
      <w:r w:rsidRPr="00247552">
        <w:rPr>
          <w:rFonts w:ascii="Lato" w:hAnsi="Lato"/>
          <w:color w:val="365F91"/>
          <w:sz w:val="20"/>
          <w:szCs w:val="20"/>
        </w:rPr>
        <w:t xml:space="preserve"> Struktura wiekowa budynków wg liczby mieszk</w:t>
      </w:r>
      <w:r w:rsidR="004363F8" w:rsidRPr="00247552">
        <w:rPr>
          <w:rFonts w:ascii="Lato" w:hAnsi="Lato"/>
          <w:color w:val="365F91"/>
          <w:sz w:val="20"/>
          <w:szCs w:val="20"/>
        </w:rPr>
        <w:t xml:space="preserve">ań i powierzchni </w:t>
      </w:r>
      <w:r w:rsidRPr="00247552">
        <w:rPr>
          <w:rFonts w:ascii="Lato" w:hAnsi="Lato"/>
          <w:color w:val="365F91"/>
          <w:sz w:val="20"/>
          <w:szCs w:val="20"/>
        </w:rPr>
        <w:t xml:space="preserve">w </w:t>
      </w:r>
      <w:r w:rsidR="006D2CE4" w:rsidRPr="00247552">
        <w:rPr>
          <w:rFonts w:ascii="Lato" w:hAnsi="Lato"/>
          <w:color w:val="365F91"/>
          <w:sz w:val="20"/>
          <w:szCs w:val="20"/>
        </w:rPr>
        <w:t>g</w:t>
      </w:r>
      <w:r w:rsidRPr="00247552">
        <w:rPr>
          <w:rFonts w:ascii="Lato" w:hAnsi="Lato"/>
          <w:color w:val="365F91"/>
          <w:sz w:val="20"/>
          <w:szCs w:val="20"/>
        </w:rPr>
        <w:t xml:space="preserve">minie </w:t>
      </w:r>
      <w:bookmarkEnd w:id="81"/>
      <w:r w:rsidR="008236AD">
        <w:rPr>
          <w:rFonts w:ascii="Lato" w:hAnsi="Lato"/>
          <w:color w:val="365F91"/>
          <w:sz w:val="20"/>
          <w:szCs w:val="20"/>
          <w:lang w:val="pl-PL"/>
        </w:rPr>
        <w:t>Pabianice</w:t>
      </w:r>
      <w:bookmarkEnd w:id="82"/>
    </w:p>
    <w:p w:rsidR="00A33898" w:rsidRPr="00247552" w:rsidRDefault="00A33898" w:rsidP="00A33898">
      <w:pPr>
        <w:jc w:val="center"/>
        <w:rPr>
          <w:rFonts w:ascii="Lato" w:hAnsi="Lato"/>
          <w:i/>
          <w:sz w:val="20"/>
          <w:lang w:eastAsia="x-none"/>
        </w:rPr>
      </w:pPr>
      <w:r w:rsidRPr="00247552">
        <w:rPr>
          <w:rFonts w:ascii="Lato" w:hAnsi="Lato"/>
          <w:i/>
          <w:sz w:val="20"/>
          <w:lang w:eastAsia="x-none"/>
        </w:rPr>
        <w:t xml:space="preserve">Źródło: </w:t>
      </w:r>
      <w:r w:rsidR="00AD5F77" w:rsidRPr="00247552">
        <w:rPr>
          <w:rFonts w:ascii="Lato" w:hAnsi="Lato"/>
          <w:i/>
          <w:sz w:val="20"/>
          <w:lang w:eastAsia="x-none"/>
        </w:rPr>
        <w:t>GUS, obliczenia własne</w:t>
      </w:r>
    </w:p>
    <w:p w:rsidR="0050013E" w:rsidRPr="00D352C4" w:rsidRDefault="0050013E" w:rsidP="0050013E">
      <w:pPr>
        <w:jc w:val="both"/>
        <w:rPr>
          <w:rFonts w:ascii="Lato" w:hAnsi="Lato"/>
          <w:highlight w:val="yellow"/>
        </w:rPr>
      </w:pPr>
    </w:p>
    <w:p w:rsidR="00A4394B" w:rsidRPr="004E054F" w:rsidRDefault="00A4394B" w:rsidP="001512CE">
      <w:pPr>
        <w:pStyle w:val="Tekstpodstawowy31"/>
        <w:ind w:firstLine="709"/>
        <w:rPr>
          <w:rFonts w:ascii="Lato" w:hAnsi="Lato"/>
          <w:bCs/>
          <w:spacing w:val="-2"/>
          <w:szCs w:val="24"/>
        </w:rPr>
      </w:pPr>
      <w:r w:rsidRPr="00C6684F">
        <w:rPr>
          <w:rFonts w:ascii="Lato" w:hAnsi="Lato"/>
          <w:bCs/>
          <w:spacing w:val="-2"/>
          <w:szCs w:val="24"/>
        </w:rPr>
        <w:t xml:space="preserve">Ogólny stan zasobów mieszkaniowych jest w zasadzie bardzo podobny do sytuacji województwa </w:t>
      </w:r>
      <w:r w:rsidR="00FC4697" w:rsidRPr="00C6684F">
        <w:rPr>
          <w:rFonts w:ascii="Lato" w:hAnsi="Lato"/>
          <w:bCs/>
          <w:spacing w:val="-2"/>
          <w:szCs w:val="24"/>
        </w:rPr>
        <w:t>łódzkiego</w:t>
      </w:r>
      <w:r w:rsidRPr="00C6684F">
        <w:rPr>
          <w:rFonts w:ascii="Lato" w:hAnsi="Lato"/>
          <w:bCs/>
          <w:spacing w:val="-2"/>
          <w:szCs w:val="24"/>
        </w:rPr>
        <w:t>. Generalnie</w:t>
      </w:r>
      <w:r w:rsidRPr="004E054F">
        <w:rPr>
          <w:rFonts w:ascii="Lato" w:hAnsi="Lato"/>
          <w:bCs/>
          <w:spacing w:val="-2"/>
          <w:szCs w:val="24"/>
        </w:rPr>
        <w:t xml:space="preserve"> w całej </w:t>
      </w:r>
      <w:r w:rsidR="00C6684F">
        <w:rPr>
          <w:rFonts w:ascii="Lato" w:hAnsi="Lato"/>
          <w:bCs/>
          <w:spacing w:val="-2"/>
          <w:szCs w:val="24"/>
        </w:rPr>
        <w:t>g</w:t>
      </w:r>
      <w:r w:rsidRPr="004E054F">
        <w:rPr>
          <w:rFonts w:ascii="Lato" w:hAnsi="Lato"/>
          <w:bCs/>
          <w:spacing w:val="-2"/>
          <w:szCs w:val="24"/>
        </w:rPr>
        <w:t>minie zastosowane technologie w budynkach zmien</w:t>
      </w:r>
      <w:r w:rsidR="00927037" w:rsidRPr="004E054F">
        <w:rPr>
          <w:rFonts w:ascii="Lato" w:hAnsi="Lato"/>
          <w:bCs/>
          <w:spacing w:val="-2"/>
          <w:szCs w:val="24"/>
        </w:rPr>
        <w:t>iały się wraz z upływem czasu i</w:t>
      </w:r>
      <w:r w:rsidR="000F2422">
        <w:rPr>
          <w:rFonts w:ascii="Lato" w:hAnsi="Lato"/>
          <w:bCs/>
          <w:spacing w:val="-2"/>
          <w:szCs w:val="24"/>
        </w:rPr>
        <w:t xml:space="preserve"> </w:t>
      </w:r>
      <w:r w:rsidRPr="004E054F">
        <w:rPr>
          <w:rFonts w:ascii="Lato" w:hAnsi="Lato"/>
          <w:bCs/>
          <w:spacing w:val="-2"/>
          <w:szCs w:val="24"/>
        </w:rPr>
        <w:t>rozwojem technologii wykonania materiałów budowlanych oraz wymogów normatywnych. Począwszy od najstarszych budynków, w których zastosowano mury wykonane z cegły oraz kamienia wraz z drewnianymi stropami, kończąc na budynkach najnowocześniejszych, gdzie zastosowano ocieplenie przegród budowlanych materiałami termoizolacyjnymi.</w:t>
      </w:r>
    </w:p>
    <w:p w:rsidR="00A4394B" w:rsidRPr="00247552" w:rsidRDefault="00A4394B" w:rsidP="001512CE">
      <w:pPr>
        <w:pStyle w:val="Tekstpodstawowy31"/>
        <w:ind w:firstLine="709"/>
        <w:rPr>
          <w:rFonts w:ascii="Lato" w:hAnsi="Lato"/>
          <w:bCs/>
          <w:spacing w:val="-2"/>
          <w:szCs w:val="24"/>
        </w:rPr>
      </w:pPr>
      <w:r w:rsidRPr="004E054F">
        <w:rPr>
          <w:rFonts w:ascii="Lato" w:hAnsi="Lato"/>
          <w:bCs/>
          <w:spacing w:val="-2"/>
          <w:szCs w:val="24"/>
        </w:rPr>
        <w:t>Na podstawie diagnozy stanu aktualnego zasobów mieszkaniowyc</w:t>
      </w:r>
      <w:r w:rsidR="00927037" w:rsidRPr="004E054F">
        <w:rPr>
          <w:rFonts w:ascii="Lato" w:hAnsi="Lato"/>
          <w:bCs/>
          <w:spacing w:val="-2"/>
          <w:szCs w:val="24"/>
        </w:rPr>
        <w:t xml:space="preserve">h w Gminie </w:t>
      </w:r>
      <w:r w:rsidR="00C6684F">
        <w:rPr>
          <w:rFonts w:ascii="Lato" w:hAnsi="Lato"/>
          <w:bCs/>
          <w:spacing w:val="-2"/>
          <w:szCs w:val="24"/>
        </w:rPr>
        <w:t xml:space="preserve">Pabianice </w:t>
      </w:r>
      <w:r w:rsidR="00927037" w:rsidRPr="004E054F">
        <w:rPr>
          <w:rFonts w:ascii="Lato" w:hAnsi="Lato"/>
          <w:bCs/>
          <w:spacing w:val="-2"/>
          <w:szCs w:val="24"/>
        </w:rPr>
        <w:t>można stwierdzić, że </w:t>
      </w:r>
      <w:r w:rsidRPr="004E054F">
        <w:rPr>
          <w:rFonts w:ascii="Lato" w:hAnsi="Lato"/>
          <w:bCs/>
          <w:spacing w:val="-2"/>
          <w:szCs w:val="24"/>
        </w:rPr>
        <w:t xml:space="preserve">częściowy udział w strukturze stanowią budynki charakteryzujące się niedostatecznym stanem technicznym oraz niskim stopniem termomodernizacji </w:t>
      </w:r>
      <w:r w:rsidR="004E054F" w:rsidRPr="004E054F">
        <w:rPr>
          <w:rFonts w:ascii="Lato" w:hAnsi="Lato"/>
          <w:bCs/>
          <w:spacing w:val="-2"/>
          <w:szCs w:val="24"/>
        </w:rPr>
        <w:t>(część budynków posiada jedynie wymienione okna w mieszkaniach oraz w częściach wspólnych)</w:t>
      </w:r>
      <w:r w:rsidR="00927037" w:rsidRPr="004E054F">
        <w:rPr>
          <w:rFonts w:ascii="Lato" w:hAnsi="Lato"/>
          <w:bCs/>
          <w:spacing w:val="-2"/>
          <w:szCs w:val="24"/>
        </w:rPr>
        <w:t>, a</w:t>
      </w:r>
      <w:r w:rsidR="000F2422">
        <w:rPr>
          <w:rFonts w:ascii="Lato" w:hAnsi="Lato"/>
          <w:bCs/>
          <w:spacing w:val="-2"/>
          <w:szCs w:val="24"/>
        </w:rPr>
        <w:t xml:space="preserve"> </w:t>
      </w:r>
      <w:r w:rsidRPr="004E054F">
        <w:rPr>
          <w:rFonts w:ascii="Lato" w:hAnsi="Lato"/>
          <w:bCs/>
          <w:spacing w:val="-2"/>
          <w:szCs w:val="24"/>
        </w:rPr>
        <w:t xml:space="preserve">częściowo </w:t>
      </w:r>
      <w:r w:rsidRPr="00247552">
        <w:rPr>
          <w:rFonts w:ascii="Lato" w:hAnsi="Lato"/>
          <w:bCs/>
          <w:spacing w:val="-2"/>
          <w:szCs w:val="24"/>
        </w:rPr>
        <w:t xml:space="preserve">brakiem instalacji centralnego ogrzewania (ogrzewanie piecowe). </w:t>
      </w:r>
    </w:p>
    <w:p w:rsidR="00A4394B" w:rsidRPr="00247552" w:rsidRDefault="00A4394B" w:rsidP="001512CE">
      <w:pPr>
        <w:pStyle w:val="Tekstpodstawowy31"/>
        <w:ind w:firstLine="709"/>
        <w:rPr>
          <w:rFonts w:ascii="Lato" w:hAnsi="Lato"/>
          <w:bCs/>
          <w:spacing w:val="-2"/>
          <w:szCs w:val="24"/>
        </w:rPr>
      </w:pPr>
      <w:r w:rsidRPr="00247552">
        <w:rPr>
          <w:rFonts w:ascii="Lato" w:hAnsi="Lato"/>
          <w:bCs/>
          <w:spacing w:val="-2"/>
          <w:szCs w:val="24"/>
        </w:rPr>
        <w:t xml:space="preserve">Nadal </w:t>
      </w:r>
      <w:r w:rsidR="00247552" w:rsidRPr="00247552">
        <w:rPr>
          <w:rFonts w:ascii="Lato" w:hAnsi="Lato"/>
          <w:bCs/>
          <w:spacing w:val="-2"/>
          <w:szCs w:val="24"/>
        </w:rPr>
        <w:t>ok</w:t>
      </w:r>
      <w:r w:rsidRPr="00247552">
        <w:rPr>
          <w:rFonts w:ascii="Lato" w:hAnsi="Lato"/>
          <w:bCs/>
          <w:spacing w:val="-2"/>
          <w:szCs w:val="24"/>
        </w:rPr>
        <w:t xml:space="preserve"> </w:t>
      </w:r>
      <w:r w:rsidR="00247552" w:rsidRPr="00247552">
        <w:rPr>
          <w:rFonts w:ascii="Lato" w:hAnsi="Lato"/>
          <w:bCs/>
          <w:spacing w:val="-2"/>
          <w:szCs w:val="24"/>
        </w:rPr>
        <w:t>10</w:t>
      </w:r>
      <w:r w:rsidRPr="00247552">
        <w:rPr>
          <w:rFonts w:ascii="Lato" w:hAnsi="Lato"/>
          <w:bCs/>
          <w:spacing w:val="-2"/>
          <w:szCs w:val="24"/>
        </w:rPr>
        <w:t xml:space="preserve">% </w:t>
      </w:r>
      <w:r w:rsidR="007A0293" w:rsidRPr="00247552">
        <w:rPr>
          <w:rFonts w:ascii="Lato" w:hAnsi="Lato"/>
          <w:bCs/>
          <w:spacing w:val="-2"/>
          <w:szCs w:val="24"/>
        </w:rPr>
        <w:t xml:space="preserve">z ogólnej liczby </w:t>
      </w:r>
      <w:r w:rsidRPr="00247552">
        <w:rPr>
          <w:rFonts w:ascii="Lato" w:hAnsi="Lato"/>
          <w:bCs/>
          <w:spacing w:val="-2"/>
          <w:szCs w:val="24"/>
        </w:rPr>
        <w:t xml:space="preserve">mieszkań w gminie ogrzewanych jest przy wykorzystaniu pieców, </w:t>
      </w:r>
      <w:r w:rsidR="00247552">
        <w:rPr>
          <w:rFonts w:ascii="Lato" w:hAnsi="Lato"/>
          <w:bCs/>
          <w:spacing w:val="-2"/>
          <w:szCs w:val="24"/>
        </w:rPr>
        <w:t>w tym także</w:t>
      </w:r>
      <w:r w:rsidRPr="00247552">
        <w:rPr>
          <w:rFonts w:ascii="Lato" w:hAnsi="Lato"/>
          <w:bCs/>
          <w:spacing w:val="-2"/>
          <w:szCs w:val="24"/>
        </w:rPr>
        <w:t xml:space="preserve"> kaflowych, które charakteryzują się niską sprawnością ene</w:t>
      </w:r>
      <w:r w:rsidR="007A0293" w:rsidRPr="00247552">
        <w:rPr>
          <w:rFonts w:ascii="Lato" w:hAnsi="Lato"/>
          <w:bCs/>
          <w:spacing w:val="-2"/>
          <w:szCs w:val="24"/>
        </w:rPr>
        <w:t>rgetyczną oraz dużą niewygodą w</w:t>
      </w:r>
      <w:r w:rsidR="000F2422">
        <w:rPr>
          <w:rFonts w:ascii="Lato" w:hAnsi="Lato"/>
          <w:bCs/>
          <w:spacing w:val="-2"/>
          <w:szCs w:val="24"/>
        </w:rPr>
        <w:t xml:space="preserve"> </w:t>
      </w:r>
      <w:r w:rsidRPr="00247552">
        <w:rPr>
          <w:rFonts w:ascii="Lato" w:hAnsi="Lato"/>
          <w:bCs/>
          <w:spacing w:val="-2"/>
          <w:szCs w:val="24"/>
        </w:rPr>
        <w:t>eksploatacji.</w:t>
      </w:r>
    </w:p>
    <w:p w:rsidR="000C7B7A" w:rsidRPr="005D172C" w:rsidRDefault="000C7B7A" w:rsidP="001512CE">
      <w:pPr>
        <w:pStyle w:val="Tekstpodstawowy"/>
        <w:ind w:firstLine="709"/>
        <w:rPr>
          <w:rFonts w:ascii="Lato" w:hAnsi="Lato" w:cs="Times New Roman"/>
        </w:rPr>
      </w:pPr>
    </w:p>
    <w:p w:rsidR="0050013E" w:rsidRPr="00247552" w:rsidRDefault="00247552" w:rsidP="00927037">
      <w:pPr>
        <w:pStyle w:val="Tekstpodstawowy"/>
        <w:jc w:val="center"/>
        <w:rPr>
          <w:rFonts w:ascii="Lato" w:hAnsi="Lato" w:cs="Times New Roman"/>
        </w:rPr>
      </w:pPr>
      <w:r w:rsidRPr="00247552">
        <w:rPr>
          <w:noProof/>
        </w:rPr>
        <w:lastRenderedPageBreak/>
        <w:drawing>
          <wp:inline distT="0" distB="0" distL="0" distR="0" wp14:anchorId="1CD3524D" wp14:editId="720915E8">
            <wp:extent cx="5625134" cy="2806562"/>
            <wp:effectExtent l="0" t="0" r="0" b="0"/>
            <wp:docPr id="115" name="Wykres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013E" w:rsidRPr="00247552" w:rsidRDefault="0050013E" w:rsidP="009D005F">
      <w:pPr>
        <w:pStyle w:val="Legenda"/>
        <w:jc w:val="center"/>
        <w:rPr>
          <w:rFonts w:ascii="Lato" w:hAnsi="Lato"/>
          <w:color w:val="365F91"/>
          <w:sz w:val="20"/>
          <w:szCs w:val="20"/>
          <w:lang w:val="pl-PL"/>
        </w:rPr>
      </w:pPr>
      <w:bookmarkStart w:id="83" w:name="_Toc20219219"/>
      <w:r w:rsidRPr="00247552">
        <w:rPr>
          <w:rFonts w:ascii="Lato" w:hAnsi="Lato"/>
          <w:color w:val="365F91"/>
          <w:sz w:val="20"/>
          <w:szCs w:val="20"/>
        </w:rPr>
        <w:t xml:space="preserve">Rysunek </w:t>
      </w:r>
      <w:r w:rsidR="004042AE" w:rsidRPr="00247552">
        <w:rPr>
          <w:rFonts w:ascii="Lato" w:hAnsi="Lato"/>
          <w:color w:val="365F91"/>
          <w:sz w:val="20"/>
          <w:szCs w:val="20"/>
        </w:rPr>
        <w:fldChar w:fldCharType="begin"/>
      </w:r>
      <w:r w:rsidR="005430ED" w:rsidRPr="00247552">
        <w:rPr>
          <w:rFonts w:ascii="Lato" w:hAnsi="Lato"/>
          <w:color w:val="365F91"/>
          <w:sz w:val="20"/>
          <w:szCs w:val="20"/>
        </w:rPr>
        <w:instrText xml:space="preserve"> STYLEREF 1 \s </w:instrText>
      </w:r>
      <w:r w:rsidR="004042AE" w:rsidRPr="00247552">
        <w:rPr>
          <w:rFonts w:ascii="Lato" w:hAnsi="Lato"/>
          <w:color w:val="365F91"/>
          <w:sz w:val="20"/>
          <w:szCs w:val="20"/>
        </w:rPr>
        <w:fldChar w:fldCharType="separate"/>
      </w:r>
      <w:r w:rsidR="0040205B">
        <w:rPr>
          <w:rFonts w:ascii="Lato" w:hAnsi="Lato"/>
          <w:noProof/>
          <w:color w:val="365F91"/>
          <w:sz w:val="20"/>
          <w:szCs w:val="20"/>
        </w:rPr>
        <w:t>1</w:t>
      </w:r>
      <w:r w:rsidR="004042AE" w:rsidRPr="00247552">
        <w:rPr>
          <w:rFonts w:ascii="Lato" w:hAnsi="Lato"/>
          <w:color w:val="365F91"/>
          <w:sz w:val="20"/>
          <w:szCs w:val="20"/>
        </w:rPr>
        <w:fldChar w:fldCharType="end"/>
      </w:r>
      <w:r w:rsidR="005430ED" w:rsidRPr="00247552">
        <w:rPr>
          <w:rFonts w:ascii="Lato" w:hAnsi="Lato"/>
          <w:color w:val="365F91"/>
          <w:sz w:val="20"/>
          <w:szCs w:val="20"/>
        </w:rPr>
        <w:noBreakHyphen/>
      </w:r>
      <w:r w:rsidR="004042AE" w:rsidRPr="00247552">
        <w:rPr>
          <w:rFonts w:ascii="Lato" w:hAnsi="Lato"/>
          <w:color w:val="365F91"/>
          <w:sz w:val="20"/>
          <w:szCs w:val="20"/>
        </w:rPr>
        <w:fldChar w:fldCharType="begin"/>
      </w:r>
      <w:r w:rsidR="005430ED" w:rsidRPr="00247552">
        <w:rPr>
          <w:rFonts w:ascii="Lato" w:hAnsi="Lato"/>
          <w:color w:val="365F91"/>
          <w:sz w:val="20"/>
          <w:szCs w:val="20"/>
        </w:rPr>
        <w:instrText xml:space="preserve"> SEQ Rysunek \* ARABIC \s 1 </w:instrText>
      </w:r>
      <w:r w:rsidR="004042AE" w:rsidRPr="00247552">
        <w:rPr>
          <w:rFonts w:ascii="Lato" w:hAnsi="Lato"/>
          <w:color w:val="365F91"/>
          <w:sz w:val="20"/>
          <w:szCs w:val="20"/>
        </w:rPr>
        <w:fldChar w:fldCharType="separate"/>
      </w:r>
      <w:r w:rsidR="0040205B">
        <w:rPr>
          <w:rFonts w:ascii="Lato" w:hAnsi="Lato"/>
          <w:noProof/>
          <w:color w:val="365F91"/>
          <w:sz w:val="20"/>
          <w:szCs w:val="20"/>
        </w:rPr>
        <w:t>10</w:t>
      </w:r>
      <w:r w:rsidR="004042AE" w:rsidRPr="00247552">
        <w:rPr>
          <w:rFonts w:ascii="Lato" w:hAnsi="Lato"/>
          <w:color w:val="365F91"/>
          <w:sz w:val="20"/>
          <w:szCs w:val="20"/>
        </w:rPr>
        <w:fldChar w:fldCharType="end"/>
      </w:r>
      <w:r w:rsidRPr="00247552">
        <w:rPr>
          <w:rFonts w:ascii="Lato" w:hAnsi="Lato"/>
          <w:color w:val="365F91"/>
          <w:sz w:val="20"/>
          <w:szCs w:val="20"/>
        </w:rPr>
        <w:t xml:space="preserve"> Udział liczby mieszkań z piecami w poszczególnych grupach wiekowych</w:t>
      </w:r>
      <w:bookmarkEnd w:id="83"/>
    </w:p>
    <w:p w:rsidR="00A33898" w:rsidRPr="00247552" w:rsidRDefault="00A33898" w:rsidP="00A33898">
      <w:pPr>
        <w:jc w:val="center"/>
        <w:rPr>
          <w:rFonts w:ascii="Lato" w:hAnsi="Lato"/>
          <w:i/>
          <w:sz w:val="20"/>
          <w:lang w:eastAsia="x-none"/>
        </w:rPr>
      </w:pPr>
      <w:r w:rsidRPr="00247552">
        <w:rPr>
          <w:rFonts w:ascii="Lato" w:hAnsi="Lato"/>
          <w:i/>
          <w:sz w:val="20"/>
          <w:lang w:eastAsia="x-none"/>
        </w:rPr>
        <w:t xml:space="preserve">Źródło: </w:t>
      </w:r>
      <w:r w:rsidR="006774CA" w:rsidRPr="00247552">
        <w:rPr>
          <w:rFonts w:ascii="Lato" w:hAnsi="Lato"/>
          <w:i/>
          <w:sz w:val="20"/>
          <w:lang w:eastAsia="x-none"/>
        </w:rPr>
        <w:t xml:space="preserve"> GUS</w:t>
      </w:r>
    </w:p>
    <w:p w:rsidR="0008797A" w:rsidRPr="00A778EE" w:rsidRDefault="0008797A" w:rsidP="00AB431C">
      <w:pPr>
        <w:pStyle w:val="Nagwek4"/>
        <w:numPr>
          <w:ilvl w:val="3"/>
          <w:numId w:val="38"/>
        </w:numPr>
        <w:ind w:left="851" w:right="52" w:hanging="851"/>
        <w:jc w:val="both"/>
        <w:rPr>
          <w:rFonts w:ascii="Lato" w:hAnsi="Lato"/>
          <w:b w:val="0"/>
          <w:i w:val="0"/>
          <w:color w:val="365F91"/>
          <w:sz w:val="22"/>
          <w:szCs w:val="22"/>
        </w:rPr>
      </w:pPr>
      <w:r w:rsidRPr="00A778EE">
        <w:rPr>
          <w:rFonts w:ascii="Lato" w:hAnsi="Lato"/>
          <w:b w:val="0"/>
          <w:i w:val="0"/>
          <w:color w:val="365F91"/>
          <w:sz w:val="22"/>
          <w:szCs w:val="22"/>
        </w:rPr>
        <w:t xml:space="preserve">Obiekty użyteczności publicznej </w:t>
      </w:r>
    </w:p>
    <w:p w:rsidR="00861E30" w:rsidRPr="000F2422" w:rsidRDefault="00861E30" w:rsidP="00861E30">
      <w:pPr>
        <w:pStyle w:val="bulety"/>
        <w:spacing w:before="0" w:after="0" w:line="312" w:lineRule="auto"/>
        <w:ind w:firstLine="709"/>
        <w:rPr>
          <w:rFonts w:ascii="Lato" w:hAnsi="Lato" w:cs="Tahoma"/>
          <w:snapToGrid/>
          <w:szCs w:val="24"/>
        </w:rPr>
      </w:pPr>
      <w:r w:rsidRPr="000F2422">
        <w:rPr>
          <w:rFonts w:ascii="Lato" w:hAnsi="Lato" w:cs="Tahoma"/>
          <w:snapToGrid/>
          <w:szCs w:val="24"/>
        </w:rPr>
        <w:t>Na obszarze gminy znajdują się budynki użyteczności publicznej o zróżnicowanym przeznaczeniu, wieku i technologii wykonania</w:t>
      </w:r>
      <w:r w:rsidRPr="000F2422">
        <w:rPr>
          <w:rFonts w:ascii="Lato" w:hAnsi="Lato" w:cs="Tahoma"/>
        </w:rPr>
        <w:t xml:space="preserve">. </w:t>
      </w:r>
      <w:r w:rsidRPr="000F2422">
        <w:rPr>
          <w:rFonts w:ascii="Lato" w:hAnsi="Lato" w:cs="Tahoma"/>
          <w:snapToGrid/>
          <w:szCs w:val="24"/>
        </w:rPr>
        <w:t>W poniższej tabeli przedstawiono gminne obiekty użyteczności publicznej na terenie gminy oraz obiekty służby zdrowia.</w:t>
      </w:r>
    </w:p>
    <w:p w:rsidR="00861E30" w:rsidRPr="00891A94" w:rsidRDefault="00861E30" w:rsidP="00861E30">
      <w:pPr>
        <w:pStyle w:val="bulety"/>
        <w:spacing w:before="0" w:after="0" w:line="312" w:lineRule="auto"/>
        <w:ind w:firstLine="426"/>
        <w:rPr>
          <w:rFonts w:ascii="Tahoma" w:hAnsi="Tahoma" w:cs="Tahoma"/>
          <w:snapToGrid/>
          <w:szCs w:val="24"/>
          <w:highlight w:val="yellow"/>
        </w:rPr>
      </w:pPr>
    </w:p>
    <w:p w:rsidR="00861E30" w:rsidRPr="00247552" w:rsidRDefault="00861E30" w:rsidP="00861E30">
      <w:pPr>
        <w:pStyle w:val="Legenda"/>
        <w:rPr>
          <w:rFonts w:ascii="Lato" w:hAnsi="Lato"/>
          <w:color w:val="365F91"/>
          <w:sz w:val="20"/>
          <w:szCs w:val="20"/>
        </w:rPr>
      </w:pPr>
      <w:bookmarkStart w:id="84" w:name="_Toc436299922"/>
      <w:bookmarkStart w:id="85" w:name="_Toc20219166"/>
      <w:r w:rsidRPr="00247552">
        <w:rPr>
          <w:rFonts w:ascii="Lato" w:hAnsi="Lato"/>
          <w:color w:val="365F91"/>
          <w:sz w:val="20"/>
          <w:szCs w:val="20"/>
        </w:rPr>
        <w:t xml:space="preserve">Tabela </w:t>
      </w:r>
      <w:r w:rsidRPr="00247552">
        <w:rPr>
          <w:rFonts w:ascii="Lato" w:hAnsi="Lato"/>
          <w:color w:val="365F91"/>
          <w:sz w:val="20"/>
          <w:szCs w:val="20"/>
        </w:rPr>
        <w:fldChar w:fldCharType="begin"/>
      </w:r>
      <w:r w:rsidRPr="00247552">
        <w:rPr>
          <w:rFonts w:ascii="Lato" w:hAnsi="Lato"/>
          <w:color w:val="365F91"/>
          <w:sz w:val="20"/>
          <w:szCs w:val="20"/>
        </w:rPr>
        <w:instrText xml:space="preserve"> STYLEREF 1 \s </w:instrText>
      </w:r>
      <w:r w:rsidRPr="00247552">
        <w:rPr>
          <w:rFonts w:ascii="Lato" w:hAnsi="Lato"/>
          <w:color w:val="365F91"/>
          <w:sz w:val="20"/>
          <w:szCs w:val="20"/>
        </w:rPr>
        <w:fldChar w:fldCharType="separate"/>
      </w:r>
      <w:r w:rsidR="0040205B">
        <w:rPr>
          <w:rFonts w:ascii="Lato" w:hAnsi="Lato"/>
          <w:noProof/>
          <w:color w:val="365F91"/>
          <w:sz w:val="20"/>
          <w:szCs w:val="20"/>
        </w:rPr>
        <w:t>1</w:t>
      </w:r>
      <w:r w:rsidRPr="00247552">
        <w:rPr>
          <w:rFonts w:ascii="Lato" w:hAnsi="Lato"/>
          <w:color w:val="365F91"/>
          <w:sz w:val="20"/>
          <w:szCs w:val="20"/>
        </w:rPr>
        <w:fldChar w:fldCharType="end"/>
      </w:r>
      <w:r w:rsidRPr="00247552">
        <w:rPr>
          <w:rFonts w:ascii="Lato" w:hAnsi="Lato"/>
          <w:color w:val="365F91"/>
          <w:sz w:val="20"/>
          <w:szCs w:val="20"/>
        </w:rPr>
        <w:noBreakHyphen/>
      </w:r>
      <w:r w:rsidRPr="00247552">
        <w:rPr>
          <w:rFonts w:ascii="Lato" w:hAnsi="Lato"/>
          <w:color w:val="365F91"/>
          <w:sz w:val="20"/>
          <w:szCs w:val="20"/>
        </w:rPr>
        <w:fldChar w:fldCharType="begin"/>
      </w:r>
      <w:r w:rsidRPr="00247552">
        <w:rPr>
          <w:rFonts w:ascii="Lato" w:hAnsi="Lato"/>
          <w:color w:val="365F91"/>
          <w:sz w:val="20"/>
          <w:szCs w:val="20"/>
        </w:rPr>
        <w:instrText xml:space="preserve"> SEQ Tabela \* ARABIC \s 1 </w:instrText>
      </w:r>
      <w:r w:rsidRPr="00247552">
        <w:rPr>
          <w:rFonts w:ascii="Lato" w:hAnsi="Lato"/>
          <w:color w:val="365F91"/>
          <w:sz w:val="20"/>
          <w:szCs w:val="20"/>
        </w:rPr>
        <w:fldChar w:fldCharType="separate"/>
      </w:r>
      <w:r w:rsidR="0040205B">
        <w:rPr>
          <w:rFonts w:ascii="Lato" w:hAnsi="Lato"/>
          <w:noProof/>
          <w:color w:val="365F91"/>
          <w:sz w:val="20"/>
          <w:szCs w:val="20"/>
        </w:rPr>
        <w:t>7</w:t>
      </w:r>
      <w:r w:rsidRPr="00247552">
        <w:rPr>
          <w:rFonts w:ascii="Lato" w:hAnsi="Lato"/>
          <w:color w:val="365F91"/>
          <w:sz w:val="20"/>
          <w:szCs w:val="20"/>
        </w:rPr>
        <w:fldChar w:fldCharType="end"/>
      </w:r>
      <w:r w:rsidRPr="00247552">
        <w:rPr>
          <w:rFonts w:ascii="Lato" w:hAnsi="Lato"/>
          <w:color w:val="365F91"/>
          <w:sz w:val="20"/>
          <w:szCs w:val="20"/>
        </w:rPr>
        <w:t xml:space="preserve"> Obiekty użyteczności publicznej na terenie gminy</w:t>
      </w:r>
      <w:bookmarkEnd w:id="84"/>
      <w:bookmarkEnd w:id="85"/>
    </w:p>
    <w:tbl>
      <w:tblPr>
        <w:tblStyle w:val="TableNormal"/>
        <w:tblW w:w="5000" w:type="pct"/>
        <w:tblLook w:val="01E0" w:firstRow="1" w:lastRow="1" w:firstColumn="1" w:lastColumn="1" w:noHBand="0" w:noVBand="0"/>
      </w:tblPr>
      <w:tblGrid>
        <w:gridCol w:w="863"/>
        <w:gridCol w:w="6121"/>
        <w:gridCol w:w="2441"/>
      </w:tblGrid>
      <w:tr w:rsidR="003513B9" w:rsidTr="003513B9">
        <w:trPr>
          <w:trHeight w:hRule="exact" w:val="671"/>
        </w:trPr>
        <w:tc>
          <w:tcPr>
            <w:tcW w:w="458" w:type="pct"/>
            <w:tcBorders>
              <w:top w:val="single" w:sz="5" w:space="0" w:color="4F81BC"/>
              <w:left w:val="single" w:sz="5" w:space="0" w:color="4F81BC"/>
              <w:bottom w:val="single" w:sz="5" w:space="0" w:color="4F81BC"/>
              <w:right w:val="single" w:sz="5" w:space="0" w:color="4F81BC"/>
            </w:tcBorders>
            <w:shd w:val="clear" w:color="auto" w:fill="DCE6F0"/>
          </w:tcPr>
          <w:p w:rsidR="003513B9" w:rsidRDefault="003513B9" w:rsidP="002B07AD">
            <w:pPr>
              <w:pStyle w:val="TableParagraph"/>
              <w:spacing w:before="192"/>
              <w:jc w:val="center"/>
              <w:rPr>
                <w:rFonts w:cs="Calibri"/>
              </w:rPr>
            </w:pPr>
            <w:r>
              <w:rPr>
                <w:color w:val="1F487C"/>
                <w:spacing w:val="-1"/>
              </w:rPr>
              <w:t>Lp.</w:t>
            </w:r>
          </w:p>
        </w:tc>
        <w:tc>
          <w:tcPr>
            <w:tcW w:w="3246" w:type="pct"/>
            <w:tcBorders>
              <w:top w:val="single" w:sz="5" w:space="0" w:color="4F81BC"/>
              <w:left w:val="single" w:sz="5" w:space="0" w:color="4F81BC"/>
              <w:bottom w:val="single" w:sz="5" w:space="0" w:color="4F81BC"/>
              <w:right w:val="single" w:sz="5" w:space="0" w:color="4F81BC"/>
            </w:tcBorders>
            <w:shd w:val="clear" w:color="auto" w:fill="DCE6F0"/>
          </w:tcPr>
          <w:p w:rsidR="003513B9" w:rsidRDefault="003513B9" w:rsidP="002B07AD">
            <w:pPr>
              <w:pStyle w:val="TableParagraph"/>
              <w:spacing w:before="192"/>
              <w:ind w:left="7"/>
              <w:jc w:val="center"/>
              <w:rPr>
                <w:rFonts w:cs="Calibri"/>
              </w:rPr>
            </w:pPr>
            <w:r>
              <w:rPr>
                <w:color w:val="1F487C"/>
                <w:spacing w:val="-1"/>
              </w:rPr>
              <w:t>Nazwa</w:t>
            </w:r>
            <w:r>
              <w:rPr>
                <w:color w:val="1F487C"/>
              </w:rPr>
              <w:t xml:space="preserve"> </w:t>
            </w:r>
            <w:r>
              <w:rPr>
                <w:color w:val="1F487C"/>
                <w:spacing w:val="-1"/>
              </w:rPr>
              <w:t>obiektu</w:t>
            </w:r>
          </w:p>
        </w:tc>
        <w:tc>
          <w:tcPr>
            <w:tcW w:w="1295" w:type="pct"/>
            <w:tcBorders>
              <w:top w:val="single" w:sz="5" w:space="0" w:color="4F81BC"/>
              <w:left w:val="single" w:sz="5" w:space="0" w:color="4F81BC"/>
              <w:bottom w:val="single" w:sz="5" w:space="0" w:color="4F81BC"/>
              <w:right w:val="single" w:sz="5" w:space="0" w:color="4F81BC"/>
            </w:tcBorders>
            <w:shd w:val="clear" w:color="auto" w:fill="DCE6F0"/>
          </w:tcPr>
          <w:p w:rsidR="003513B9" w:rsidRDefault="003513B9" w:rsidP="002B07AD">
            <w:pPr>
              <w:pStyle w:val="TableParagraph"/>
              <w:spacing w:before="192"/>
              <w:ind w:left="2"/>
              <w:jc w:val="center"/>
              <w:rPr>
                <w:rFonts w:cs="Calibri"/>
              </w:rPr>
            </w:pPr>
            <w:r>
              <w:rPr>
                <w:color w:val="1F487C"/>
                <w:spacing w:val="-1"/>
              </w:rPr>
              <w:t>Adres</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0"/>
              <w:ind w:left="1"/>
              <w:jc w:val="center"/>
              <w:rPr>
                <w:rFonts w:cs="Calibri"/>
              </w:rPr>
            </w:pPr>
            <w:r>
              <w:rPr>
                <w:color w:val="1F487C"/>
              </w:rPr>
              <w:t>1</w:t>
            </w:r>
          </w:p>
        </w:tc>
        <w:tc>
          <w:tcPr>
            <w:tcW w:w="3246" w:type="pct"/>
            <w:tcBorders>
              <w:top w:val="single" w:sz="5" w:space="0" w:color="4F81BC"/>
              <w:left w:val="single" w:sz="5" w:space="0" w:color="4F81BC"/>
              <w:bottom w:val="single" w:sz="5" w:space="0" w:color="4F81BC"/>
              <w:right w:val="single" w:sz="5" w:space="0" w:color="4F81BC"/>
            </w:tcBorders>
          </w:tcPr>
          <w:p w:rsidR="003513B9" w:rsidRPr="003513B9" w:rsidRDefault="003513B9" w:rsidP="002B07AD">
            <w:pPr>
              <w:pStyle w:val="TableParagraph"/>
              <w:spacing w:before="10"/>
              <w:ind w:left="66"/>
              <w:rPr>
                <w:rFonts w:cs="Calibri"/>
                <w:lang w:val="pl-PL"/>
              </w:rPr>
            </w:pPr>
            <w:r w:rsidRPr="003513B9">
              <w:rPr>
                <w:color w:val="1F487C"/>
                <w:spacing w:val="-1"/>
                <w:lang w:val="pl-PL"/>
              </w:rPr>
              <w:t>Gimnazjum</w:t>
            </w:r>
            <w:r w:rsidRPr="003513B9">
              <w:rPr>
                <w:color w:val="1F487C"/>
                <w:spacing w:val="-2"/>
                <w:lang w:val="pl-PL"/>
              </w:rPr>
              <w:t xml:space="preserve"> </w:t>
            </w:r>
            <w:r w:rsidRPr="003513B9">
              <w:rPr>
                <w:color w:val="1F487C"/>
                <w:lang w:val="pl-PL"/>
              </w:rPr>
              <w:t xml:space="preserve">im. </w:t>
            </w:r>
            <w:r w:rsidRPr="003513B9">
              <w:rPr>
                <w:color w:val="1F487C"/>
                <w:spacing w:val="-1"/>
                <w:lang w:val="pl-PL"/>
              </w:rPr>
              <w:t>Adama</w:t>
            </w:r>
            <w:r w:rsidRPr="003513B9">
              <w:rPr>
                <w:color w:val="1F487C"/>
                <w:spacing w:val="-2"/>
                <w:lang w:val="pl-PL"/>
              </w:rPr>
              <w:t xml:space="preserve"> </w:t>
            </w:r>
            <w:r w:rsidRPr="003513B9">
              <w:rPr>
                <w:color w:val="1F487C"/>
                <w:spacing w:val="-1"/>
                <w:lang w:val="pl-PL"/>
              </w:rPr>
              <w:t>Mickiewicza</w:t>
            </w:r>
            <w:r w:rsidRPr="003513B9">
              <w:rPr>
                <w:color w:val="1F487C"/>
                <w:spacing w:val="-2"/>
                <w:lang w:val="pl-PL"/>
              </w:rPr>
              <w:t xml:space="preserve"> </w:t>
            </w:r>
            <w:r w:rsidRPr="003513B9">
              <w:rPr>
                <w:color w:val="1F487C"/>
                <w:lang w:val="pl-PL"/>
              </w:rPr>
              <w:t>w</w:t>
            </w:r>
            <w:r w:rsidRPr="003513B9">
              <w:rPr>
                <w:color w:val="1F487C"/>
                <w:spacing w:val="-2"/>
                <w:lang w:val="pl-PL"/>
              </w:rPr>
              <w:t xml:space="preserve"> </w:t>
            </w:r>
            <w:r w:rsidRPr="003513B9">
              <w:rPr>
                <w:color w:val="1F487C"/>
                <w:spacing w:val="-1"/>
                <w:lang w:val="pl-PL"/>
              </w:rPr>
              <w:t>Piątkowisku</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0"/>
              <w:ind w:left="66"/>
              <w:rPr>
                <w:rFonts w:cs="Calibri"/>
              </w:rPr>
            </w:pPr>
            <w:r>
              <w:rPr>
                <w:color w:val="1F487C"/>
                <w:spacing w:val="-1"/>
              </w:rPr>
              <w:t>Piątkowisko</w:t>
            </w:r>
            <w:r>
              <w:rPr>
                <w:color w:val="1F487C"/>
                <w:spacing w:val="1"/>
              </w:rPr>
              <w:t xml:space="preserve"> </w:t>
            </w:r>
            <w:r>
              <w:rPr>
                <w:color w:val="1F487C"/>
                <w:spacing w:val="-1"/>
              </w:rPr>
              <w:t>107</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1"/>
              <w:jc w:val="center"/>
              <w:rPr>
                <w:rFonts w:cs="Calibri"/>
              </w:rPr>
            </w:pPr>
            <w:r>
              <w:rPr>
                <w:color w:val="1F487C"/>
              </w:rPr>
              <w:t>2</w:t>
            </w:r>
          </w:p>
        </w:tc>
        <w:tc>
          <w:tcPr>
            <w:tcW w:w="3246" w:type="pct"/>
            <w:tcBorders>
              <w:top w:val="single" w:sz="5" w:space="0" w:color="4F81BC"/>
              <w:left w:val="single" w:sz="5" w:space="0" w:color="4F81BC"/>
              <w:bottom w:val="single" w:sz="5" w:space="0" w:color="4F81BC"/>
              <w:right w:val="single" w:sz="5" w:space="0" w:color="4F81BC"/>
            </w:tcBorders>
          </w:tcPr>
          <w:p w:rsidR="003513B9" w:rsidRPr="003513B9" w:rsidRDefault="003513B9" w:rsidP="002B07AD">
            <w:pPr>
              <w:pStyle w:val="TableParagraph"/>
              <w:spacing w:before="12"/>
              <w:ind w:left="66"/>
              <w:rPr>
                <w:rFonts w:cs="Calibri"/>
                <w:lang w:val="pl-PL"/>
              </w:rPr>
            </w:pPr>
            <w:r w:rsidRPr="003513B9">
              <w:rPr>
                <w:color w:val="1F487C"/>
                <w:spacing w:val="-1"/>
                <w:lang w:val="pl-PL"/>
              </w:rPr>
              <w:t>Szkoła</w:t>
            </w:r>
            <w:r w:rsidRPr="003513B9">
              <w:rPr>
                <w:color w:val="1F487C"/>
                <w:spacing w:val="-2"/>
                <w:lang w:val="pl-PL"/>
              </w:rPr>
              <w:t xml:space="preserve"> </w:t>
            </w:r>
            <w:r w:rsidRPr="003513B9">
              <w:rPr>
                <w:color w:val="1F487C"/>
                <w:spacing w:val="-1"/>
                <w:lang w:val="pl-PL"/>
              </w:rPr>
              <w:t>Podstawowa</w:t>
            </w:r>
            <w:r w:rsidRPr="003513B9">
              <w:rPr>
                <w:color w:val="1F487C"/>
                <w:lang w:val="pl-PL"/>
              </w:rPr>
              <w:t xml:space="preserve"> </w:t>
            </w:r>
            <w:r w:rsidRPr="003513B9">
              <w:rPr>
                <w:color w:val="1F487C"/>
                <w:spacing w:val="-1"/>
                <w:lang w:val="pl-PL"/>
              </w:rPr>
              <w:t>im.</w:t>
            </w:r>
            <w:r w:rsidRPr="003513B9">
              <w:rPr>
                <w:color w:val="1F487C"/>
                <w:lang w:val="pl-PL"/>
              </w:rPr>
              <w:t xml:space="preserve"> </w:t>
            </w:r>
            <w:r w:rsidRPr="003513B9">
              <w:rPr>
                <w:color w:val="1F487C"/>
                <w:spacing w:val="-1"/>
                <w:lang w:val="pl-PL"/>
              </w:rPr>
              <w:t>Kornela</w:t>
            </w:r>
            <w:r w:rsidRPr="003513B9">
              <w:rPr>
                <w:color w:val="1F487C"/>
                <w:lang w:val="pl-PL"/>
              </w:rPr>
              <w:t xml:space="preserve"> </w:t>
            </w:r>
            <w:r w:rsidRPr="003513B9">
              <w:rPr>
                <w:color w:val="1F487C"/>
                <w:spacing w:val="-1"/>
                <w:lang w:val="pl-PL"/>
              </w:rPr>
              <w:t>Makuszyńskiego</w:t>
            </w:r>
            <w:r w:rsidRPr="003513B9">
              <w:rPr>
                <w:color w:val="1F487C"/>
                <w:spacing w:val="-2"/>
                <w:lang w:val="pl-PL"/>
              </w:rPr>
              <w:t xml:space="preserve"> </w:t>
            </w:r>
            <w:r w:rsidRPr="003513B9">
              <w:rPr>
                <w:color w:val="1F487C"/>
                <w:lang w:val="pl-PL"/>
              </w:rPr>
              <w:t>w</w:t>
            </w:r>
            <w:r w:rsidRPr="003513B9">
              <w:rPr>
                <w:color w:val="1F487C"/>
                <w:spacing w:val="1"/>
                <w:lang w:val="pl-PL"/>
              </w:rPr>
              <w:t xml:space="preserve"> </w:t>
            </w:r>
            <w:r w:rsidRPr="003513B9">
              <w:rPr>
                <w:color w:val="1F487C"/>
                <w:spacing w:val="-1"/>
                <w:lang w:val="pl-PL"/>
              </w:rPr>
              <w:t>Bychlewie</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Bychlew</w:t>
            </w:r>
            <w:r>
              <w:rPr>
                <w:color w:val="1F487C"/>
                <w:spacing w:val="1"/>
              </w:rPr>
              <w:t xml:space="preserve"> </w:t>
            </w:r>
            <w:r>
              <w:rPr>
                <w:color w:val="1F487C"/>
                <w:spacing w:val="-1"/>
              </w:rPr>
              <w:t>13</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1"/>
              <w:jc w:val="center"/>
              <w:rPr>
                <w:rFonts w:cs="Calibri"/>
              </w:rPr>
            </w:pPr>
            <w:r>
              <w:rPr>
                <w:color w:val="1F487C"/>
              </w:rPr>
              <w:t>3</w:t>
            </w:r>
          </w:p>
        </w:tc>
        <w:tc>
          <w:tcPr>
            <w:tcW w:w="3246" w:type="pct"/>
            <w:tcBorders>
              <w:top w:val="single" w:sz="5" w:space="0" w:color="4F81BC"/>
              <w:left w:val="single" w:sz="5" w:space="0" w:color="4F81BC"/>
              <w:bottom w:val="single" w:sz="5" w:space="0" w:color="4F81BC"/>
              <w:right w:val="single" w:sz="5" w:space="0" w:color="4F81BC"/>
            </w:tcBorders>
          </w:tcPr>
          <w:p w:rsidR="003513B9" w:rsidRPr="003513B9" w:rsidRDefault="003513B9" w:rsidP="002B07AD">
            <w:pPr>
              <w:pStyle w:val="TableParagraph"/>
              <w:spacing w:before="12"/>
              <w:ind w:left="66"/>
              <w:rPr>
                <w:rFonts w:cs="Calibri"/>
                <w:lang w:val="pl-PL"/>
              </w:rPr>
            </w:pPr>
            <w:r w:rsidRPr="003513B9">
              <w:rPr>
                <w:color w:val="1F487C"/>
                <w:lang w:val="pl-PL"/>
              </w:rPr>
              <w:t>Zespół</w:t>
            </w:r>
            <w:r w:rsidRPr="003513B9">
              <w:rPr>
                <w:color w:val="1F487C"/>
                <w:spacing w:val="-2"/>
                <w:lang w:val="pl-PL"/>
              </w:rPr>
              <w:t xml:space="preserve"> </w:t>
            </w:r>
            <w:r w:rsidRPr="003513B9">
              <w:rPr>
                <w:color w:val="1F487C"/>
                <w:spacing w:val="-1"/>
                <w:lang w:val="pl-PL"/>
              </w:rPr>
              <w:t>Szkolno-Przedszkolny</w:t>
            </w:r>
            <w:r w:rsidRPr="003513B9">
              <w:rPr>
                <w:color w:val="1F487C"/>
                <w:lang w:val="pl-PL"/>
              </w:rPr>
              <w:t xml:space="preserve"> w</w:t>
            </w:r>
            <w:r w:rsidRPr="003513B9">
              <w:rPr>
                <w:color w:val="1F487C"/>
                <w:spacing w:val="-2"/>
                <w:lang w:val="pl-PL"/>
              </w:rPr>
              <w:t xml:space="preserve"> </w:t>
            </w:r>
            <w:r w:rsidRPr="003513B9">
              <w:rPr>
                <w:color w:val="1F487C"/>
                <w:spacing w:val="-1"/>
                <w:lang w:val="pl-PL"/>
              </w:rPr>
              <w:t>Piątkowisku</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Żytowice</w:t>
            </w:r>
            <w:r>
              <w:rPr>
                <w:color w:val="1F487C"/>
              </w:rPr>
              <w:t xml:space="preserve"> </w:t>
            </w:r>
            <w:r>
              <w:rPr>
                <w:color w:val="1F487C"/>
                <w:spacing w:val="-1"/>
              </w:rPr>
              <w:t>34</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1"/>
              <w:jc w:val="center"/>
              <w:rPr>
                <w:rFonts w:cs="Calibri"/>
              </w:rPr>
            </w:pPr>
            <w:r>
              <w:rPr>
                <w:color w:val="1F487C"/>
              </w:rPr>
              <w:t>4</w:t>
            </w:r>
          </w:p>
        </w:tc>
        <w:tc>
          <w:tcPr>
            <w:tcW w:w="3246"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Szkoła</w:t>
            </w:r>
            <w:r>
              <w:rPr>
                <w:color w:val="1F487C"/>
                <w:spacing w:val="-2"/>
              </w:rPr>
              <w:t xml:space="preserve"> </w:t>
            </w:r>
            <w:r>
              <w:rPr>
                <w:color w:val="1F487C"/>
                <w:spacing w:val="-1"/>
              </w:rPr>
              <w:t>Podstawowa</w:t>
            </w:r>
            <w:r>
              <w:rPr>
                <w:color w:val="1F487C"/>
              </w:rPr>
              <w:t xml:space="preserve"> w</w:t>
            </w:r>
            <w:r>
              <w:rPr>
                <w:color w:val="1F487C"/>
                <w:spacing w:val="-2"/>
              </w:rPr>
              <w:t xml:space="preserve"> </w:t>
            </w:r>
            <w:r>
              <w:rPr>
                <w:color w:val="1F487C"/>
                <w:spacing w:val="-1"/>
              </w:rPr>
              <w:t>Pawlikowicach</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Pawlikowice 103</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1"/>
              <w:jc w:val="center"/>
              <w:rPr>
                <w:rFonts w:cs="Calibri"/>
              </w:rPr>
            </w:pPr>
            <w:r>
              <w:rPr>
                <w:color w:val="1F487C"/>
              </w:rPr>
              <w:t>5</w:t>
            </w:r>
          </w:p>
        </w:tc>
        <w:tc>
          <w:tcPr>
            <w:tcW w:w="3246"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Szkoła</w:t>
            </w:r>
            <w:r>
              <w:rPr>
                <w:color w:val="1F487C"/>
                <w:spacing w:val="-2"/>
              </w:rPr>
              <w:t xml:space="preserve"> </w:t>
            </w:r>
            <w:r>
              <w:rPr>
                <w:color w:val="1F487C"/>
                <w:spacing w:val="-1"/>
              </w:rPr>
              <w:t>Podstawowa</w:t>
            </w:r>
            <w:r>
              <w:rPr>
                <w:color w:val="1F487C"/>
              </w:rPr>
              <w:t xml:space="preserve"> w</w:t>
            </w:r>
            <w:r>
              <w:rPr>
                <w:color w:val="1F487C"/>
                <w:spacing w:val="-2"/>
              </w:rPr>
              <w:t xml:space="preserve"> </w:t>
            </w:r>
            <w:r>
              <w:rPr>
                <w:color w:val="1F487C"/>
                <w:spacing w:val="-1"/>
              </w:rPr>
              <w:t>Petrykozach</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Petrykozy</w:t>
            </w:r>
            <w:r>
              <w:rPr>
                <w:color w:val="1F487C"/>
                <w:spacing w:val="-2"/>
              </w:rPr>
              <w:t xml:space="preserve"> </w:t>
            </w:r>
            <w:r>
              <w:rPr>
                <w:color w:val="1F487C"/>
              </w:rPr>
              <w:t>52</w:t>
            </w:r>
          </w:p>
        </w:tc>
      </w:tr>
      <w:tr w:rsidR="003513B9" w:rsidTr="003513B9">
        <w:trPr>
          <w:trHeight w:hRule="exact" w:val="313"/>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1"/>
              <w:jc w:val="center"/>
              <w:rPr>
                <w:rFonts w:cs="Calibri"/>
              </w:rPr>
            </w:pPr>
            <w:r>
              <w:rPr>
                <w:color w:val="1F487C"/>
              </w:rPr>
              <w:t>6</w:t>
            </w:r>
          </w:p>
        </w:tc>
        <w:tc>
          <w:tcPr>
            <w:tcW w:w="3246" w:type="pct"/>
            <w:tcBorders>
              <w:top w:val="single" w:sz="5" w:space="0" w:color="4F81BC"/>
              <w:left w:val="single" w:sz="5" w:space="0" w:color="4F81BC"/>
              <w:bottom w:val="single" w:sz="5" w:space="0" w:color="4F81BC"/>
              <w:right w:val="single" w:sz="5" w:space="0" w:color="4F81BC"/>
            </w:tcBorders>
          </w:tcPr>
          <w:p w:rsidR="003513B9" w:rsidRPr="003513B9" w:rsidRDefault="003513B9" w:rsidP="002B07AD">
            <w:pPr>
              <w:pStyle w:val="TableParagraph"/>
              <w:spacing w:before="12"/>
              <w:ind w:left="66"/>
              <w:rPr>
                <w:rFonts w:cs="Calibri"/>
                <w:lang w:val="pl-PL"/>
              </w:rPr>
            </w:pPr>
            <w:r w:rsidRPr="003513B9">
              <w:rPr>
                <w:color w:val="1F487C"/>
                <w:lang w:val="pl-PL"/>
              </w:rPr>
              <w:t>PZOZ</w:t>
            </w:r>
            <w:r w:rsidRPr="003513B9">
              <w:rPr>
                <w:color w:val="1F487C"/>
                <w:spacing w:val="-2"/>
                <w:lang w:val="pl-PL"/>
              </w:rPr>
              <w:t xml:space="preserve"> </w:t>
            </w:r>
            <w:r w:rsidRPr="003513B9">
              <w:rPr>
                <w:color w:val="1F487C"/>
                <w:spacing w:val="-1"/>
                <w:lang w:val="pl-PL"/>
              </w:rPr>
              <w:t>Gminny</w:t>
            </w:r>
            <w:r w:rsidRPr="003513B9">
              <w:rPr>
                <w:color w:val="1F487C"/>
                <w:spacing w:val="-2"/>
                <w:lang w:val="pl-PL"/>
              </w:rPr>
              <w:t xml:space="preserve"> </w:t>
            </w:r>
            <w:r w:rsidRPr="003513B9">
              <w:rPr>
                <w:color w:val="1F487C"/>
                <w:spacing w:val="-1"/>
                <w:lang w:val="pl-PL"/>
              </w:rPr>
              <w:t>Ośrodek</w:t>
            </w:r>
            <w:r w:rsidRPr="003513B9">
              <w:rPr>
                <w:color w:val="1F487C"/>
                <w:spacing w:val="-2"/>
                <w:lang w:val="pl-PL"/>
              </w:rPr>
              <w:t xml:space="preserve"> </w:t>
            </w:r>
            <w:r w:rsidRPr="003513B9">
              <w:rPr>
                <w:color w:val="1F487C"/>
                <w:spacing w:val="-1"/>
                <w:lang w:val="pl-PL"/>
              </w:rPr>
              <w:t>Zdrowia</w:t>
            </w:r>
            <w:r w:rsidRPr="003513B9">
              <w:rPr>
                <w:color w:val="1F487C"/>
                <w:spacing w:val="-2"/>
                <w:lang w:val="pl-PL"/>
              </w:rPr>
              <w:t xml:space="preserve"> </w:t>
            </w:r>
            <w:r w:rsidRPr="003513B9">
              <w:rPr>
                <w:color w:val="1F487C"/>
                <w:lang w:val="pl-PL"/>
              </w:rPr>
              <w:t>w</w:t>
            </w:r>
            <w:r w:rsidRPr="003513B9">
              <w:rPr>
                <w:color w:val="1F487C"/>
                <w:spacing w:val="-2"/>
                <w:lang w:val="pl-PL"/>
              </w:rPr>
              <w:t xml:space="preserve"> </w:t>
            </w:r>
            <w:r w:rsidRPr="003513B9">
              <w:rPr>
                <w:color w:val="1F487C"/>
                <w:spacing w:val="-1"/>
                <w:lang w:val="pl-PL"/>
              </w:rPr>
              <w:t>Petrykozach</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Petrykozy</w:t>
            </w:r>
            <w:r>
              <w:rPr>
                <w:color w:val="1F487C"/>
                <w:spacing w:val="-2"/>
              </w:rPr>
              <w:t xml:space="preserve"> </w:t>
            </w:r>
            <w:r>
              <w:rPr>
                <w:color w:val="1F487C"/>
              </w:rPr>
              <w:t>21</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0"/>
              <w:ind w:left="1"/>
              <w:jc w:val="center"/>
              <w:rPr>
                <w:rFonts w:cs="Calibri"/>
              </w:rPr>
            </w:pPr>
            <w:r>
              <w:rPr>
                <w:color w:val="1F487C"/>
              </w:rPr>
              <w:t>7</w:t>
            </w:r>
          </w:p>
        </w:tc>
        <w:tc>
          <w:tcPr>
            <w:tcW w:w="3246" w:type="pct"/>
            <w:tcBorders>
              <w:top w:val="single" w:sz="5" w:space="0" w:color="4F81BC"/>
              <w:left w:val="single" w:sz="5" w:space="0" w:color="4F81BC"/>
              <w:bottom w:val="single" w:sz="5" w:space="0" w:color="4F81BC"/>
              <w:right w:val="single" w:sz="5" w:space="0" w:color="4F81BC"/>
            </w:tcBorders>
          </w:tcPr>
          <w:p w:rsidR="003513B9" w:rsidRPr="003513B9" w:rsidRDefault="003513B9" w:rsidP="002B07AD">
            <w:pPr>
              <w:pStyle w:val="TableParagraph"/>
              <w:spacing w:before="10"/>
              <w:ind w:left="66"/>
              <w:rPr>
                <w:rFonts w:cs="Calibri"/>
                <w:lang w:val="pl-PL"/>
              </w:rPr>
            </w:pPr>
            <w:r w:rsidRPr="003513B9">
              <w:rPr>
                <w:color w:val="1F487C"/>
                <w:lang w:val="pl-PL"/>
              </w:rPr>
              <w:t>PZOZ</w:t>
            </w:r>
            <w:r w:rsidRPr="003513B9">
              <w:rPr>
                <w:color w:val="1F487C"/>
                <w:spacing w:val="-2"/>
                <w:lang w:val="pl-PL"/>
              </w:rPr>
              <w:t xml:space="preserve"> </w:t>
            </w:r>
            <w:r w:rsidRPr="003513B9">
              <w:rPr>
                <w:color w:val="1F487C"/>
                <w:spacing w:val="-1"/>
                <w:lang w:val="pl-PL"/>
              </w:rPr>
              <w:t>Gminny</w:t>
            </w:r>
            <w:r w:rsidRPr="003513B9">
              <w:rPr>
                <w:color w:val="1F487C"/>
                <w:spacing w:val="-2"/>
                <w:lang w:val="pl-PL"/>
              </w:rPr>
              <w:t xml:space="preserve"> </w:t>
            </w:r>
            <w:r w:rsidRPr="003513B9">
              <w:rPr>
                <w:color w:val="1F487C"/>
                <w:spacing w:val="-1"/>
                <w:lang w:val="pl-PL"/>
              </w:rPr>
              <w:t>Ośrodek</w:t>
            </w:r>
            <w:r w:rsidRPr="003513B9">
              <w:rPr>
                <w:color w:val="1F487C"/>
                <w:lang w:val="pl-PL"/>
              </w:rPr>
              <w:t xml:space="preserve"> </w:t>
            </w:r>
            <w:r w:rsidRPr="003513B9">
              <w:rPr>
                <w:color w:val="1F487C"/>
                <w:spacing w:val="-1"/>
                <w:lang w:val="pl-PL"/>
              </w:rPr>
              <w:t>Zdrowia</w:t>
            </w:r>
            <w:r w:rsidRPr="003513B9">
              <w:rPr>
                <w:color w:val="1F487C"/>
                <w:spacing w:val="-2"/>
                <w:lang w:val="pl-PL"/>
              </w:rPr>
              <w:t xml:space="preserve"> </w:t>
            </w:r>
            <w:r w:rsidRPr="003513B9">
              <w:rPr>
                <w:color w:val="1F487C"/>
                <w:lang w:val="pl-PL"/>
              </w:rPr>
              <w:t>w</w:t>
            </w:r>
            <w:r w:rsidRPr="003513B9">
              <w:rPr>
                <w:color w:val="1F487C"/>
                <w:spacing w:val="-2"/>
                <w:lang w:val="pl-PL"/>
              </w:rPr>
              <w:t xml:space="preserve"> </w:t>
            </w:r>
            <w:r w:rsidRPr="003513B9">
              <w:rPr>
                <w:color w:val="1F487C"/>
                <w:spacing w:val="-1"/>
                <w:lang w:val="pl-PL"/>
              </w:rPr>
              <w:t>Pawlikowicach</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0"/>
              <w:ind w:left="66"/>
              <w:rPr>
                <w:rFonts w:cs="Calibri"/>
              </w:rPr>
            </w:pPr>
            <w:r>
              <w:rPr>
                <w:color w:val="1F487C"/>
                <w:spacing w:val="-1"/>
              </w:rPr>
              <w:t xml:space="preserve">Pawlikowice </w:t>
            </w:r>
            <w:r>
              <w:rPr>
                <w:color w:val="1F487C"/>
              </w:rPr>
              <w:t>7</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1"/>
              <w:jc w:val="center"/>
              <w:rPr>
                <w:rFonts w:cs="Calibri"/>
              </w:rPr>
            </w:pPr>
            <w:r>
              <w:rPr>
                <w:color w:val="1F487C"/>
              </w:rPr>
              <w:t>8</w:t>
            </w:r>
          </w:p>
        </w:tc>
        <w:tc>
          <w:tcPr>
            <w:tcW w:w="3246"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 xml:space="preserve">Dom Ludowy </w:t>
            </w:r>
            <w:r>
              <w:rPr>
                <w:color w:val="1F487C"/>
              </w:rPr>
              <w:t>w</w:t>
            </w:r>
            <w:r>
              <w:rPr>
                <w:color w:val="1F487C"/>
                <w:spacing w:val="1"/>
              </w:rPr>
              <w:t xml:space="preserve"> </w:t>
            </w:r>
            <w:r>
              <w:rPr>
                <w:color w:val="1F487C"/>
                <w:spacing w:val="-1"/>
              </w:rPr>
              <w:t>Bychlewie</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Bychlew</w:t>
            </w:r>
            <w:r>
              <w:rPr>
                <w:color w:val="1F487C"/>
                <w:spacing w:val="1"/>
              </w:rPr>
              <w:t xml:space="preserve"> </w:t>
            </w:r>
            <w:r>
              <w:rPr>
                <w:color w:val="1F487C"/>
                <w:spacing w:val="-1"/>
              </w:rPr>
              <w:t>107b</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1"/>
              <w:jc w:val="center"/>
              <w:rPr>
                <w:rFonts w:cs="Calibri"/>
              </w:rPr>
            </w:pPr>
            <w:r>
              <w:rPr>
                <w:color w:val="1F487C"/>
              </w:rPr>
              <w:t>9</w:t>
            </w:r>
          </w:p>
        </w:tc>
        <w:tc>
          <w:tcPr>
            <w:tcW w:w="3246"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rPr>
              <w:t>Świetlica</w:t>
            </w:r>
            <w:r>
              <w:rPr>
                <w:color w:val="1F487C"/>
                <w:spacing w:val="-3"/>
              </w:rPr>
              <w:t xml:space="preserve"> </w:t>
            </w:r>
            <w:r>
              <w:rPr>
                <w:color w:val="1F487C"/>
                <w:spacing w:val="-1"/>
              </w:rPr>
              <w:t>Wiejska</w:t>
            </w:r>
            <w:r>
              <w:rPr>
                <w:color w:val="1F487C"/>
                <w:spacing w:val="-2"/>
              </w:rPr>
              <w:t xml:space="preserve"> </w:t>
            </w:r>
            <w:r>
              <w:rPr>
                <w:color w:val="1F487C"/>
              </w:rPr>
              <w:t>w</w:t>
            </w:r>
            <w:r>
              <w:rPr>
                <w:color w:val="1F487C"/>
                <w:spacing w:val="1"/>
              </w:rPr>
              <w:t xml:space="preserve"> </w:t>
            </w:r>
            <w:r>
              <w:rPr>
                <w:color w:val="1F487C"/>
                <w:spacing w:val="-1"/>
              </w:rPr>
              <w:t>Hermanowie</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Hermanów</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jc w:val="center"/>
              <w:rPr>
                <w:rFonts w:cs="Calibri"/>
              </w:rPr>
            </w:pPr>
            <w:r>
              <w:rPr>
                <w:color w:val="1F487C"/>
              </w:rPr>
              <w:t>10</w:t>
            </w:r>
          </w:p>
        </w:tc>
        <w:tc>
          <w:tcPr>
            <w:tcW w:w="3246" w:type="pct"/>
            <w:tcBorders>
              <w:top w:val="single" w:sz="5" w:space="0" w:color="4F81BC"/>
              <w:left w:val="single" w:sz="5" w:space="0" w:color="4F81BC"/>
              <w:bottom w:val="single" w:sz="5" w:space="0" w:color="4F81BC"/>
              <w:right w:val="single" w:sz="5" w:space="0" w:color="4F81BC"/>
            </w:tcBorders>
          </w:tcPr>
          <w:p w:rsidR="003513B9" w:rsidRPr="003513B9" w:rsidRDefault="003513B9" w:rsidP="002B07AD">
            <w:pPr>
              <w:pStyle w:val="TableParagraph"/>
              <w:spacing w:before="12"/>
              <w:ind w:left="66"/>
              <w:rPr>
                <w:rFonts w:cs="Calibri"/>
                <w:lang w:val="pl-PL"/>
              </w:rPr>
            </w:pPr>
            <w:r w:rsidRPr="003513B9">
              <w:rPr>
                <w:color w:val="1F487C"/>
                <w:lang w:val="pl-PL"/>
              </w:rPr>
              <w:t>Świetlica</w:t>
            </w:r>
            <w:r w:rsidRPr="003513B9">
              <w:rPr>
                <w:color w:val="1F487C"/>
                <w:spacing w:val="-3"/>
                <w:lang w:val="pl-PL"/>
              </w:rPr>
              <w:t xml:space="preserve"> </w:t>
            </w:r>
            <w:r w:rsidRPr="003513B9">
              <w:rPr>
                <w:color w:val="1F487C"/>
                <w:spacing w:val="-1"/>
                <w:lang w:val="pl-PL"/>
              </w:rPr>
              <w:t>Wiejska</w:t>
            </w:r>
            <w:r w:rsidRPr="003513B9">
              <w:rPr>
                <w:color w:val="1F487C"/>
                <w:spacing w:val="-2"/>
                <w:lang w:val="pl-PL"/>
              </w:rPr>
              <w:t xml:space="preserve"> </w:t>
            </w:r>
            <w:r w:rsidRPr="003513B9">
              <w:rPr>
                <w:color w:val="1F487C"/>
                <w:lang w:val="pl-PL"/>
              </w:rPr>
              <w:t>w</w:t>
            </w:r>
            <w:r w:rsidRPr="003513B9">
              <w:rPr>
                <w:color w:val="1F487C"/>
                <w:spacing w:val="1"/>
                <w:lang w:val="pl-PL"/>
              </w:rPr>
              <w:t xml:space="preserve"> </w:t>
            </w:r>
            <w:r w:rsidRPr="003513B9">
              <w:rPr>
                <w:color w:val="1F487C"/>
                <w:spacing w:val="-1"/>
                <w:lang w:val="pl-PL"/>
              </w:rPr>
              <w:t>Woli</w:t>
            </w:r>
            <w:r w:rsidRPr="003513B9">
              <w:rPr>
                <w:color w:val="1F487C"/>
                <w:spacing w:val="1"/>
                <w:lang w:val="pl-PL"/>
              </w:rPr>
              <w:t xml:space="preserve"> </w:t>
            </w:r>
            <w:r w:rsidRPr="003513B9">
              <w:rPr>
                <w:color w:val="1F487C"/>
                <w:spacing w:val="-1"/>
                <w:lang w:val="pl-PL"/>
              </w:rPr>
              <w:t>Żytowskiej</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rPr>
              <w:t xml:space="preserve">Wola </w:t>
            </w:r>
            <w:r>
              <w:rPr>
                <w:color w:val="1F487C"/>
                <w:spacing w:val="-1"/>
              </w:rPr>
              <w:t>Żytowska</w:t>
            </w:r>
            <w:r>
              <w:rPr>
                <w:color w:val="1F487C"/>
                <w:spacing w:val="-2"/>
              </w:rPr>
              <w:t xml:space="preserve"> </w:t>
            </w:r>
            <w:r>
              <w:rPr>
                <w:color w:val="1F487C"/>
              </w:rPr>
              <w:t>4</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jc w:val="center"/>
              <w:rPr>
                <w:rFonts w:cs="Calibri"/>
              </w:rPr>
            </w:pPr>
            <w:r>
              <w:rPr>
                <w:color w:val="1F487C"/>
              </w:rPr>
              <w:t>11</w:t>
            </w:r>
          </w:p>
        </w:tc>
        <w:tc>
          <w:tcPr>
            <w:tcW w:w="3246"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Urząd Gminy</w:t>
            </w:r>
            <w:r>
              <w:rPr>
                <w:color w:val="1F487C"/>
                <w:spacing w:val="-2"/>
              </w:rPr>
              <w:t xml:space="preserve"> </w:t>
            </w:r>
            <w:r w:rsidR="002B07AD">
              <w:rPr>
                <w:color w:val="1F487C"/>
                <w:spacing w:val="-2"/>
              </w:rPr>
              <w:t xml:space="preserve">w </w:t>
            </w:r>
            <w:r>
              <w:rPr>
                <w:color w:val="1F487C"/>
                <w:spacing w:val="-1"/>
              </w:rPr>
              <w:t>Pabianic</w:t>
            </w:r>
            <w:r w:rsidR="002B07AD">
              <w:rPr>
                <w:color w:val="1F487C"/>
                <w:spacing w:val="-1"/>
              </w:rPr>
              <w:t>ach</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Torowa</w:t>
            </w:r>
            <w:r>
              <w:rPr>
                <w:color w:val="1F487C"/>
                <w:spacing w:val="-2"/>
              </w:rPr>
              <w:t xml:space="preserve"> </w:t>
            </w:r>
            <w:r>
              <w:rPr>
                <w:color w:val="1F487C"/>
                <w:spacing w:val="-1"/>
              </w:rPr>
              <w:t>21,</w:t>
            </w:r>
            <w:r>
              <w:rPr>
                <w:color w:val="1F487C"/>
                <w:spacing w:val="-2"/>
              </w:rPr>
              <w:t xml:space="preserve"> </w:t>
            </w:r>
            <w:r>
              <w:rPr>
                <w:color w:val="1F487C"/>
                <w:spacing w:val="-1"/>
              </w:rPr>
              <w:t>Pabianice</w:t>
            </w:r>
          </w:p>
        </w:tc>
      </w:tr>
      <w:tr w:rsidR="003513B9" w:rsidTr="003513B9">
        <w:trPr>
          <w:trHeight w:hRule="exact" w:val="312"/>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jc w:val="center"/>
              <w:rPr>
                <w:rFonts w:cs="Calibri"/>
              </w:rPr>
            </w:pPr>
            <w:r>
              <w:rPr>
                <w:color w:val="1F487C"/>
              </w:rPr>
              <w:t>12</w:t>
            </w:r>
          </w:p>
        </w:tc>
        <w:tc>
          <w:tcPr>
            <w:tcW w:w="3246"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Obiekt</w:t>
            </w:r>
            <w:r>
              <w:rPr>
                <w:color w:val="1F487C"/>
              </w:rPr>
              <w:t xml:space="preserve"> </w:t>
            </w:r>
            <w:r>
              <w:rPr>
                <w:color w:val="1F487C"/>
                <w:spacing w:val="-1"/>
              </w:rPr>
              <w:t>Sportowy</w:t>
            </w:r>
            <w:r>
              <w:rPr>
                <w:color w:val="1F487C"/>
              </w:rPr>
              <w:t xml:space="preserve"> w</w:t>
            </w:r>
            <w:r>
              <w:rPr>
                <w:color w:val="1F487C"/>
                <w:spacing w:val="-2"/>
              </w:rPr>
              <w:t xml:space="preserve"> </w:t>
            </w:r>
            <w:r>
              <w:rPr>
                <w:color w:val="1F487C"/>
                <w:spacing w:val="-1"/>
              </w:rPr>
              <w:t>Piątkowisku</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Piątkowisko</w:t>
            </w:r>
            <w:r>
              <w:rPr>
                <w:color w:val="1F487C"/>
                <w:spacing w:val="1"/>
              </w:rPr>
              <w:t xml:space="preserve"> </w:t>
            </w:r>
            <w:r>
              <w:rPr>
                <w:color w:val="1F487C"/>
              </w:rPr>
              <w:t>4</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0"/>
              <w:jc w:val="center"/>
              <w:rPr>
                <w:rFonts w:cs="Calibri"/>
              </w:rPr>
            </w:pPr>
            <w:r>
              <w:rPr>
                <w:color w:val="1F487C"/>
              </w:rPr>
              <w:t>13</w:t>
            </w:r>
          </w:p>
        </w:tc>
        <w:tc>
          <w:tcPr>
            <w:tcW w:w="3246"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0"/>
              <w:ind w:left="66"/>
              <w:rPr>
                <w:rFonts w:cs="Calibri"/>
              </w:rPr>
            </w:pPr>
            <w:r>
              <w:rPr>
                <w:color w:val="1F487C"/>
              </w:rPr>
              <w:t>Świetlica</w:t>
            </w:r>
            <w:r>
              <w:rPr>
                <w:color w:val="1F487C"/>
                <w:spacing w:val="-3"/>
              </w:rPr>
              <w:t xml:space="preserve"> </w:t>
            </w:r>
            <w:r>
              <w:rPr>
                <w:color w:val="1F487C"/>
                <w:spacing w:val="-1"/>
              </w:rPr>
              <w:t>Wiejska</w:t>
            </w:r>
            <w:r>
              <w:rPr>
                <w:color w:val="1F487C"/>
                <w:spacing w:val="-2"/>
              </w:rPr>
              <w:t xml:space="preserve"> </w:t>
            </w:r>
            <w:r>
              <w:rPr>
                <w:color w:val="1F487C"/>
              </w:rPr>
              <w:t>w</w:t>
            </w:r>
            <w:r>
              <w:rPr>
                <w:color w:val="1F487C"/>
                <w:spacing w:val="1"/>
              </w:rPr>
              <w:t xml:space="preserve"> </w:t>
            </w:r>
            <w:r>
              <w:rPr>
                <w:color w:val="1F487C"/>
                <w:spacing w:val="-1"/>
              </w:rPr>
              <w:t>Koninie</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0"/>
              <w:ind w:left="66"/>
              <w:rPr>
                <w:rFonts w:cs="Calibri"/>
              </w:rPr>
            </w:pPr>
            <w:r>
              <w:rPr>
                <w:color w:val="1F487C"/>
              </w:rPr>
              <w:t>Konin</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jc w:val="center"/>
              <w:rPr>
                <w:rFonts w:cs="Calibri"/>
              </w:rPr>
            </w:pPr>
            <w:r>
              <w:rPr>
                <w:color w:val="1F487C"/>
              </w:rPr>
              <w:t>14</w:t>
            </w:r>
          </w:p>
        </w:tc>
        <w:tc>
          <w:tcPr>
            <w:tcW w:w="3246"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Obiekt</w:t>
            </w:r>
            <w:r>
              <w:rPr>
                <w:color w:val="1F487C"/>
              </w:rPr>
              <w:t xml:space="preserve"> </w:t>
            </w:r>
            <w:r>
              <w:rPr>
                <w:color w:val="1F487C"/>
                <w:spacing w:val="-1"/>
              </w:rPr>
              <w:t>Sportowy</w:t>
            </w:r>
            <w:r>
              <w:rPr>
                <w:color w:val="1F487C"/>
              </w:rPr>
              <w:t xml:space="preserve"> w</w:t>
            </w:r>
            <w:r>
              <w:rPr>
                <w:color w:val="1F487C"/>
                <w:spacing w:val="-2"/>
              </w:rPr>
              <w:t xml:space="preserve"> </w:t>
            </w:r>
            <w:r>
              <w:rPr>
                <w:color w:val="1F487C"/>
                <w:spacing w:val="-1"/>
              </w:rPr>
              <w:t>Bychlewie</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Bychlew</w:t>
            </w:r>
            <w:r>
              <w:rPr>
                <w:color w:val="1F487C"/>
                <w:spacing w:val="1"/>
              </w:rPr>
              <w:t xml:space="preserve"> </w:t>
            </w:r>
            <w:r>
              <w:rPr>
                <w:color w:val="1F487C"/>
                <w:spacing w:val="-1"/>
              </w:rPr>
              <w:t>107</w:t>
            </w:r>
          </w:p>
        </w:tc>
      </w:tr>
      <w:tr w:rsidR="003513B9" w:rsidTr="003513B9">
        <w:trPr>
          <w:trHeight w:hRule="exact" w:val="310"/>
        </w:trPr>
        <w:tc>
          <w:tcPr>
            <w:tcW w:w="458"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jc w:val="center"/>
              <w:rPr>
                <w:rFonts w:cs="Calibri"/>
              </w:rPr>
            </w:pPr>
            <w:r>
              <w:rPr>
                <w:color w:val="1F487C"/>
              </w:rPr>
              <w:t>15</w:t>
            </w:r>
          </w:p>
        </w:tc>
        <w:tc>
          <w:tcPr>
            <w:tcW w:w="3246"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Filia</w:t>
            </w:r>
            <w:r>
              <w:rPr>
                <w:color w:val="1F487C"/>
              </w:rPr>
              <w:t xml:space="preserve"> </w:t>
            </w:r>
            <w:r>
              <w:rPr>
                <w:color w:val="1F487C"/>
                <w:spacing w:val="-1"/>
              </w:rPr>
              <w:t>Biblioteczna</w:t>
            </w:r>
            <w:r>
              <w:rPr>
                <w:color w:val="1F487C"/>
                <w:spacing w:val="1"/>
              </w:rPr>
              <w:t xml:space="preserve"> </w:t>
            </w:r>
            <w:r>
              <w:rPr>
                <w:color w:val="1F487C"/>
              </w:rPr>
              <w:t xml:space="preserve">- </w:t>
            </w:r>
            <w:r>
              <w:rPr>
                <w:color w:val="1F487C"/>
                <w:spacing w:val="-1"/>
              </w:rPr>
              <w:t>Piątkowisko</w:t>
            </w:r>
          </w:p>
        </w:tc>
        <w:tc>
          <w:tcPr>
            <w:tcW w:w="1295" w:type="pct"/>
            <w:tcBorders>
              <w:top w:val="single" w:sz="5" w:space="0" w:color="4F81BC"/>
              <w:left w:val="single" w:sz="5" w:space="0" w:color="4F81BC"/>
              <w:bottom w:val="single" w:sz="5" w:space="0" w:color="4F81BC"/>
              <w:right w:val="single" w:sz="5" w:space="0" w:color="4F81BC"/>
            </w:tcBorders>
          </w:tcPr>
          <w:p w:rsidR="003513B9" w:rsidRDefault="003513B9" w:rsidP="002B07AD">
            <w:pPr>
              <w:pStyle w:val="TableParagraph"/>
              <w:spacing w:before="12"/>
              <w:ind w:left="66"/>
              <w:rPr>
                <w:rFonts w:cs="Calibri"/>
              </w:rPr>
            </w:pPr>
            <w:r>
              <w:rPr>
                <w:color w:val="1F487C"/>
                <w:spacing w:val="-1"/>
              </w:rPr>
              <w:t>Piątkowisko</w:t>
            </w:r>
            <w:r>
              <w:rPr>
                <w:color w:val="1F487C"/>
                <w:spacing w:val="1"/>
              </w:rPr>
              <w:t xml:space="preserve"> </w:t>
            </w:r>
            <w:r>
              <w:rPr>
                <w:color w:val="1F487C"/>
                <w:spacing w:val="-1"/>
              </w:rPr>
              <w:t>47</w:t>
            </w:r>
          </w:p>
        </w:tc>
      </w:tr>
    </w:tbl>
    <w:p w:rsidR="002D7A7D" w:rsidRPr="00247552" w:rsidRDefault="002D7A7D" w:rsidP="002D7A7D">
      <w:pPr>
        <w:jc w:val="center"/>
        <w:rPr>
          <w:rFonts w:ascii="Lato" w:hAnsi="Lato"/>
          <w:i/>
          <w:sz w:val="20"/>
          <w:lang w:eastAsia="x-none"/>
        </w:rPr>
      </w:pPr>
      <w:r w:rsidRPr="00247552">
        <w:rPr>
          <w:rFonts w:ascii="Lato" w:hAnsi="Lato"/>
          <w:i/>
          <w:sz w:val="20"/>
          <w:lang w:eastAsia="x-none"/>
        </w:rPr>
        <w:t xml:space="preserve">Źródło: </w:t>
      </w:r>
      <w:r w:rsidR="00534056" w:rsidRPr="00247552">
        <w:rPr>
          <w:rFonts w:ascii="Lato" w:hAnsi="Lato"/>
          <w:i/>
          <w:sz w:val="20"/>
          <w:lang w:eastAsia="x-none"/>
        </w:rPr>
        <w:t xml:space="preserve">Urząd Gminy </w:t>
      </w:r>
      <w:r w:rsidR="00814421">
        <w:rPr>
          <w:rFonts w:ascii="Lato" w:hAnsi="Lato"/>
          <w:i/>
          <w:sz w:val="20"/>
          <w:lang w:eastAsia="x-none"/>
        </w:rPr>
        <w:t xml:space="preserve">w </w:t>
      </w:r>
      <w:r w:rsidR="00534056" w:rsidRPr="00247552">
        <w:rPr>
          <w:rFonts w:ascii="Lato" w:hAnsi="Lato"/>
          <w:i/>
          <w:sz w:val="20"/>
          <w:lang w:eastAsia="x-none"/>
        </w:rPr>
        <w:t>Pabianic</w:t>
      </w:r>
      <w:r w:rsidR="00814421">
        <w:rPr>
          <w:rFonts w:ascii="Lato" w:hAnsi="Lato"/>
          <w:i/>
          <w:sz w:val="20"/>
          <w:lang w:eastAsia="x-none"/>
        </w:rPr>
        <w:t>ach</w:t>
      </w:r>
    </w:p>
    <w:p w:rsidR="00861E30" w:rsidRPr="000F2422" w:rsidRDefault="00861E30" w:rsidP="00861E30">
      <w:pPr>
        <w:pStyle w:val="bulety"/>
        <w:spacing w:before="0" w:after="0" w:line="312" w:lineRule="auto"/>
        <w:ind w:firstLine="709"/>
        <w:rPr>
          <w:rFonts w:ascii="Lato" w:hAnsi="Lato" w:cs="Tahoma"/>
          <w:snapToGrid/>
          <w:szCs w:val="24"/>
        </w:rPr>
      </w:pPr>
      <w:r w:rsidRPr="000F2422">
        <w:rPr>
          <w:rFonts w:ascii="Lato" w:hAnsi="Lato" w:cs="Tahoma"/>
          <w:snapToGrid/>
          <w:szCs w:val="24"/>
        </w:rPr>
        <w:t xml:space="preserve">W rozdziale </w:t>
      </w:r>
      <w:r w:rsidR="0035310C" w:rsidRPr="000F2422">
        <w:rPr>
          <w:rFonts w:ascii="Lato" w:hAnsi="Lato" w:cs="Tahoma"/>
          <w:snapToGrid/>
          <w:szCs w:val="24"/>
        </w:rPr>
        <w:t>6</w:t>
      </w:r>
      <w:r w:rsidRPr="000F2422">
        <w:rPr>
          <w:rFonts w:ascii="Lato" w:hAnsi="Lato" w:cs="Tahoma"/>
          <w:snapToGrid/>
          <w:szCs w:val="24"/>
        </w:rPr>
        <w:t xml:space="preserve"> przedstawiono analizę poszczególnych obiektów użyteczności publicznej pod kątem energochłonności oraz kosztów nośników energii. </w:t>
      </w:r>
    </w:p>
    <w:p w:rsidR="00A52B7C" w:rsidRDefault="00A52B7C" w:rsidP="00C729D3">
      <w:pPr>
        <w:jc w:val="both"/>
        <w:rPr>
          <w:rFonts w:ascii="Lato" w:hAnsi="Lato"/>
          <w:highlight w:val="yellow"/>
        </w:rPr>
      </w:pPr>
    </w:p>
    <w:p w:rsidR="00A52B7C" w:rsidRPr="0035310C" w:rsidRDefault="00A52B7C" w:rsidP="00AB431C">
      <w:pPr>
        <w:pStyle w:val="Nagwek4"/>
        <w:numPr>
          <w:ilvl w:val="3"/>
          <w:numId w:val="38"/>
        </w:numPr>
        <w:ind w:left="851" w:right="52" w:hanging="851"/>
        <w:jc w:val="both"/>
        <w:rPr>
          <w:rFonts w:ascii="Lato" w:hAnsi="Lato"/>
          <w:b w:val="0"/>
          <w:i w:val="0"/>
          <w:color w:val="365F91"/>
          <w:sz w:val="22"/>
          <w:szCs w:val="22"/>
        </w:rPr>
      </w:pPr>
      <w:r w:rsidRPr="0035310C">
        <w:rPr>
          <w:rFonts w:ascii="Lato" w:hAnsi="Lato"/>
          <w:b w:val="0"/>
          <w:i w:val="0"/>
          <w:color w:val="365F91"/>
          <w:sz w:val="22"/>
          <w:szCs w:val="22"/>
        </w:rPr>
        <w:t>Obiekty handlowe, usługowe, przedsiębiorstw produkcyjnych</w:t>
      </w:r>
    </w:p>
    <w:p w:rsidR="00855200" w:rsidRPr="00247552" w:rsidRDefault="00855200" w:rsidP="0035310C">
      <w:pPr>
        <w:pStyle w:val="Tekstpodstawowy"/>
        <w:ind w:firstLine="709"/>
        <w:rPr>
          <w:rFonts w:ascii="Lato" w:hAnsi="Lato" w:cs="Times New Roman"/>
        </w:rPr>
      </w:pPr>
      <w:r w:rsidRPr="00247552">
        <w:rPr>
          <w:rFonts w:ascii="Lato" w:hAnsi="Lato" w:cs="Times New Roman"/>
        </w:rPr>
        <w:t>Gmina Pabianice pod względem działalności gospodarczej charakteryzuje się głównie działalnością rolniczą. Na terenie gminy nie występują duże zakłady przemysłowe. Rozwinięty jest natomiast system usług oparty o przedsiębiorstwa z branży ogólnobudowlanej i przetwórczej.</w:t>
      </w:r>
    </w:p>
    <w:p w:rsidR="00A4394B" w:rsidRPr="00247552" w:rsidRDefault="00A4394B" w:rsidP="0035310C">
      <w:pPr>
        <w:pStyle w:val="Tekstpodstawowy"/>
        <w:ind w:firstLine="709"/>
        <w:rPr>
          <w:rFonts w:ascii="Lato" w:hAnsi="Lato" w:cs="Times New Roman"/>
        </w:rPr>
      </w:pPr>
      <w:r w:rsidRPr="00247552">
        <w:rPr>
          <w:rFonts w:ascii="Lato" w:hAnsi="Lato" w:cs="Times New Roman"/>
        </w:rPr>
        <w:t xml:space="preserve">Na terenie gminy </w:t>
      </w:r>
      <w:r w:rsidR="006C2E15" w:rsidRPr="00247552">
        <w:rPr>
          <w:rFonts w:ascii="Lato" w:hAnsi="Lato" w:cs="Times New Roman"/>
        </w:rPr>
        <w:t>Pabianice</w:t>
      </w:r>
      <w:r w:rsidRPr="00247552">
        <w:rPr>
          <w:rFonts w:ascii="Lato" w:hAnsi="Lato" w:cs="Times New Roman"/>
        </w:rPr>
        <w:t xml:space="preserve"> na koniec 201</w:t>
      </w:r>
      <w:r w:rsidR="005006A8" w:rsidRPr="00247552">
        <w:rPr>
          <w:rFonts w:ascii="Lato" w:hAnsi="Lato" w:cs="Times New Roman"/>
        </w:rPr>
        <w:t>8</w:t>
      </w:r>
      <w:r w:rsidRPr="00247552">
        <w:rPr>
          <w:rFonts w:ascii="Lato" w:hAnsi="Lato" w:cs="Times New Roman"/>
        </w:rPr>
        <w:t xml:space="preserve"> roku zlokalizowane były po</w:t>
      </w:r>
      <w:r w:rsidR="00D74BB9" w:rsidRPr="00247552">
        <w:rPr>
          <w:rFonts w:ascii="Lato" w:hAnsi="Lato" w:cs="Times New Roman"/>
        </w:rPr>
        <w:t xml:space="preserve">dmioty </w:t>
      </w:r>
      <w:r w:rsidR="0035310C" w:rsidRPr="00247552">
        <w:rPr>
          <w:rFonts w:ascii="Lato" w:hAnsi="Lato" w:cs="Times New Roman"/>
        </w:rPr>
        <w:t>gospodarcze</w:t>
      </w:r>
      <w:r w:rsidR="00D74BB9" w:rsidRPr="00247552">
        <w:rPr>
          <w:rFonts w:ascii="Lato" w:hAnsi="Lato" w:cs="Times New Roman"/>
        </w:rPr>
        <w:t xml:space="preserve"> o </w:t>
      </w:r>
      <w:r w:rsidRPr="00247552">
        <w:rPr>
          <w:rFonts w:ascii="Lato" w:hAnsi="Lato" w:cs="Times New Roman"/>
        </w:rPr>
        <w:t xml:space="preserve">łącznej powierzchni </w:t>
      </w:r>
      <w:r w:rsidR="006C2E15" w:rsidRPr="00247552">
        <w:rPr>
          <w:rFonts w:ascii="Lato" w:hAnsi="Lato" w:cs="Times New Roman"/>
        </w:rPr>
        <w:t>57</w:t>
      </w:r>
      <w:r w:rsidR="000F2422">
        <w:rPr>
          <w:rFonts w:ascii="Lato" w:hAnsi="Lato" w:cs="Times New Roman"/>
        </w:rPr>
        <w:t xml:space="preserve"> </w:t>
      </w:r>
      <w:r w:rsidR="006C2E15" w:rsidRPr="00247552">
        <w:rPr>
          <w:rFonts w:ascii="Lato" w:hAnsi="Lato" w:cs="Times New Roman"/>
        </w:rPr>
        <w:t>342,55</w:t>
      </w:r>
      <w:r w:rsidRPr="00247552">
        <w:rPr>
          <w:rFonts w:ascii="Lato" w:hAnsi="Lato" w:cs="Times New Roman"/>
        </w:rPr>
        <w:t xml:space="preserve"> m</w:t>
      </w:r>
      <w:r w:rsidRPr="00247552">
        <w:rPr>
          <w:rFonts w:ascii="Lato" w:hAnsi="Lato" w:cs="Times New Roman"/>
          <w:vertAlign w:val="superscript"/>
        </w:rPr>
        <w:t>2</w:t>
      </w:r>
      <w:r w:rsidRPr="00247552">
        <w:rPr>
          <w:rFonts w:ascii="Lato" w:hAnsi="Lato" w:cs="Times New Roman"/>
        </w:rPr>
        <w:t xml:space="preserve"> w tym:</w:t>
      </w:r>
    </w:p>
    <w:p w:rsidR="00A4394B" w:rsidRPr="00247552" w:rsidRDefault="00A4394B" w:rsidP="0035310C">
      <w:pPr>
        <w:pStyle w:val="Tekstpodstawowy"/>
        <w:numPr>
          <w:ilvl w:val="0"/>
          <w:numId w:val="83"/>
        </w:numPr>
        <w:tabs>
          <w:tab w:val="clear" w:pos="360"/>
        </w:tabs>
        <w:ind w:left="709" w:hanging="425"/>
        <w:rPr>
          <w:rFonts w:ascii="Lato" w:hAnsi="Lato" w:cs="Times New Roman"/>
        </w:rPr>
      </w:pPr>
      <w:r w:rsidRPr="00247552">
        <w:rPr>
          <w:rFonts w:ascii="Lato" w:hAnsi="Lato" w:cs="Times New Roman"/>
        </w:rPr>
        <w:t xml:space="preserve">osoby fizyczne – </w:t>
      </w:r>
      <w:r w:rsidR="006C2E15" w:rsidRPr="00247552">
        <w:rPr>
          <w:rFonts w:ascii="Lato" w:hAnsi="Lato" w:cs="Times New Roman"/>
        </w:rPr>
        <w:t>18 924,59</w:t>
      </w:r>
      <w:r w:rsidRPr="00247552">
        <w:rPr>
          <w:rFonts w:ascii="Lato" w:hAnsi="Lato" w:cs="Times New Roman"/>
        </w:rPr>
        <w:t xml:space="preserve"> m</w:t>
      </w:r>
      <w:r w:rsidRPr="00247552">
        <w:rPr>
          <w:rFonts w:ascii="Lato" w:hAnsi="Lato" w:cs="Times New Roman"/>
          <w:vertAlign w:val="superscript"/>
        </w:rPr>
        <w:t>2</w:t>
      </w:r>
      <w:r w:rsidR="00667E49" w:rsidRPr="00247552">
        <w:rPr>
          <w:rFonts w:ascii="Lato" w:hAnsi="Lato" w:cs="Times New Roman"/>
        </w:rPr>
        <w:t xml:space="preserve">, </w:t>
      </w:r>
    </w:p>
    <w:p w:rsidR="003E713B" w:rsidRPr="00247552" w:rsidRDefault="00A4394B" w:rsidP="0035310C">
      <w:pPr>
        <w:pStyle w:val="Tekstpodstawowy"/>
        <w:numPr>
          <w:ilvl w:val="0"/>
          <w:numId w:val="83"/>
        </w:numPr>
        <w:tabs>
          <w:tab w:val="clear" w:pos="360"/>
        </w:tabs>
        <w:ind w:left="709" w:hanging="425"/>
        <w:rPr>
          <w:rFonts w:ascii="Lato" w:hAnsi="Lato" w:cs="Times New Roman"/>
        </w:rPr>
      </w:pPr>
      <w:r w:rsidRPr="00247552">
        <w:rPr>
          <w:rFonts w:ascii="Lato" w:hAnsi="Lato" w:cs="Times New Roman"/>
        </w:rPr>
        <w:t xml:space="preserve">osoby prawne – </w:t>
      </w:r>
      <w:r w:rsidR="006C2E15" w:rsidRPr="00247552">
        <w:rPr>
          <w:rFonts w:ascii="Lato" w:hAnsi="Lato" w:cs="Times New Roman"/>
        </w:rPr>
        <w:t>38 417,96</w:t>
      </w:r>
      <w:r w:rsidRPr="00247552">
        <w:rPr>
          <w:rFonts w:ascii="Lato" w:hAnsi="Lato" w:cs="Times New Roman"/>
        </w:rPr>
        <w:t xml:space="preserve"> m</w:t>
      </w:r>
      <w:r w:rsidRPr="00247552">
        <w:rPr>
          <w:rFonts w:ascii="Lato" w:hAnsi="Lato" w:cs="Times New Roman"/>
          <w:vertAlign w:val="superscript"/>
        </w:rPr>
        <w:t>2</w:t>
      </w:r>
      <w:r w:rsidRPr="00247552">
        <w:rPr>
          <w:rFonts w:ascii="Lato" w:hAnsi="Lato" w:cs="Times New Roman"/>
        </w:rPr>
        <w:t>.</w:t>
      </w:r>
    </w:p>
    <w:p w:rsidR="00667E49" w:rsidRPr="00855200" w:rsidRDefault="00667E49" w:rsidP="0035310C">
      <w:pPr>
        <w:pStyle w:val="Tekstpodstawowy"/>
        <w:ind w:firstLine="425"/>
        <w:rPr>
          <w:rFonts w:ascii="Lato" w:hAnsi="Lato" w:cs="Times New Roman"/>
        </w:rPr>
      </w:pPr>
    </w:p>
    <w:p w:rsidR="003E713B" w:rsidRPr="00D352C4" w:rsidRDefault="003E713B" w:rsidP="003E713B">
      <w:pPr>
        <w:pStyle w:val="Tekstpodstawowy"/>
        <w:rPr>
          <w:rFonts w:ascii="Lato" w:hAnsi="Lato" w:cs="Times New Roman"/>
          <w:highlight w:val="yellow"/>
        </w:rPr>
      </w:pPr>
    </w:p>
    <w:p w:rsidR="009E4693" w:rsidRPr="006A2205" w:rsidRDefault="004B329B" w:rsidP="00AB431C">
      <w:pPr>
        <w:pStyle w:val="Nagwek1"/>
        <w:numPr>
          <w:ilvl w:val="0"/>
          <w:numId w:val="38"/>
        </w:numPr>
        <w:spacing w:after="480" w:line="276" w:lineRule="auto"/>
        <w:ind w:left="425" w:hanging="425"/>
        <w:jc w:val="both"/>
        <w:rPr>
          <w:rFonts w:ascii="Lato" w:hAnsi="Lato"/>
          <w:b w:val="0"/>
          <w:i w:val="0"/>
          <w:color w:val="365F91"/>
        </w:rPr>
      </w:pPr>
      <w:r>
        <w:rPr>
          <w:rFonts w:ascii="Lato" w:hAnsi="Lato"/>
          <w:b w:val="0"/>
          <w:i w:val="0"/>
          <w:color w:val="365F91"/>
        </w:rPr>
        <w:br w:type="page"/>
      </w:r>
      <w:bookmarkStart w:id="86" w:name="_Toc20218503"/>
      <w:r w:rsidR="009E4693" w:rsidRPr="006A2205">
        <w:rPr>
          <w:rFonts w:ascii="Lato" w:hAnsi="Lato"/>
          <w:b w:val="0"/>
          <w:i w:val="0"/>
          <w:color w:val="365F91"/>
        </w:rPr>
        <w:lastRenderedPageBreak/>
        <w:t>Ocena stanu istniejącego zapotrzebowania na ciepło, energię elektryczną i paliwa gazowe</w:t>
      </w:r>
      <w:bookmarkEnd w:id="86"/>
    </w:p>
    <w:p w:rsidR="0050013E" w:rsidRPr="006A2205" w:rsidRDefault="0050013E" w:rsidP="00907272">
      <w:pPr>
        <w:pStyle w:val="Nagwek2"/>
        <w:rPr>
          <w:rFonts w:ascii="Lato" w:hAnsi="Lato" w:cs="Times New Roman"/>
        </w:rPr>
      </w:pPr>
      <w:bookmarkStart w:id="87" w:name="_Toc20218504"/>
      <w:r w:rsidRPr="006A2205">
        <w:rPr>
          <w:rFonts w:ascii="Lato" w:hAnsi="Lato" w:cs="Times New Roman"/>
        </w:rPr>
        <w:t xml:space="preserve">Opis ogólny systemów energetycznych </w:t>
      </w:r>
      <w:r w:rsidR="003246E2" w:rsidRPr="006A2205">
        <w:rPr>
          <w:rFonts w:ascii="Lato" w:hAnsi="Lato" w:cs="Times New Roman"/>
        </w:rPr>
        <w:t>gminy</w:t>
      </w:r>
      <w:bookmarkEnd w:id="87"/>
    </w:p>
    <w:p w:rsidR="00667E49" w:rsidRDefault="003E713B" w:rsidP="00C729D3">
      <w:pPr>
        <w:ind w:firstLine="709"/>
        <w:jc w:val="both"/>
      </w:pPr>
      <w:r w:rsidRPr="006A2205">
        <w:rPr>
          <w:rFonts w:ascii="Lato" w:hAnsi="Lato"/>
          <w:bCs/>
          <w:spacing w:val="-2"/>
        </w:rPr>
        <w:t>Wydobycie paliw i produkcja energii stanowi jeden z najbardziej niekorzystnych dla środowiska rodzajów działalności człowieka. Wynika to zarówno z ogromnej iloś</w:t>
      </w:r>
      <w:r w:rsidR="006A2205" w:rsidRPr="006A2205">
        <w:rPr>
          <w:rFonts w:ascii="Lato" w:hAnsi="Lato"/>
          <w:bCs/>
          <w:spacing w:val="-2"/>
        </w:rPr>
        <w:t>ci użytkowanej energii, jak i z </w:t>
      </w:r>
      <w:r w:rsidRPr="006A2205">
        <w:rPr>
          <w:rFonts w:ascii="Lato" w:hAnsi="Lato"/>
          <w:bCs/>
          <w:spacing w:val="-2"/>
        </w:rPr>
        <w:t>istoty przemian energetycznych, którym energia musi być poddawana w celu dostosowania do potrzeb odbiorców.</w:t>
      </w:r>
      <w:r w:rsidR="00667E49" w:rsidRPr="00667E49">
        <w:t xml:space="preserve"> </w:t>
      </w:r>
    </w:p>
    <w:p w:rsidR="003E713B" w:rsidRPr="006A2205" w:rsidRDefault="00667E49" w:rsidP="00617C1D">
      <w:pPr>
        <w:ind w:firstLine="709"/>
        <w:jc w:val="both"/>
        <w:rPr>
          <w:rFonts w:ascii="Lato" w:hAnsi="Lato"/>
          <w:bCs/>
          <w:spacing w:val="-2"/>
        </w:rPr>
      </w:pPr>
      <w:r w:rsidRPr="00667E49">
        <w:rPr>
          <w:rFonts w:ascii="Lato" w:hAnsi="Lato"/>
          <w:bCs/>
          <w:spacing w:val="-2"/>
        </w:rPr>
        <w:t xml:space="preserve">Gmina Pabianice należy do grupy niewielkich gmin pod względem liczby ludności, która wynosi około </w:t>
      </w:r>
      <w:r>
        <w:rPr>
          <w:rFonts w:ascii="Lato" w:hAnsi="Lato"/>
          <w:bCs/>
          <w:spacing w:val="-2"/>
        </w:rPr>
        <w:t>7,2</w:t>
      </w:r>
      <w:r w:rsidRPr="00667E49">
        <w:rPr>
          <w:rFonts w:ascii="Lato" w:hAnsi="Lato"/>
          <w:bCs/>
          <w:spacing w:val="-2"/>
        </w:rPr>
        <w:t xml:space="preserve"> tys. mieszkańców (rok 201</w:t>
      </w:r>
      <w:r>
        <w:rPr>
          <w:rFonts w:ascii="Lato" w:hAnsi="Lato"/>
          <w:bCs/>
          <w:spacing w:val="-2"/>
        </w:rPr>
        <w:t>7</w:t>
      </w:r>
      <w:r w:rsidRPr="00667E49">
        <w:rPr>
          <w:rFonts w:ascii="Lato" w:hAnsi="Lato"/>
          <w:bCs/>
          <w:spacing w:val="-2"/>
        </w:rPr>
        <w:t xml:space="preserve"> wg GUS). Jedną z istotniejszych dziedzin funkcjonowania gminy jest gospodarka energetyczna, czyli zagadnienia związane </w:t>
      </w:r>
      <w:r>
        <w:rPr>
          <w:rFonts w:ascii="Lato" w:hAnsi="Lato"/>
          <w:bCs/>
          <w:spacing w:val="-2"/>
        </w:rPr>
        <w:t>z zaopatrzeniem w </w:t>
      </w:r>
      <w:r w:rsidRPr="00667E49">
        <w:rPr>
          <w:rFonts w:ascii="Lato" w:hAnsi="Lato"/>
          <w:bCs/>
          <w:spacing w:val="-2"/>
        </w:rPr>
        <w:t>energię, jej użytkowaniem i gospodarowaniem na terenie gmin</w:t>
      </w:r>
      <w:r>
        <w:rPr>
          <w:rFonts w:ascii="Lato" w:hAnsi="Lato"/>
          <w:bCs/>
          <w:spacing w:val="-2"/>
        </w:rPr>
        <w:t>y, zapewniając bezpieczeństwo i </w:t>
      </w:r>
      <w:r w:rsidRPr="00667E49">
        <w:rPr>
          <w:rFonts w:ascii="Lato" w:hAnsi="Lato"/>
          <w:bCs/>
          <w:spacing w:val="-2"/>
        </w:rPr>
        <w:t>równość dostępu do zasobów.</w:t>
      </w:r>
    </w:p>
    <w:p w:rsidR="00AF1E1E" w:rsidRPr="00D352C4" w:rsidRDefault="00AF1E1E" w:rsidP="008E3B8C">
      <w:pPr>
        <w:ind w:firstLine="435"/>
        <w:jc w:val="both"/>
        <w:rPr>
          <w:rFonts w:ascii="Lato" w:hAnsi="Lato"/>
          <w:bCs/>
          <w:spacing w:val="-2"/>
          <w:highlight w:val="yellow"/>
        </w:rPr>
      </w:pPr>
    </w:p>
    <w:p w:rsidR="00581E75" w:rsidRPr="00667E49" w:rsidRDefault="00581E75" w:rsidP="00907272">
      <w:pPr>
        <w:pStyle w:val="Nagwek2"/>
        <w:rPr>
          <w:rFonts w:ascii="Lato" w:hAnsi="Lato" w:cs="Times New Roman"/>
        </w:rPr>
      </w:pPr>
      <w:bookmarkStart w:id="88" w:name="_Toc20218505"/>
      <w:bookmarkStart w:id="89" w:name="_Toc336943561"/>
      <w:r w:rsidRPr="00667E49">
        <w:rPr>
          <w:rFonts w:ascii="Lato" w:hAnsi="Lato" w:cs="Times New Roman"/>
        </w:rPr>
        <w:t xml:space="preserve">Lokalna polityka energetyczna </w:t>
      </w:r>
      <w:r w:rsidR="003246E2" w:rsidRPr="00667E49">
        <w:rPr>
          <w:rFonts w:ascii="Lato" w:hAnsi="Lato" w:cs="Times New Roman"/>
        </w:rPr>
        <w:t xml:space="preserve">Gminy </w:t>
      </w:r>
      <w:r w:rsidR="00667E49" w:rsidRPr="00667E49">
        <w:rPr>
          <w:rFonts w:ascii="Lato" w:hAnsi="Lato" w:cs="Times New Roman"/>
        </w:rPr>
        <w:t>Pabianice</w:t>
      </w:r>
      <w:bookmarkEnd w:id="88"/>
    </w:p>
    <w:p w:rsidR="006B2E97" w:rsidRPr="00667E49" w:rsidRDefault="006B2E97" w:rsidP="00C729D3">
      <w:pPr>
        <w:ind w:firstLine="709"/>
        <w:jc w:val="both"/>
        <w:rPr>
          <w:rFonts w:ascii="Lato" w:hAnsi="Lato"/>
        </w:rPr>
      </w:pPr>
      <w:r w:rsidRPr="00667E49">
        <w:rPr>
          <w:rFonts w:ascii="Lato" w:hAnsi="Lato"/>
        </w:rPr>
        <w:t xml:space="preserve">Przez lokalną politykę energetyczną należy rozumieć dążenie do realizacji zadań oraz celów przedstawionych w niniejszym opracowaniu, a ukierunkowanych na podstawowe zadania, postawione przed Gminą </w:t>
      </w:r>
      <w:r w:rsidR="00667E49" w:rsidRPr="00667E49">
        <w:rPr>
          <w:rFonts w:ascii="Lato" w:hAnsi="Lato"/>
        </w:rPr>
        <w:t>Pabianice</w:t>
      </w:r>
      <w:r w:rsidRPr="00667E49">
        <w:rPr>
          <w:rFonts w:ascii="Lato" w:hAnsi="Lato"/>
        </w:rPr>
        <w:t xml:space="preserve"> do realizacji poprzez zapisy zawarte w Ustawie Prawo energetyczne.</w:t>
      </w:r>
    </w:p>
    <w:p w:rsidR="006B2E97" w:rsidRPr="00CD3DFF" w:rsidRDefault="006B2E97" w:rsidP="00C729D3">
      <w:pPr>
        <w:ind w:firstLine="0"/>
        <w:jc w:val="both"/>
        <w:rPr>
          <w:rFonts w:ascii="Lato" w:hAnsi="Lato"/>
        </w:rPr>
      </w:pPr>
      <w:r w:rsidRPr="00CD3DFF">
        <w:rPr>
          <w:rFonts w:ascii="Lato" w:hAnsi="Lato"/>
        </w:rPr>
        <w:t>Zadania te w zakresie planowania energetycznego zostały prawnie przypisane gminie w Ustawie – Prawo energetyczne z dnia 10 kwietnia 1997 roku. Artykuł 18 ww. ustawy określa, że do zadań własnych gminy w</w:t>
      </w:r>
      <w:r w:rsidR="000F2422">
        <w:rPr>
          <w:rFonts w:ascii="Lato" w:hAnsi="Lato"/>
        </w:rPr>
        <w:t xml:space="preserve"> </w:t>
      </w:r>
      <w:r w:rsidRPr="00CD3DFF">
        <w:rPr>
          <w:rFonts w:ascii="Lato" w:hAnsi="Lato"/>
        </w:rPr>
        <w:t xml:space="preserve">zakresie zaopatrzenia w energię elektryczną, ciepło i paliwa gazowe należy: </w:t>
      </w:r>
    </w:p>
    <w:p w:rsidR="006B2E97" w:rsidRPr="00CD3DFF" w:rsidRDefault="006B2E97"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planowanie i organizacja zaopatrzenia w ciepło, energię</w:t>
      </w:r>
      <w:r w:rsidR="00D03562">
        <w:rPr>
          <w:rFonts w:ascii="Lato" w:hAnsi="Lato" w:cs="Times New Roman"/>
        </w:rPr>
        <w:t xml:space="preserve"> elektryczną i paliwa gazowe na </w:t>
      </w:r>
      <w:r w:rsidRPr="00CD3DFF">
        <w:rPr>
          <w:rFonts w:ascii="Lato" w:hAnsi="Lato" w:cs="Times New Roman"/>
        </w:rPr>
        <w:t>obszarze gminy,</w:t>
      </w:r>
    </w:p>
    <w:p w:rsidR="006B2E97" w:rsidRPr="00CD3DFF" w:rsidRDefault="006B2E97"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planowanie oświetlenia miejsc publicznych i dróg znajdujących się na terenie gminy,</w:t>
      </w:r>
    </w:p>
    <w:p w:rsidR="006B2E97" w:rsidRPr="00CD3DFF" w:rsidRDefault="006B2E97"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finansowanie oświetlenia ulic, placów i dróg publicznych znajdujących się na terenie gminy,</w:t>
      </w:r>
    </w:p>
    <w:p w:rsidR="006B2E97" w:rsidRPr="00CD3DFF" w:rsidRDefault="006B2E97" w:rsidP="00CD3DFF">
      <w:pPr>
        <w:pStyle w:val="Tekstpodstawowy"/>
        <w:numPr>
          <w:ilvl w:val="0"/>
          <w:numId w:val="83"/>
        </w:numPr>
        <w:tabs>
          <w:tab w:val="clear" w:pos="360"/>
        </w:tabs>
        <w:ind w:left="709" w:hanging="425"/>
        <w:rPr>
          <w:rFonts w:ascii="Lato" w:hAnsi="Lato" w:cs="Times New Roman"/>
        </w:rPr>
      </w:pPr>
      <w:r w:rsidRPr="00CD3DFF">
        <w:rPr>
          <w:rFonts w:ascii="Lato" w:hAnsi="Lato" w:cs="Times New Roman"/>
        </w:rPr>
        <w:t>planowanie i organizacja działań mających na celu racjonalizację zużycia energii i promocję rozwiązań zmniejszających zużycie energii na obszarze gminy.</w:t>
      </w:r>
    </w:p>
    <w:p w:rsidR="00CD3DFF" w:rsidRDefault="00CD3DFF" w:rsidP="00C729D3">
      <w:pPr>
        <w:ind w:firstLine="0"/>
        <w:rPr>
          <w:rFonts w:ascii="Lato" w:hAnsi="Lato"/>
          <w:highlight w:val="yellow"/>
        </w:rPr>
      </w:pPr>
    </w:p>
    <w:p w:rsidR="00581E75" w:rsidRPr="00CD3DFF" w:rsidRDefault="00581E75" w:rsidP="00C729D3">
      <w:pPr>
        <w:ind w:firstLine="0"/>
        <w:rPr>
          <w:rFonts w:ascii="Lato" w:hAnsi="Lato"/>
        </w:rPr>
      </w:pPr>
      <w:r w:rsidRPr="00CD3DFF">
        <w:rPr>
          <w:rFonts w:ascii="Lato" w:hAnsi="Lato"/>
        </w:rPr>
        <w:t>W ogólnych metodach planowania rozróżnia się następujące etapy:</w:t>
      </w:r>
    </w:p>
    <w:p w:rsidR="00581E75" w:rsidRPr="00CD3DFF" w:rsidRDefault="00581E75" w:rsidP="00C729D3">
      <w:pPr>
        <w:ind w:firstLine="0"/>
        <w:rPr>
          <w:rFonts w:ascii="Lato" w:hAnsi="Lato"/>
        </w:rPr>
      </w:pPr>
      <w:r w:rsidRPr="00CD3DFF">
        <w:rPr>
          <w:rFonts w:ascii="Lato" w:hAnsi="Lato"/>
        </w:rPr>
        <w:t>(1)</w:t>
      </w:r>
      <w:r w:rsidRPr="00CD3DFF">
        <w:rPr>
          <w:rFonts w:ascii="Lato" w:hAnsi="Lato"/>
        </w:rPr>
        <w:tab/>
        <w:t>ocena przyszłych warunków działania,</w:t>
      </w:r>
    </w:p>
    <w:p w:rsidR="00581E75" w:rsidRPr="00CD3DFF" w:rsidRDefault="00581E75" w:rsidP="00C729D3">
      <w:pPr>
        <w:ind w:firstLine="0"/>
        <w:rPr>
          <w:rFonts w:ascii="Lato" w:hAnsi="Lato"/>
        </w:rPr>
      </w:pPr>
      <w:r w:rsidRPr="00CD3DFF">
        <w:rPr>
          <w:rFonts w:ascii="Lato" w:hAnsi="Lato"/>
        </w:rPr>
        <w:t>(2)</w:t>
      </w:r>
      <w:r w:rsidRPr="00CD3DFF">
        <w:rPr>
          <w:rFonts w:ascii="Lato" w:hAnsi="Lato"/>
        </w:rPr>
        <w:tab/>
        <w:t>wyznaczenie celów ogólnych i szczegółowych,</w:t>
      </w:r>
    </w:p>
    <w:p w:rsidR="00581E75" w:rsidRPr="00CD3DFF" w:rsidRDefault="00581E75" w:rsidP="00C729D3">
      <w:pPr>
        <w:ind w:firstLine="0"/>
        <w:rPr>
          <w:rFonts w:ascii="Lato" w:hAnsi="Lato"/>
        </w:rPr>
      </w:pPr>
      <w:r w:rsidRPr="00CD3DFF">
        <w:rPr>
          <w:rFonts w:ascii="Lato" w:hAnsi="Lato"/>
        </w:rPr>
        <w:t>(3)</w:t>
      </w:r>
      <w:r w:rsidRPr="00CD3DFF">
        <w:rPr>
          <w:rFonts w:ascii="Lato" w:hAnsi="Lato"/>
        </w:rPr>
        <w:tab/>
        <w:t>sformułowanie programów działania i ich ocena porównawcza,</w:t>
      </w:r>
    </w:p>
    <w:p w:rsidR="00581E75" w:rsidRPr="00CD3DFF" w:rsidRDefault="00581E75" w:rsidP="00C729D3">
      <w:pPr>
        <w:ind w:firstLine="0"/>
        <w:rPr>
          <w:rFonts w:ascii="Lato" w:hAnsi="Lato"/>
        </w:rPr>
      </w:pPr>
      <w:r w:rsidRPr="00CD3DFF">
        <w:rPr>
          <w:rFonts w:ascii="Lato" w:hAnsi="Lato"/>
        </w:rPr>
        <w:t>(4)</w:t>
      </w:r>
      <w:r w:rsidRPr="00CD3DFF">
        <w:rPr>
          <w:rFonts w:ascii="Lato" w:hAnsi="Lato"/>
        </w:rPr>
        <w:tab/>
        <w:t>wybór programu – sposobu osiągnięcia celów.</w:t>
      </w:r>
    </w:p>
    <w:p w:rsidR="00581E75" w:rsidRPr="00D352C4" w:rsidRDefault="00581E75" w:rsidP="00C729D3">
      <w:pPr>
        <w:ind w:firstLine="0"/>
        <w:rPr>
          <w:rFonts w:ascii="Lato" w:hAnsi="Lato"/>
          <w:highlight w:val="yellow"/>
        </w:rPr>
      </w:pPr>
    </w:p>
    <w:p w:rsidR="00581E75" w:rsidRPr="00424595" w:rsidRDefault="00581E75" w:rsidP="00C729D3">
      <w:pPr>
        <w:ind w:firstLine="0"/>
        <w:jc w:val="both"/>
        <w:rPr>
          <w:rFonts w:ascii="Lato" w:hAnsi="Lato"/>
        </w:rPr>
      </w:pPr>
      <w:r w:rsidRPr="00424595">
        <w:rPr>
          <w:rFonts w:ascii="Lato" w:hAnsi="Lato"/>
        </w:rPr>
        <w:t xml:space="preserve">W planowaniu energetycznym mamy najczęściej do czynienia </w:t>
      </w:r>
      <w:r w:rsidR="005006A8" w:rsidRPr="00424595">
        <w:rPr>
          <w:rFonts w:ascii="Lato" w:hAnsi="Lato"/>
        </w:rPr>
        <w:t>z trzema uniwersalnymi celami w </w:t>
      </w:r>
      <w:r w:rsidRPr="00424595">
        <w:rPr>
          <w:rFonts w:ascii="Lato" w:hAnsi="Lato"/>
        </w:rPr>
        <w:t>zaopatrzeniu podmiotów gospodarczych i społeczeństwa gminy w energię</w:t>
      </w:r>
      <w:r w:rsidR="009246E7" w:rsidRPr="00424595">
        <w:rPr>
          <w:rFonts w:ascii="Lato" w:hAnsi="Lato"/>
        </w:rPr>
        <w:t xml:space="preserve"> do roku 203</w:t>
      </w:r>
      <w:r w:rsidR="002167DB" w:rsidRPr="00424595">
        <w:rPr>
          <w:rFonts w:ascii="Lato" w:hAnsi="Lato"/>
        </w:rPr>
        <w:t>5</w:t>
      </w:r>
      <w:r w:rsidRPr="00424595">
        <w:rPr>
          <w:rFonts w:ascii="Lato" w:hAnsi="Lato"/>
        </w:rPr>
        <w:t>. Są to:</w:t>
      </w:r>
    </w:p>
    <w:p w:rsidR="00581E75" w:rsidRPr="00424595" w:rsidRDefault="00581E75" w:rsidP="00C729D3">
      <w:pPr>
        <w:ind w:firstLine="0"/>
        <w:rPr>
          <w:rFonts w:ascii="Lato" w:hAnsi="Lato"/>
        </w:rPr>
      </w:pPr>
      <w:r w:rsidRPr="00424595">
        <w:rPr>
          <w:rFonts w:ascii="Lato" w:hAnsi="Lato"/>
        </w:rPr>
        <w:lastRenderedPageBreak/>
        <w:t>(1)</w:t>
      </w:r>
      <w:r w:rsidRPr="00424595">
        <w:rPr>
          <w:rFonts w:ascii="Lato" w:hAnsi="Lato"/>
        </w:rPr>
        <w:tab/>
        <w:t>Podniesienie jakości powietrza,</w:t>
      </w:r>
    </w:p>
    <w:p w:rsidR="00581E75" w:rsidRPr="00424595" w:rsidRDefault="00581E75" w:rsidP="00C729D3">
      <w:pPr>
        <w:ind w:firstLine="0"/>
        <w:rPr>
          <w:rFonts w:ascii="Lato" w:hAnsi="Lato"/>
        </w:rPr>
      </w:pPr>
      <w:r w:rsidRPr="00424595">
        <w:rPr>
          <w:rFonts w:ascii="Lato" w:hAnsi="Lato"/>
        </w:rPr>
        <w:t>(2)</w:t>
      </w:r>
      <w:r w:rsidRPr="00424595">
        <w:rPr>
          <w:rFonts w:ascii="Lato" w:hAnsi="Lato"/>
        </w:rPr>
        <w:tab/>
        <w:t>Bezpieczeństwo energetyczne,</w:t>
      </w:r>
    </w:p>
    <w:p w:rsidR="00581E75" w:rsidRPr="00424595" w:rsidRDefault="00581E75" w:rsidP="00C729D3">
      <w:pPr>
        <w:ind w:left="705" w:hanging="705"/>
        <w:rPr>
          <w:rFonts w:ascii="Lato" w:hAnsi="Lato"/>
        </w:rPr>
      </w:pPr>
      <w:r w:rsidRPr="00424595">
        <w:rPr>
          <w:rFonts w:ascii="Lato" w:hAnsi="Lato"/>
        </w:rPr>
        <w:t>(3)</w:t>
      </w:r>
      <w:r w:rsidRPr="00424595">
        <w:rPr>
          <w:rFonts w:ascii="Lato" w:hAnsi="Lato"/>
        </w:rPr>
        <w:tab/>
        <w:t>Akceptacja społeczna działań gminy w zakresie energetyki</w:t>
      </w:r>
      <w:r w:rsidR="007A7189" w:rsidRPr="00424595">
        <w:rPr>
          <w:rFonts w:ascii="Lato" w:hAnsi="Lato"/>
        </w:rPr>
        <w:t>,</w:t>
      </w:r>
      <w:r w:rsidRPr="00424595">
        <w:rPr>
          <w:rFonts w:ascii="Lato" w:hAnsi="Lato"/>
        </w:rPr>
        <w:t xml:space="preserve"> w tym tworzenie warunków dla zdrowego życia mieszkańców, solidarność na rzecz warunków życia przyszłych pokoleń.</w:t>
      </w:r>
    </w:p>
    <w:p w:rsidR="00581E75" w:rsidRPr="00424595" w:rsidRDefault="00581E75" w:rsidP="00C729D3">
      <w:pPr>
        <w:ind w:firstLine="705"/>
        <w:jc w:val="both"/>
        <w:rPr>
          <w:rFonts w:ascii="Lato" w:hAnsi="Lato"/>
        </w:rPr>
      </w:pPr>
      <w:r w:rsidRPr="00424595">
        <w:rPr>
          <w:rFonts w:ascii="Lato" w:hAnsi="Lato"/>
        </w:rPr>
        <w:t>Niektóre cele wynikają z uwarunkowań zewnętrznych, np. polityki ene</w:t>
      </w:r>
      <w:r w:rsidR="00424595" w:rsidRPr="00424595">
        <w:rPr>
          <w:rFonts w:ascii="Lato" w:hAnsi="Lato"/>
        </w:rPr>
        <w:t>rgetycznej i </w:t>
      </w:r>
      <w:r w:rsidR="00210022" w:rsidRPr="00424595">
        <w:rPr>
          <w:rFonts w:ascii="Lato" w:hAnsi="Lato"/>
        </w:rPr>
        <w:t>środowiskowej Unii </w:t>
      </w:r>
      <w:r w:rsidRPr="00424595">
        <w:rPr>
          <w:rFonts w:ascii="Lato" w:hAnsi="Lato"/>
        </w:rPr>
        <w:t>Europejskiej i Polski. Są więc one niejako wymuszone prawnie np. standardy emisji zanieczyszczeń powietrza czy wielkości zaoszczędzonej energii przez jednostki sektora publicznego. Niektóre zaś są celami lokalnymi</w:t>
      </w:r>
      <w:r w:rsidR="007A7189" w:rsidRPr="00424595">
        <w:rPr>
          <w:rFonts w:ascii="Lato" w:hAnsi="Lato"/>
        </w:rPr>
        <w:t>,</w:t>
      </w:r>
      <w:r w:rsidRPr="00424595">
        <w:rPr>
          <w:rFonts w:ascii="Lato" w:hAnsi="Lato"/>
        </w:rPr>
        <w:t xml:space="preserve"> wynikającymi z konieczności poprawy stanu istniejącego i potrzeb rozwoju społeczno-gospodarczego gminy.</w:t>
      </w:r>
    </w:p>
    <w:p w:rsidR="00581E75" w:rsidRPr="00424595" w:rsidRDefault="00581E75" w:rsidP="00617C1D">
      <w:pPr>
        <w:ind w:firstLine="703"/>
        <w:jc w:val="both"/>
        <w:rPr>
          <w:rFonts w:ascii="Lato" w:hAnsi="Lato"/>
        </w:rPr>
      </w:pPr>
      <w:r w:rsidRPr="00424595">
        <w:rPr>
          <w:rFonts w:ascii="Lato" w:hAnsi="Lato"/>
        </w:rPr>
        <w:t xml:space="preserve">Wszystkie jednak mają wpływ na koszty zaopatrzenia gminy w energię. Wielkości celów szczegółowych muszą być przyjmowane rozważnie, na zasadach rozsądnego kompromisu między poziomem technicznego bezpieczeństwa energetycznego (rezerwowanie źródeł energii i sieci energetycznych, awaryjna rezerwa mocy wytwórczych i przesyłowych, </w:t>
      </w:r>
      <w:r w:rsidR="005006A8" w:rsidRPr="00424595">
        <w:rPr>
          <w:rFonts w:ascii="Lato" w:hAnsi="Lato"/>
        </w:rPr>
        <w:t>itp.)</w:t>
      </w:r>
      <w:r w:rsidR="00424595" w:rsidRPr="00424595">
        <w:rPr>
          <w:rFonts w:ascii="Lato" w:hAnsi="Lato"/>
        </w:rPr>
        <w:t>,</w:t>
      </w:r>
      <w:r w:rsidR="005006A8" w:rsidRPr="00424595">
        <w:rPr>
          <w:rFonts w:ascii="Lato" w:hAnsi="Lato"/>
        </w:rPr>
        <w:t xml:space="preserve"> a kosztami zaopatrzenia w </w:t>
      </w:r>
      <w:r w:rsidRPr="00424595">
        <w:rPr>
          <w:rFonts w:ascii="Lato" w:hAnsi="Lato"/>
        </w:rPr>
        <w:t>energię, które obciążą lokalne podmioty gospodarcze i społeczeństwo. To samo dotyczy jakości środowiska, gdyż coraz czystsze otoczenie (ponadstandardowa jakość) na ogół kosztuje więcej.</w:t>
      </w:r>
    </w:p>
    <w:p w:rsidR="00581E75" w:rsidRPr="00424595" w:rsidRDefault="00581E75" w:rsidP="00C729D3">
      <w:pPr>
        <w:ind w:firstLine="705"/>
        <w:jc w:val="both"/>
        <w:rPr>
          <w:rFonts w:ascii="Lato" w:hAnsi="Lato"/>
        </w:rPr>
      </w:pPr>
      <w:r w:rsidRPr="00424595">
        <w:rPr>
          <w:rFonts w:ascii="Lato" w:hAnsi="Lato"/>
        </w:rPr>
        <w:t>Istnieje wiele opcji technicznych (urządzenia wytwarzania, przesyłu i użytkowania energii), opcji paliwowych (węgiel, gaz ziemny i ciekły, produkty ropopochodne, odnawialne źródł</w:t>
      </w:r>
      <w:r w:rsidR="00424595" w:rsidRPr="00424595">
        <w:rPr>
          <w:rFonts w:ascii="Lato" w:hAnsi="Lato"/>
        </w:rPr>
        <w:t>a energii) i </w:t>
      </w:r>
      <w:r w:rsidRPr="00424595">
        <w:rPr>
          <w:rFonts w:ascii="Lato" w:hAnsi="Lato"/>
        </w:rPr>
        <w:t>opcji finansowych (instrumenty finansowe), które mo</w:t>
      </w:r>
      <w:r w:rsidR="00424595" w:rsidRPr="00424595">
        <w:rPr>
          <w:rFonts w:ascii="Lato" w:hAnsi="Lato"/>
        </w:rPr>
        <w:t>gą zapewnić przyszłe (krótko-i </w:t>
      </w:r>
      <w:r w:rsidRPr="00424595">
        <w:rPr>
          <w:rFonts w:ascii="Lato" w:hAnsi="Lato"/>
        </w:rPr>
        <w:t>długoterminowe) zaopatrzenie w energię.</w:t>
      </w:r>
    </w:p>
    <w:p w:rsidR="00581E75" w:rsidRPr="00424595" w:rsidRDefault="00581E75" w:rsidP="00C729D3">
      <w:pPr>
        <w:ind w:firstLine="0"/>
        <w:jc w:val="both"/>
        <w:rPr>
          <w:rFonts w:ascii="Lato" w:hAnsi="Lato"/>
        </w:rPr>
      </w:pPr>
    </w:p>
    <w:p w:rsidR="00581E75" w:rsidRPr="00424595" w:rsidRDefault="00581E75" w:rsidP="00C729D3">
      <w:pPr>
        <w:ind w:firstLine="705"/>
        <w:jc w:val="both"/>
        <w:rPr>
          <w:rFonts w:ascii="Lato" w:hAnsi="Lato"/>
        </w:rPr>
      </w:pPr>
      <w:r w:rsidRPr="00424595">
        <w:rPr>
          <w:rFonts w:ascii="Lato" w:hAnsi="Lato"/>
        </w:rPr>
        <w:t>Planowanie energetyczne ma więc doprowadzić do wyboru takiego scenarius</w:t>
      </w:r>
      <w:r w:rsidR="005006A8" w:rsidRPr="00424595">
        <w:rPr>
          <w:rFonts w:ascii="Lato" w:hAnsi="Lato"/>
        </w:rPr>
        <w:t>za zaopatrzenia w </w:t>
      </w:r>
      <w:r w:rsidRPr="00424595">
        <w:rPr>
          <w:rFonts w:ascii="Lato" w:hAnsi="Lato"/>
        </w:rPr>
        <w:t>energię, który ma najniższe koszty i aktywizuje lokalną gospodarkę.</w:t>
      </w:r>
    </w:p>
    <w:p w:rsidR="00581E75" w:rsidRPr="00424595" w:rsidRDefault="00581E75" w:rsidP="00C729D3">
      <w:pPr>
        <w:ind w:firstLine="0"/>
        <w:jc w:val="both"/>
        <w:rPr>
          <w:rFonts w:ascii="Lato" w:hAnsi="Lato"/>
        </w:rPr>
      </w:pPr>
      <w:r w:rsidRPr="00424595">
        <w:rPr>
          <w:rFonts w:ascii="Lato" w:hAnsi="Lato"/>
        </w:rPr>
        <w:t>Jeżeli do tego uwzględnimy:</w:t>
      </w:r>
    </w:p>
    <w:p w:rsidR="00581E75" w:rsidRPr="00424595" w:rsidRDefault="00581E75" w:rsidP="00CD3DFF">
      <w:pPr>
        <w:pStyle w:val="Tekstpodstawowy"/>
        <w:numPr>
          <w:ilvl w:val="0"/>
          <w:numId w:val="83"/>
        </w:numPr>
        <w:tabs>
          <w:tab w:val="clear" w:pos="360"/>
        </w:tabs>
        <w:ind w:left="709" w:hanging="425"/>
        <w:rPr>
          <w:rFonts w:ascii="Lato" w:hAnsi="Lato" w:cs="Times New Roman"/>
        </w:rPr>
      </w:pPr>
      <w:r w:rsidRPr="00424595">
        <w:rPr>
          <w:rFonts w:ascii="Lato" w:hAnsi="Lato" w:cs="Times New Roman"/>
        </w:rPr>
        <w:t>dużą niepewność przyszłego otoczenia lokalnych system</w:t>
      </w:r>
      <w:r w:rsidR="00424595" w:rsidRPr="00424595">
        <w:rPr>
          <w:rFonts w:ascii="Lato" w:hAnsi="Lato" w:cs="Times New Roman"/>
        </w:rPr>
        <w:t>ów energetycznych (ceny paliw i </w:t>
      </w:r>
      <w:r w:rsidRPr="00424595">
        <w:rPr>
          <w:rFonts w:ascii="Lato" w:hAnsi="Lato" w:cs="Times New Roman"/>
        </w:rPr>
        <w:t>energii, wpływ rynkowych mechanizmów</w:t>
      </w:r>
      <w:r w:rsidR="007A7189" w:rsidRPr="00424595">
        <w:rPr>
          <w:rFonts w:ascii="Lato" w:hAnsi="Lato" w:cs="Times New Roman"/>
        </w:rPr>
        <w:t>,</w:t>
      </w:r>
      <w:r w:rsidRPr="00424595">
        <w:rPr>
          <w:rFonts w:ascii="Lato" w:hAnsi="Lato" w:cs="Times New Roman"/>
        </w:rPr>
        <w:t xml:space="preserve"> takich jak ceny pozwoleń na emisję zanieczyszczeń, przychody ze sprzedaży świadectw energii i wkrótce z oszczędności energii), </w:t>
      </w:r>
    </w:p>
    <w:p w:rsidR="00581E75" w:rsidRPr="00424595" w:rsidRDefault="00581E75" w:rsidP="00CD3DFF">
      <w:pPr>
        <w:pStyle w:val="Tekstpodstawowy"/>
        <w:numPr>
          <w:ilvl w:val="0"/>
          <w:numId w:val="83"/>
        </w:numPr>
        <w:tabs>
          <w:tab w:val="clear" w:pos="360"/>
        </w:tabs>
        <w:ind w:left="709" w:hanging="425"/>
        <w:rPr>
          <w:rFonts w:ascii="Lato" w:hAnsi="Lato" w:cs="Times New Roman"/>
        </w:rPr>
      </w:pPr>
      <w:r w:rsidRPr="00424595">
        <w:rPr>
          <w:rFonts w:ascii="Lato" w:hAnsi="Lato" w:cs="Times New Roman"/>
        </w:rPr>
        <w:t>dynamicznie powstające nowe uregulowania prawne (pa</w:t>
      </w:r>
      <w:r w:rsidR="000F2422">
        <w:rPr>
          <w:rFonts w:ascii="Lato" w:hAnsi="Lato" w:cs="Times New Roman"/>
        </w:rPr>
        <w:t>kiet klimatyczno-energetyczny),</w:t>
      </w:r>
    </w:p>
    <w:p w:rsidR="00F037B2" w:rsidRPr="00424595" w:rsidRDefault="00581E75" w:rsidP="00CD3DFF">
      <w:pPr>
        <w:pStyle w:val="Tekstpodstawowy"/>
        <w:numPr>
          <w:ilvl w:val="0"/>
          <w:numId w:val="83"/>
        </w:numPr>
        <w:tabs>
          <w:tab w:val="clear" w:pos="360"/>
        </w:tabs>
        <w:ind w:left="709" w:hanging="425"/>
        <w:rPr>
          <w:rFonts w:ascii="Lato" w:hAnsi="Lato" w:cs="Times New Roman"/>
        </w:rPr>
      </w:pPr>
      <w:r w:rsidRPr="00424595">
        <w:rPr>
          <w:rFonts w:ascii="Lato" w:hAnsi="Lato" w:cs="Times New Roman"/>
        </w:rPr>
        <w:t>świadomość, że dzisiaj podjęte inwestycje i inne przedsięwzięcia e</w:t>
      </w:r>
      <w:r w:rsidR="00C1032C" w:rsidRPr="00424595">
        <w:rPr>
          <w:rFonts w:ascii="Lato" w:hAnsi="Lato" w:cs="Times New Roman"/>
        </w:rPr>
        <w:t>nergetyczne będą funkcjonować w </w:t>
      </w:r>
      <w:r w:rsidRPr="00424595">
        <w:rPr>
          <w:rFonts w:ascii="Lato" w:hAnsi="Lato" w:cs="Times New Roman"/>
        </w:rPr>
        <w:t>okresie żywotności urządzeń (nieraz do 40</w:t>
      </w:r>
      <w:r w:rsidR="00424595" w:rsidRPr="00424595">
        <w:rPr>
          <w:rFonts w:ascii="Lato" w:hAnsi="Lato" w:cs="Times New Roman"/>
        </w:rPr>
        <w:t xml:space="preserve"> – 50 lat, ale prawdopodobnie w </w:t>
      </w:r>
      <w:r w:rsidRPr="00424595">
        <w:rPr>
          <w:rFonts w:ascii="Lato" w:hAnsi="Lato" w:cs="Times New Roman"/>
        </w:rPr>
        <w:t>innych warunkach technologicznych, prawnych i ekonomicznych)</w:t>
      </w:r>
      <w:r w:rsidR="007A7189" w:rsidRPr="00424595">
        <w:rPr>
          <w:rFonts w:ascii="Lato" w:hAnsi="Lato" w:cs="Times New Roman"/>
        </w:rPr>
        <w:t>,</w:t>
      </w:r>
      <w:r w:rsidRPr="00424595">
        <w:rPr>
          <w:rFonts w:ascii="Lato" w:hAnsi="Lato" w:cs="Times New Roman"/>
        </w:rPr>
        <w:t xml:space="preserve"> </w:t>
      </w:r>
    </w:p>
    <w:p w:rsidR="00581E75" w:rsidRPr="00424595" w:rsidRDefault="00581E75" w:rsidP="00C729D3">
      <w:pPr>
        <w:pStyle w:val="Akapitzlist"/>
        <w:spacing w:line="312" w:lineRule="auto"/>
        <w:ind w:left="0"/>
        <w:jc w:val="both"/>
        <w:rPr>
          <w:rFonts w:ascii="Lato" w:hAnsi="Lato"/>
          <w:szCs w:val="22"/>
        </w:rPr>
      </w:pPr>
      <w:r w:rsidRPr="00424595">
        <w:rPr>
          <w:rFonts w:ascii="Lato" w:hAnsi="Lato"/>
          <w:sz w:val="22"/>
          <w:szCs w:val="22"/>
        </w:rPr>
        <w:t>to widać, że zadanie planowania energetycznego postawione przed gminami nie jest łatwe.</w:t>
      </w:r>
    </w:p>
    <w:p w:rsidR="00581E75" w:rsidRPr="00D352C4" w:rsidRDefault="00581E75" w:rsidP="00C729D3">
      <w:pPr>
        <w:ind w:firstLine="0"/>
        <w:jc w:val="both"/>
        <w:rPr>
          <w:rFonts w:ascii="Lato" w:hAnsi="Lato"/>
          <w:highlight w:val="yellow"/>
        </w:rPr>
      </w:pPr>
    </w:p>
    <w:p w:rsidR="00581E75" w:rsidRPr="00424595" w:rsidRDefault="00581E75" w:rsidP="00C729D3">
      <w:pPr>
        <w:ind w:firstLine="435"/>
        <w:jc w:val="both"/>
        <w:rPr>
          <w:rFonts w:ascii="Lato" w:hAnsi="Lato"/>
        </w:rPr>
      </w:pPr>
      <w:r w:rsidRPr="00424595">
        <w:rPr>
          <w:rFonts w:ascii="Lato" w:hAnsi="Lato"/>
        </w:rPr>
        <w:t>Tym bardziej potrzebne jest profesjonalne podejście do opracowania planów i wdrożenie procedur monitorowania realizacji oraz okresowej aktualizacji planów.</w:t>
      </w:r>
    </w:p>
    <w:p w:rsidR="00581E75" w:rsidRPr="00424595" w:rsidRDefault="00581E75" w:rsidP="00C729D3">
      <w:pPr>
        <w:ind w:firstLine="0"/>
        <w:jc w:val="both"/>
        <w:rPr>
          <w:rFonts w:ascii="Lato" w:hAnsi="Lato"/>
        </w:rPr>
      </w:pPr>
    </w:p>
    <w:p w:rsidR="00443113" w:rsidRPr="00424595" w:rsidRDefault="00443113" w:rsidP="00907272">
      <w:pPr>
        <w:pStyle w:val="Nagwek2"/>
        <w:rPr>
          <w:rFonts w:ascii="Lato" w:hAnsi="Lato" w:cs="Times New Roman"/>
        </w:rPr>
      </w:pPr>
      <w:bookmarkStart w:id="90" w:name="_Toc20218506"/>
      <w:r w:rsidRPr="00424595">
        <w:rPr>
          <w:rFonts w:ascii="Lato" w:hAnsi="Lato" w:cs="Times New Roman"/>
        </w:rPr>
        <w:t xml:space="preserve">Ogólne cele gospodarki energetycznej </w:t>
      </w:r>
      <w:r w:rsidR="006B2E97" w:rsidRPr="00424595">
        <w:rPr>
          <w:rFonts w:ascii="Lato" w:hAnsi="Lato" w:cs="Times New Roman"/>
        </w:rPr>
        <w:t xml:space="preserve">Gminy </w:t>
      </w:r>
      <w:r w:rsidR="00424595" w:rsidRPr="00424595">
        <w:rPr>
          <w:rFonts w:ascii="Lato" w:hAnsi="Lato" w:cs="Times New Roman"/>
        </w:rPr>
        <w:t>Pabianice</w:t>
      </w:r>
      <w:bookmarkEnd w:id="90"/>
    </w:p>
    <w:p w:rsidR="004759BF" w:rsidRPr="00424595" w:rsidRDefault="004759BF" w:rsidP="007365FE">
      <w:pPr>
        <w:pStyle w:val="Tekstpodstawowywcity"/>
        <w:ind w:left="0"/>
        <w:jc w:val="both"/>
        <w:rPr>
          <w:rFonts w:ascii="Lato" w:hAnsi="Lato"/>
          <w:szCs w:val="24"/>
        </w:rPr>
      </w:pPr>
      <w:r w:rsidRPr="00424595">
        <w:rPr>
          <w:rFonts w:ascii="Lato" w:hAnsi="Lato"/>
          <w:szCs w:val="24"/>
        </w:rPr>
        <w:t xml:space="preserve">Tworzenie założeń do planu zaopatrzenia w ciepło, energię elektryczną i paliwa gazowe dla gmin powinno </w:t>
      </w:r>
      <w:r w:rsidR="00C90588" w:rsidRPr="00424595">
        <w:rPr>
          <w:rFonts w:ascii="Lato" w:hAnsi="Lato"/>
          <w:szCs w:val="24"/>
        </w:rPr>
        <w:t>nawiązywać</w:t>
      </w:r>
      <w:r w:rsidRPr="00424595">
        <w:rPr>
          <w:rFonts w:ascii="Lato" w:hAnsi="Lato"/>
          <w:szCs w:val="24"/>
        </w:rPr>
        <w:t xml:space="preserve"> nie </w:t>
      </w:r>
      <w:r w:rsidR="00C90588" w:rsidRPr="00424595">
        <w:rPr>
          <w:rFonts w:ascii="Lato" w:hAnsi="Lato"/>
          <w:szCs w:val="24"/>
        </w:rPr>
        <w:t xml:space="preserve">tylko </w:t>
      </w:r>
      <w:r w:rsidRPr="00424595">
        <w:rPr>
          <w:rFonts w:ascii="Lato" w:hAnsi="Lato"/>
          <w:szCs w:val="24"/>
        </w:rPr>
        <w:t>od działań</w:t>
      </w:r>
      <w:r w:rsidR="00C90588" w:rsidRPr="00424595">
        <w:rPr>
          <w:rFonts w:ascii="Lato" w:hAnsi="Lato"/>
          <w:szCs w:val="24"/>
        </w:rPr>
        <w:t xml:space="preserve"> wymienionych w </w:t>
      </w:r>
      <w:r w:rsidRPr="00424595">
        <w:rPr>
          <w:rFonts w:ascii="Lato" w:hAnsi="Lato"/>
          <w:szCs w:val="24"/>
        </w:rPr>
        <w:t>Ustaw</w:t>
      </w:r>
      <w:r w:rsidR="00C90588" w:rsidRPr="00424595">
        <w:rPr>
          <w:rFonts w:ascii="Lato" w:hAnsi="Lato"/>
          <w:szCs w:val="24"/>
        </w:rPr>
        <w:t>ie</w:t>
      </w:r>
      <w:r w:rsidR="00424595" w:rsidRPr="00424595">
        <w:rPr>
          <w:rFonts w:ascii="Lato" w:hAnsi="Lato"/>
          <w:szCs w:val="24"/>
        </w:rPr>
        <w:t xml:space="preserve"> Prawo energetyczne, a </w:t>
      </w:r>
      <w:r w:rsidR="00C90588" w:rsidRPr="00424595">
        <w:rPr>
          <w:rFonts w:ascii="Lato" w:hAnsi="Lato"/>
          <w:szCs w:val="24"/>
        </w:rPr>
        <w:t>do</w:t>
      </w:r>
      <w:r w:rsidRPr="00424595">
        <w:rPr>
          <w:rFonts w:ascii="Lato" w:hAnsi="Lato"/>
          <w:szCs w:val="24"/>
        </w:rPr>
        <w:t xml:space="preserve"> celów jakie gmina przez plan zamierza osiągnąć.</w:t>
      </w:r>
    </w:p>
    <w:p w:rsidR="004759BF" w:rsidRPr="00424595" w:rsidRDefault="004759BF" w:rsidP="007365FE">
      <w:pPr>
        <w:pStyle w:val="Tekstpodstawowywcity"/>
        <w:ind w:left="0" w:firstLine="0"/>
        <w:rPr>
          <w:rFonts w:ascii="Lato" w:hAnsi="Lato"/>
        </w:rPr>
      </w:pPr>
      <w:r w:rsidRPr="00424595">
        <w:rPr>
          <w:rFonts w:ascii="Lato" w:hAnsi="Lato"/>
        </w:rPr>
        <w:lastRenderedPageBreak/>
        <w:t xml:space="preserve">Poniżej zestawiono ogólne cele gospodarki energetycznej </w:t>
      </w:r>
      <w:r w:rsidR="006B2E97" w:rsidRPr="00424595">
        <w:rPr>
          <w:rFonts w:ascii="Lato" w:hAnsi="Lato"/>
        </w:rPr>
        <w:t xml:space="preserve">Gminy </w:t>
      </w:r>
      <w:r w:rsidR="00424595" w:rsidRPr="00424595">
        <w:rPr>
          <w:rFonts w:ascii="Lato" w:hAnsi="Lato"/>
        </w:rPr>
        <w:t>Pabianice</w:t>
      </w:r>
      <w:r w:rsidR="006B2E97" w:rsidRPr="00424595">
        <w:rPr>
          <w:rFonts w:ascii="Lato" w:hAnsi="Lato"/>
        </w:rPr>
        <w:t>:</w:t>
      </w:r>
    </w:p>
    <w:p w:rsidR="007A7189" w:rsidRPr="00D352C4" w:rsidRDefault="007A7189" w:rsidP="007365FE">
      <w:pPr>
        <w:pStyle w:val="Tekstpodstawowywcity"/>
        <w:ind w:left="0" w:firstLine="0"/>
        <w:rPr>
          <w:rFonts w:ascii="Lato" w:hAnsi="Lato"/>
          <w:highlight w:val="yellow"/>
        </w:rPr>
      </w:pPr>
    </w:p>
    <w:p w:rsidR="004759BF" w:rsidRPr="00424595" w:rsidRDefault="00843020" w:rsidP="00AB431C">
      <w:pPr>
        <w:numPr>
          <w:ilvl w:val="0"/>
          <w:numId w:val="45"/>
        </w:numPr>
        <w:rPr>
          <w:rFonts w:ascii="Lato" w:hAnsi="Lato"/>
          <w:b/>
          <w:bCs/>
        </w:rPr>
      </w:pPr>
      <w:r w:rsidRPr="00424595">
        <w:rPr>
          <w:rFonts w:ascii="Lato" w:hAnsi="Lato"/>
          <w:b/>
          <w:bCs/>
        </w:rPr>
        <w:t>Polepszenie jakości powietrza</w:t>
      </w:r>
      <w:r w:rsidR="004759BF" w:rsidRPr="00424595">
        <w:rPr>
          <w:rFonts w:ascii="Lato" w:hAnsi="Lato"/>
          <w:b/>
          <w:bCs/>
        </w:rPr>
        <w:t>:</w:t>
      </w:r>
    </w:p>
    <w:p w:rsidR="00786313" w:rsidRPr="00424595" w:rsidRDefault="004759BF" w:rsidP="00424595">
      <w:pPr>
        <w:pStyle w:val="Tekstpodstawowy"/>
        <w:numPr>
          <w:ilvl w:val="0"/>
          <w:numId w:val="83"/>
        </w:numPr>
        <w:tabs>
          <w:tab w:val="clear" w:pos="360"/>
        </w:tabs>
        <w:ind w:left="709" w:hanging="425"/>
        <w:rPr>
          <w:rFonts w:ascii="Lato" w:hAnsi="Lato" w:cs="Times New Roman"/>
        </w:rPr>
      </w:pPr>
      <w:r w:rsidRPr="00424595">
        <w:rPr>
          <w:rFonts w:ascii="Lato" w:hAnsi="Lato" w:cs="Times New Roman"/>
        </w:rPr>
        <w:t xml:space="preserve">Włączenie się w realizację polityki </w:t>
      </w:r>
      <w:r w:rsidR="00F866CC" w:rsidRPr="00424595">
        <w:rPr>
          <w:rFonts w:ascii="Lato" w:hAnsi="Lato" w:cs="Times New Roman"/>
        </w:rPr>
        <w:t>klimatyczno-energetycznej UE i k</w:t>
      </w:r>
      <w:r w:rsidRPr="00424595">
        <w:rPr>
          <w:rFonts w:ascii="Lato" w:hAnsi="Lato" w:cs="Times New Roman"/>
        </w:rPr>
        <w:t>raju p</w:t>
      </w:r>
      <w:r w:rsidR="00336094" w:rsidRPr="00424595">
        <w:rPr>
          <w:rFonts w:ascii="Lato" w:hAnsi="Lato" w:cs="Times New Roman"/>
        </w:rPr>
        <w:t>op</w:t>
      </w:r>
      <w:r w:rsidRPr="00424595">
        <w:rPr>
          <w:rFonts w:ascii="Lato" w:hAnsi="Lato" w:cs="Times New Roman"/>
        </w:rPr>
        <w:t xml:space="preserve">rzez przymierzenie się do </w:t>
      </w:r>
      <w:r w:rsidR="00336094" w:rsidRPr="00424595">
        <w:rPr>
          <w:rFonts w:ascii="Lato" w:hAnsi="Lato" w:cs="Times New Roman"/>
        </w:rPr>
        <w:t>osią</w:t>
      </w:r>
      <w:r w:rsidR="00961DF6" w:rsidRPr="00424595">
        <w:rPr>
          <w:rFonts w:ascii="Lato" w:hAnsi="Lato" w:cs="Times New Roman"/>
        </w:rPr>
        <w:t>gnięcia</w:t>
      </w:r>
      <w:r w:rsidRPr="00424595">
        <w:rPr>
          <w:rFonts w:ascii="Lato" w:hAnsi="Lato" w:cs="Times New Roman"/>
        </w:rPr>
        <w:t xml:space="preserve"> </w:t>
      </w:r>
      <w:r w:rsidR="00961DF6" w:rsidRPr="00424595">
        <w:rPr>
          <w:rFonts w:ascii="Lato" w:hAnsi="Lato" w:cs="Times New Roman"/>
        </w:rPr>
        <w:t xml:space="preserve">celów </w:t>
      </w:r>
      <w:r w:rsidR="00D033B2" w:rsidRPr="00424595">
        <w:rPr>
          <w:rFonts w:ascii="Lato" w:hAnsi="Lato" w:cs="Times New Roman"/>
        </w:rPr>
        <w:t>klimatycznych.</w:t>
      </w:r>
    </w:p>
    <w:p w:rsidR="00214BCC" w:rsidRPr="00424595" w:rsidRDefault="00214BCC" w:rsidP="00424595">
      <w:pPr>
        <w:pStyle w:val="Tekstpodstawowy"/>
        <w:numPr>
          <w:ilvl w:val="0"/>
          <w:numId w:val="83"/>
        </w:numPr>
        <w:tabs>
          <w:tab w:val="clear" w:pos="360"/>
        </w:tabs>
        <w:ind w:left="709" w:hanging="425"/>
        <w:rPr>
          <w:rFonts w:ascii="Lato" w:hAnsi="Lato" w:cs="Times New Roman"/>
        </w:rPr>
      </w:pPr>
      <w:r w:rsidRPr="00424595">
        <w:rPr>
          <w:rFonts w:ascii="Lato" w:hAnsi="Lato" w:cs="Times New Roman"/>
        </w:rPr>
        <w:t>Minimalizowanie negatywnego oddziaływania energetyki na zdrowie mieszkań</w:t>
      </w:r>
      <w:r w:rsidR="003A145E" w:rsidRPr="00424595">
        <w:rPr>
          <w:rFonts w:ascii="Lato" w:hAnsi="Lato" w:cs="Times New Roman"/>
        </w:rPr>
        <w:t>ców i </w:t>
      </w:r>
      <w:r w:rsidRPr="00424595">
        <w:rPr>
          <w:rFonts w:ascii="Lato" w:hAnsi="Lato" w:cs="Times New Roman"/>
        </w:rPr>
        <w:t>środowisko, w</w:t>
      </w:r>
      <w:r w:rsidR="004363F8" w:rsidRPr="00424595">
        <w:rPr>
          <w:rFonts w:ascii="Lato" w:hAnsi="Lato" w:cs="Times New Roman"/>
        </w:rPr>
        <w:t> </w:t>
      </w:r>
      <w:r w:rsidRPr="00424595">
        <w:rPr>
          <w:rFonts w:ascii="Lato" w:hAnsi="Lato" w:cs="Times New Roman"/>
        </w:rPr>
        <w:t>tym przede wszystkim poprawa jakości powietrza.</w:t>
      </w:r>
    </w:p>
    <w:p w:rsidR="00786313" w:rsidRPr="00424595" w:rsidRDefault="00786313" w:rsidP="007365FE">
      <w:pPr>
        <w:ind w:left="794" w:firstLine="0"/>
        <w:jc w:val="both"/>
        <w:rPr>
          <w:rFonts w:ascii="Lato" w:hAnsi="Lato"/>
        </w:rPr>
      </w:pPr>
    </w:p>
    <w:p w:rsidR="004759BF" w:rsidRPr="00424595" w:rsidRDefault="00843020" w:rsidP="00AB431C">
      <w:pPr>
        <w:numPr>
          <w:ilvl w:val="0"/>
          <w:numId w:val="45"/>
        </w:numPr>
        <w:jc w:val="both"/>
        <w:rPr>
          <w:rFonts w:ascii="Lato" w:hAnsi="Lato"/>
          <w:b/>
          <w:bCs/>
        </w:rPr>
      </w:pPr>
      <w:r w:rsidRPr="00424595">
        <w:rPr>
          <w:rFonts w:ascii="Lato" w:hAnsi="Lato"/>
          <w:b/>
          <w:bCs/>
        </w:rPr>
        <w:t>Podniesienie bezpieczeństwa energetycznego</w:t>
      </w:r>
      <w:r w:rsidR="00786313" w:rsidRPr="00424595">
        <w:rPr>
          <w:rStyle w:val="Odwoanieprzypisudolnego"/>
          <w:rFonts w:ascii="Lato" w:hAnsi="Lato"/>
          <w:b/>
          <w:bCs/>
        </w:rPr>
        <w:footnoteReference w:id="1"/>
      </w:r>
      <w:r w:rsidR="004759BF" w:rsidRPr="00424595">
        <w:rPr>
          <w:rFonts w:ascii="Lato" w:hAnsi="Lato"/>
          <w:b/>
          <w:bCs/>
        </w:rPr>
        <w:t>:</w:t>
      </w:r>
    </w:p>
    <w:p w:rsidR="004759BF" w:rsidRPr="00424595" w:rsidRDefault="004759BF" w:rsidP="00424595">
      <w:pPr>
        <w:pStyle w:val="Tekstpodstawowy"/>
        <w:numPr>
          <w:ilvl w:val="0"/>
          <w:numId w:val="83"/>
        </w:numPr>
        <w:tabs>
          <w:tab w:val="clear" w:pos="360"/>
        </w:tabs>
        <w:ind w:left="709" w:hanging="425"/>
        <w:rPr>
          <w:rFonts w:ascii="Lato" w:hAnsi="Lato" w:cs="Times New Roman"/>
        </w:rPr>
      </w:pPr>
      <w:r w:rsidRPr="00424595">
        <w:rPr>
          <w:rFonts w:ascii="Lato" w:hAnsi="Lato" w:cs="Times New Roman"/>
        </w:rPr>
        <w:t>Zapewnienie bezpieczeństwa dostaw energii dla gospodarki i społeczeństwa</w:t>
      </w:r>
      <w:r w:rsidR="007A7189" w:rsidRPr="00424595">
        <w:rPr>
          <w:rFonts w:ascii="Lato" w:hAnsi="Lato" w:cs="Times New Roman"/>
        </w:rPr>
        <w:t>;</w:t>
      </w:r>
    </w:p>
    <w:p w:rsidR="004759BF" w:rsidRPr="00424595" w:rsidRDefault="004759BF" w:rsidP="00424595">
      <w:pPr>
        <w:pStyle w:val="Tekstpodstawowy"/>
        <w:numPr>
          <w:ilvl w:val="0"/>
          <w:numId w:val="83"/>
        </w:numPr>
        <w:tabs>
          <w:tab w:val="clear" w:pos="360"/>
        </w:tabs>
        <w:ind w:left="709" w:hanging="425"/>
        <w:rPr>
          <w:rFonts w:ascii="Lato" w:hAnsi="Lato" w:cs="Times New Roman"/>
        </w:rPr>
      </w:pPr>
      <w:r w:rsidRPr="00424595">
        <w:rPr>
          <w:rFonts w:ascii="Lato" w:hAnsi="Lato" w:cs="Times New Roman"/>
        </w:rPr>
        <w:t>Zintegrowany rozwój energetyki (strona wytwarzania, dystrybucji i użytkowania energii) prowadzący do możliwie najniższych kosztów pokrycia zapotrzebowania na energię</w:t>
      </w:r>
      <w:r w:rsidR="007A7189" w:rsidRPr="00424595">
        <w:rPr>
          <w:rFonts w:ascii="Lato" w:hAnsi="Lato" w:cs="Times New Roman"/>
        </w:rPr>
        <w:t>;</w:t>
      </w:r>
    </w:p>
    <w:p w:rsidR="00843020" w:rsidRPr="00424595" w:rsidRDefault="00843020" w:rsidP="00424595">
      <w:pPr>
        <w:pStyle w:val="Tekstpodstawowy"/>
        <w:numPr>
          <w:ilvl w:val="0"/>
          <w:numId w:val="83"/>
        </w:numPr>
        <w:tabs>
          <w:tab w:val="clear" w:pos="360"/>
        </w:tabs>
        <w:ind w:left="709" w:hanging="425"/>
        <w:rPr>
          <w:rFonts w:ascii="Lato" w:hAnsi="Lato" w:cs="Times New Roman"/>
        </w:rPr>
      </w:pPr>
      <w:r w:rsidRPr="00424595">
        <w:rPr>
          <w:rFonts w:ascii="Lato" w:hAnsi="Lato" w:cs="Times New Roman"/>
        </w:rPr>
        <w:t>Rozwój społeczno-gospodarczy gminy, np. wg głównych celów Strategii Unii Europejskiej do 2020</w:t>
      </w:r>
      <w:r w:rsidR="007A7189" w:rsidRPr="00424595">
        <w:rPr>
          <w:rFonts w:ascii="Lato" w:hAnsi="Lato" w:cs="Times New Roman"/>
        </w:rPr>
        <w:t>,</w:t>
      </w:r>
      <w:r w:rsidRPr="00424595">
        <w:rPr>
          <w:rFonts w:ascii="Lato" w:hAnsi="Lato" w:cs="Times New Roman"/>
        </w:rPr>
        <w:t xml:space="preserve"> jak: zatrudnienie, badania i innowacje, zmiany klimatu i energia, edukacja, zwalczanie ubóstwa przez zwiększający się udział zdecentralizowanej</w:t>
      </w:r>
      <w:r w:rsidR="00D03562">
        <w:rPr>
          <w:rFonts w:ascii="Lato" w:hAnsi="Lato" w:cs="Times New Roman"/>
        </w:rPr>
        <w:t xml:space="preserve"> energii w </w:t>
      </w:r>
      <w:r w:rsidR="003A145E" w:rsidRPr="00424595">
        <w:rPr>
          <w:rFonts w:ascii="Lato" w:hAnsi="Lato" w:cs="Times New Roman"/>
        </w:rPr>
        <w:t>zaopatrzeniu gminy w </w:t>
      </w:r>
      <w:r w:rsidRPr="00424595">
        <w:rPr>
          <w:rFonts w:ascii="Lato" w:hAnsi="Lato" w:cs="Times New Roman"/>
        </w:rPr>
        <w:t>energię oraz wykorzystanie lokalnych i regiona</w:t>
      </w:r>
      <w:r w:rsidR="00786313" w:rsidRPr="00424595">
        <w:rPr>
          <w:rFonts w:ascii="Lato" w:hAnsi="Lato" w:cs="Times New Roman"/>
        </w:rPr>
        <w:t>lnych zasobów energii</w:t>
      </w:r>
      <w:r w:rsidR="00F866CC" w:rsidRPr="00424595">
        <w:rPr>
          <w:rFonts w:ascii="Lato" w:hAnsi="Lato" w:cs="Times New Roman"/>
        </w:rPr>
        <w:t>,</w:t>
      </w:r>
      <w:r w:rsidR="00786313" w:rsidRPr="00424595">
        <w:rPr>
          <w:rFonts w:ascii="Lato" w:hAnsi="Lato" w:cs="Times New Roman"/>
        </w:rPr>
        <w:t xml:space="preserve"> w tym OZE</w:t>
      </w:r>
      <w:r w:rsidR="0065202C" w:rsidRPr="00424595">
        <w:rPr>
          <w:rFonts w:ascii="Lato" w:hAnsi="Lato" w:cs="Times New Roman"/>
        </w:rPr>
        <w:t>.</w:t>
      </w:r>
    </w:p>
    <w:p w:rsidR="00786313" w:rsidRPr="00424595" w:rsidRDefault="00786313" w:rsidP="007365FE">
      <w:pPr>
        <w:ind w:left="794" w:firstLine="0"/>
        <w:jc w:val="both"/>
        <w:rPr>
          <w:rFonts w:ascii="Lato" w:hAnsi="Lato"/>
        </w:rPr>
      </w:pPr>
    </w:p>
    <w:p w:rsidR="004759BF" w:rsidRPr="00424595" w:rsidRDefault="00786313" w:rsidP="002B6371">
      <w:pPr>
        <w:numPr>
          <w:ilvl w:val="0"/>
          <w:numId w:val="45"/>
        </w:numPr>
        <w:jc w:val="both"/>
        <w:rPr>
          <w:rFonts w:ascii="Lato" w:hAnsi="Lato"/>
          <w:b/>
          <w:bCs/>
        </w:rPr>
      </w:pPr>
      <w:r w:rsidRPr="00424595">
        <w:rPr>
          <w:rFonts w:ascii="Lato" w:hAnsi="Lato"/>
          <w:b/>
          <w:bCs/>
        </w:rPr>
        <w:t xml:space="preserve">Akceptacja społeczna działań </w:t>
      </w:r>
      <w:r w:rsidR="0065202C" w:rsidRPr="00424595">
        <w:rPr>
          <w:rFonts w:ascii="Lato" w:hAnsi="Lato"/>
          <w:b/>
          <w:bCs/>
        </w:rPr>
        <w:t>gminy</w:t>
      </w:r>
      <w:r w:rsidRPr="00424595">
        <w:rPr>
          <w:rFonts w:ascii="Lato" w:hAnsi="Lato"/>
          <w:b/>
          <w:bCs/>
        </w:rPr>
        <w:t xml:space="preserve"> w zakresie </w:t>
      </w:r>
      <w:r w:rsidR="0065202C" w:rsidRPr="00424595">
        <w:rPr>
          <w:rFonts w:ascii="Lato" w:hAnsi="Lato"/>
          <w:b/>
          <w:bCs/>
        </w:rPr>
        <w:t>energetyki</w:t>
      </w:r>
      <w:r w:rsidR="004759BF" w:rsidRPr="00424595">
        <w:rPr>
          <w:rFonts w:ascii="Lato" w:hAnsi="Lato"/>
          <w:b/>
          <w:bCs/>
        </w:rPr>
        <w:t>:</w:t>
      </w:r>
    </w:p>
    <w:p w:rsidR="00214BCC" w:rsidRPr="00424595" w:rsidRDefault="00214BCC" w:rsidP="00424595">
      <w:pPr>
        <w:pStyle w:val="Tekstpodstawowy"/>
        <w:numPr>
          <w:ilvl w:val="0"/>
          <w:numId w:val="83"/>
        </w:numPr>
        <w:tabs>
          <w:tab w:val="clear" w:pos="360"/>
        </w:tabs>
        <w:ind w:left="709" w:hanging="425"/>
        <w:rPr>
          <w:rFonts w:ascii="Lato" w:hAnsi="Lato" w:cs="Times New Roman"/>
        </w:rPr>
      </w:pPr>
      <w:r w:rsidRPr="00424595">
        <w:rPr>
          <w:rFonts w:ascii="Lato" w:hAnsi="Lato" w:cs="Times New Roman"/>
        </w:rPr>
        <w:t>Dążenie do najniższych kosztów ponoszonych za nośniki energetyczne</w:t>
      </w:r>
      <w:r w:rsidR="007A7189" w:rsidRPr="00424595">
        <w:rPr>
          <w:rFonts w:ascii="Lato" w:hAnsi="Lato" w:cs="Times New Roman"/>
        </w:rPr>
        <w:t>;</w:t>
      </w:r>
    </w:p>
    <w:p w:rsidR="0065202C" w:rsidRPr="00424595" w:rsidRDefault="0065202C" w:rsidP="00424595">
      <w:pPr>
        <w:pStyle w:val="Tekstpodstawowy"/>
        <w:numPr>
          <w:ilvl w:val="0"/>
          <w:numId w:val="83"/>
        </w:numPr>
        <w:tabs>
          <w:tab w:val="clear" w:pos="360"/>
        </w:tabs>
        <w:ind w:left="709" w:hanging="425"/>
        <w:rPr>
          <w:rFonts w:ascii="Lato" w:hAnsi="Lato" w:cs="Times New Roman"/>
        </w:rPr>
      </w:pPr>
      <w:r w:rsidRPr="00424595">
        <w:rPr>
          <w:rFonts w:ascii="Lato" w:hAnsi="Lato" w:cs="Times New Roman"/>
        </w:rPr>
        <w:t>Poprawa ładu przestrzennego, rozwój zrównoważonej przestrzeni publicznej, a także rewitalizacja zdegradowanych obszarów.</w:t>
      </w:r>
    </w:p>
    <w:p w:rsidR="0065202C" w:rsidRPr="00424595" w:rsidRDefault="0065202C" w:rsidP="007365FE">
      <w:pPr>
        <w:jc w:val="both"/>
        <w:rPr>
          <w:rFonts w:ascii="Lato" w:hAnsi="Lato"/>
        </w:rPr>
      </w:pPr>
    </w:p>
    <w:p w:rsidR="00F866CC" w:rsidRPr="00424595" w:rsidRDefault="00336094" w:rsidP="00F866CC">
      <w:pPr>
        <w:jc w:val="both"/>
        <w:rPr>
          <w:rFonts w:ascii="Lato" w:hAnsi="Lato"/>
        </w:rPr>
      </w:pPr>
      <w:r w:rsidRPr="00424595">
        <w:rPr>
          <w:rFonts w:ascii="Lato" w:hAnsi="Lato"/>
        </w:rPr>
        <w:t>Stąd gmina ma możliwość</w:t>
      </w:r>
      <w:r w:rsidR="004759BF" w:rsidRPr="00424595">
        <w:rPr>
          <w:rFonts w:ascii="Lato" w:hAnsi="Lato"/>
        </w:rPr>
        <w:t xml:space="preserve"> wyboru własnych celów, przede wszystkim tych, które wspierać będą strategię rozwoju społecznego gminy: zwiększenie</w:t>
      </w:r>
      <w:r w:rsidR="00D03562">
        <w:rPr>
          <w:rFonts w:ascii="Lato" w:hAnsi="Lato"/>
        </w:rPr>
        <w:t xml:space="preserve"> zatrudnienia, większe wpływy z </w:t>
      </w:r>
      <w:r w:rsidR="004759BF" w:rsidRPr="00424595">
        <w:rPr>
          <w:rFonts w:ascii="Lato" w:hAnsi="Lato"/>
        </w:rPr>
        <w:t>lokalnych podatków do budżetu, poprawa warunków zdrowotnych, rozwó</w:t>
      </w:r>
      <w:r w:rsidR="00424595" w:rsidRPr="00424595">
        <w:rPr>
          <w:rFonts w:ascii="Lato" w:hAnsi="Lato"/>
        </w:rPr>
        <w:t>j innowacyjności, partnerstwo w </w:t>
      </w:r>
      <w:r w:rsidR="004759BF" w:rsidRPr="00424595">
        <w:rPr>
          <w:rFonts w:ascii="Lato" w:hAnsi="Lato"/>
        </w:rPr>
        <w:t>realizacji zadań, komunikacja i</w:t>
      </w:r>
      <w:r w:rsidRPr="00424595">
        <w:rPr>
          <w:rFonts w:ascii="Lato" w:hAnsi="Lato"/>
        </w:rPr>
        <w:t> </w:t>
      </w:r>
      <w:r w:rsidR="004759BF" w:rsidRPr="00424595">
        <w:rPr>
          <w:rFonts w:ascii="Lato" w:hAnsi="Lato"/>
        </w:rPr>
        <w:t>wzrost świadomości społeczeństwa, rozwój infrastruktury energetycznej pod inwestycje itp.</w:t>
      </w:r>
    </w:p>
    <w:p w:rsidR="00DF7B20" w:rsidRPr="00424595" w:rsidRDefault="00F866CC" w:rsidP="00F866CC">
      <w:pPr>
        <w:jc w:val="both"/>
        <w:rPr>
          <w:rFonts w:ascii="Lato" w:hAnsi="Lato"/>
        </w:rPr>
      </w:pPr>
      <w:r w:rsidRPr="00424595">
        <w:rPr>
          <w:rFonts w:ascii="Lato" w:hAnsi="Lato"/>
        </w:rPr>
        <w:t>O</w:t>
      </w:r>
      <w:r w:rsidR="00786313" w:rsidRPr="00424595">
        <w:rPr>
          <w:rFonts w:ascii="Lato" w:hAnsi="Lato"/>
        </w:rPr>
        <w:t>ptymalizacja</w:t>
      </w:r>
      <w:r w:rsidR="00DF7B20" w:rsidRPr="00424595">
        <w:rPr>
          <w:rFonts w:ascii="Lato" w:hAnsi="Lato"/>
        </w:rPr>
        <w:t xml:space="preserve"> celów globalnych i lokalnych został</w:t>
      </w:r>
      <w:r w:rsidR="00786313" w:rsidRPr="00424595">
        <w:rPr>
          <w:rFonts w:ascii="Lato" w:hAnsi="Lato"/>
        </w:rPr>
        <w:t>a</w:t>
      </w:r>
      <w:r w:rsidR="00DF7B20" w:rsidRPr="00424595">
        <w:rPr>
          <w:rFonts w:ascii="Lato" w:hAnsi="Lato"/>
        </w:rPr>
        <w:t xml:space="preserve"> przedstawion</w:t>
      </w:r>
      <w:r w:rsidR="00786313" w:rsidRPr="00424595">
        <w:rPr>
          <w:rFonts w:ascii="Lato" w:hAnsi="Lato"/>
        </w:rPr>
        <w:t>a</w:t>
      </w:r>
      <w:r w:rsidR="00DF7B20" w:rsidRPr="00424595">
        <w:rPr>
          <w:rFonts w:ascii="Lato" w:hAnsi="Lato"/>
        </w:rPr>
        <w:t xml:space="preserve"> na poniższym rysunku.</w:t>
      </w:r>
    </w:p>
    <w:p w:rsidR="004759BF" w:rsidRPr="00D352C4" w:rsidRDefault="004759BF" w:rsidP="004759BF">
      <w:pPr>
        <w:jc w:val="both"/>
        <w:rPr>
          <w:rFonts w:ascii="Lato" w:hAnsi="Lato"/>
          <w:highlight w:val="yellow"/>
        </w:rPr>
      </w:pPr>
    </w:p>
    <w:p w:rsidR="004759BF" w:rsidRPr="00D352C4" w:rsidRDefault="0006260E" w:rsidP="007365FE">
      <w:pPr>
        <w:ind w:firstLine="0"/>
        <w:jc w:val="center"/>
        <w:rPr>
          <w:rFonts w:ascii="Lato" w:hAnsi="Lato"/>
          <w:highlight w:val="yellow"/>
        </w:rPr>
      </w:pPr>
      <w:r>
        <w:rPr>
          <w:rFonts w:ascii="Lato" w:hAnsi="Lato"/>
          <w:noProof/>
        </w:rPr>
        <w:lastRenderedPageBreak/>
        <w:drawing>
          <wp:inline distT="0" distB="0" distL="0" distR="0" wp14:anchorId="619A5F7D" wp14:editId="7A4E2223">
            <wp:extent cx="4572000" cy="3390900"/>
            <wp:effectExtent l="0" t="0" r="0" b="0"/>
            <wp:docPr id="1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27">
                      <a:extLst>
                        <a:ext uri="{28A0092B-C50C-407E-A947-70E740481C1C}">
                          <a14:useLocalDpi xmlns:a14="http://schemas.microsoft.com/office/drawing/2010/main" val="0"/>
                        </a:ext>
                      </a:extLst>
                    </a:blip>
                    <a:srcRect b="14960"/>
                    <a:stretch>
                      <a:fillRect/>
                    </a:stretch>
                  </pic:blipFill>
                  <pic:spPr bwMode="auto">
                    <a:xfrm>
                      <a:off x="0" y="0"/>
                      <a:ext cx="4572000" cy="3390900"/>
                    </a:xfrm>
                    <a:prstGeom prst="rect">
                      <a:avLst/>
                    </a:prstGeom>
                    <a:noFill/>
                    <a:ln>
                      <a:noFill/>
                    </a:ln>
                  </pic:spPr>
                </pic:pic>
              </a:graphicData>
            </a:graphic>
          </wp:inline>
        </w:drawing>
      </w:r>
    </w:p>
    <w:p w:rsidR="00DF7B20" w:rsidRPr="00424595" w:rsidRDefault="00DF7B20" w:rsidP="00D93D22">
      <w:pPr>
        <w:pStyle w:val="Legenda"/>
        <w:jc w:val="center"/>
        <w:rPr>
          <w:rFonts w:ascii="Lato" w:hAnsi="Lato"/>
          <w:color w:val="365F91"/>
          <w:sz w:val="20"/>
          <w:szCs w:val="20"/>
        </w:rPr>
      </w:pPr>
      <w:bookmarkStart w:id="91" w:name="_Toc20219220"/>
      <w:r w:rsidRPr="00424595">
        <w:rPr>
          <w:rFonts w:ascii="Lato" w:hAnsi="Lato"/>
          <w:bCs/>
          <w:color w:val="365F91"/>
          <w:sz w:val="20"/>
          <w:szCs w:val="20"/>
        </w:rPr>
        <w:t xml:space="preserve">Rysunek </w:t>
      </w:r>
      <w:r w:rsidR="004042AE" w:rsidRPr="00424595">
        <w:rPr>
          <w:rFonts w:ascii="Lato" w:hAnsi="Lato"/>
          <w:bCs/>
          <w:color w:val="365F91"/>
          <w:sz w:val="20"/>
          <w:szCs w:val="20"/>
        </w:rPr>
        <w:fldChar w:fldCharType="begin"/>
      </w:r>
      <w:r w:rsidR="005430ED" w:rsidRPr="00424595">
        <w:rPr>
          <w:rFonts w:ascii="Lato" w:hAnsi="Lato"/>
          <w:bCs/>
          <w:color w:val="365F91"/>
          <w:sz w:val="20"/>
          <w:szCs w:val="20"/>
        </w:rPr>
        <w:instrText xml:space="preserve"> STYLEREF 1 \s </w:instrText>
      </w:r>
      <w:r w:rsidR="004042AE" w:rsidRPr="00424595">
        <w:rPr>
          <w:rFonts w:ascii="Lato" w:hAnsi="Lato"/>
          <w:bCs/>
          <w:color w:val="365F91"/>
          <w:sz w:val="20"/>
          <w:szCs w:val="20"/>
        </w:rPr>
        <w:fldChar w:fldCharType="separate"/>
      </w:r>
      <w:r w:rsidR="0040205B">
        <w:rPr>
          <w:rFonts w:ascii="Lato" w:hAnsi="Lato"/>
          <w:bCs/>
          <w:noProof/>
          <w:color w:val="365F91"/>
          <w:sz w:val="20"/>
          <w:szCs w:val="20"/>
        </w:rPr>
        <w:t>2</w:t>
      </w:r>
      <w:r w:rsidR="004042AE" w:rsidRPr="00424595">
        <w:rPr>
          <w:rFonts w:ascii="Lato" w:hAnsi="Lato"/>
          <w:bCs/>
          <w:color w:val="365F91"/>
          <w:sz w:val="20"/>
          <w:szCs w:val="20"/>
        </w:rPr>
        <w:fldChar w:fldCharType="end"/>
      </w:r>
      <w:r w:rsidR="005430ED" w:rsidRPr="00424595">
        <w:rPr>
          <w:rFonts w:ascii="Lato" w:hAnsi="Lato"/>
          <w:bCs/>
          <w:color w:val="365F91"/>
          <w:sz w:val="20"/>
          <w:szCs w:val="20"/>
        </w:rPr>
        <w:noBreakHyphen/>
      </w:r>
      <w:r w:rsidR="004042AE" w:rsidRPr="00424595">
        <w:rPr>
          <w:rFonts w:ascii="Lato" w:hAnsi="Lato"/>
          <w:bCs/>
          <w:color w:val="365F91"/>
          <w:sz w:val="20"/>
          <w:szCs w:val="20"/>
        </w:rPr>
        <w:fldChar w:fldCharType="begin"/>
      </w:r>
      <w:r w:rsidR="005430ED" w:rsidRPr="00424595">
        <w:rPr>
          <w:rFonts w:ascii="Lato" w:hAnsi="Lato"/>
          <w:bCs/>
          <w:color w:val="365F91"/>
          <w:sz w:val="20"/>
          <w:szCs w:val="20"/>
        </w:rPr>
        <w:instrText xml:space="preserve"> SEQ Rysunek \* ARABIC \s 1 </w:instrText>
      </w:r>
      <w:r w:rsidR="004042AE" w:rsidRPr="00424595">
        <w:rPr>
          <w:rFonts w:ascii="Lato" w:hAnsi="Lato"/>
          <w:bCs/>
          <w:color w:val="365F91"/>
          <w:sz w:val="20"/>
          <w:szCs w:val="20"/>
        </w:rPr>
        <w:fldChar w:fldCharType="separate"/>
      </w:r>
      <w:r w:rsidR="0040205B">
        <w:rPr>
          <w:rFonts w:ascii="Lato" w:hAnsi="Lato"/>
          <w:bCs/>
          <w:noProof/>
          <w:color w:val="365F91"/>
          <w:sz w:val="20"/>
          <w:szCs w:val="20"/>
        </w:rPr>
        <w:t>1</w:t>
      </w:r>
      <w:r w:rsidR="004042AE" w:rsidRPr="00424595">
        <w:rPr>
          <w:rFonts w:ascii="Lato" w:hAnsi="Lato"/>
          <w:bCs/>
          <w:color w:val="365F91"/>
          <w:sz w:val="20"/>
          <w:szCs w:val="20"/>
        </w:rPr>
        <w:fldChar w:fldCharType="end"/>
      </w:r>
      <w:r w:rsidRPr="00424595">
        <w:rPr>
          <w:rFonts w:ascii="Lato" w:hAnsi="Lato"/>
          <w:color w:val="365F91"/>
          <w:sz w:val="20"/>
          <w:szCs w:val="20"/>
        </w:rPr>
        <w:t xml:space="preserve"> Cele globalne i lokalne w zakresie gospodarki energetycznej</w:t>
      </w:r>
      <w:bookmarkEnd w:id="91"/>
    </w:p>
    <w:p w:rsidR="00424595" w:rsidRPr="008F1406" w:rsidRDefault="00424595" w:rsidP="00424595">
      <w:pPr>
        <w:pStyle w:val="Tekstpodstawowy"/>
        <w:jc w:val="center"/>
        <w:rPr>
          <w:rFonts w:ascii="Lato" w:hAnsi="Lato" w:cs="Times New Roman"/>
          <w:i/>
          <w:sz w:val="20"/>
          <w:szCs w:val="20"/>
          <w:highlight w:val="red"/>
        </w:rPr>
      </w:pPr>
      <w:r w:rsidRPr="0070712A">
        <w:rPr>
          <w:rFonts w:ascii="Lato" w:hAnsi="Lato" w:cs="Times New Roman"/>
          <w:i/>
          <w:sz w:val="20"/>
          <w:szCs w:val="20"/>
        </w:rPr>
        <w:t xml:space="preserve">Źródło: </w:t>
      </w:r>
      <w:r w:rsidR="0070712A" w:rsidRPr="0070712A">
        <w:rPr>
          <w:rFonts w:ascii="Lato" w:hAnsi="Lato" w:cs="Times New Roman"/>
          <w:i/>
          <w:sz w:val="20"/>
          <w:szCs w:val="20"/>
        </w:rPr>
        <w:t>analizy własne</w:t>
      </w:r>
    </w:p>
    <w:p w:rsidR="0070500F" w:rsidRPr="00D352C4" w:rsidRDefault="0070500F" w:rsidP="007365FE">
      <w:pPr>
        <w:ind w:firstLine="0"/>
        <w:rPr>
          <w:rFonts w:ascii="Lato" w:hAnsi="Lato"/>
          <w:highlight w:val="yellow"/>
        </w:rPr>
      </w:pPr>
    </w:p>
    <w:p w:rsidR="00DF7B20" w:rsidRPr="00424595" w:rsidRDefault="00786313" w:rsidP="008E3B8C">
      <w:pPr>
        <w:ind w:firstLine="709"/>
        <w:jc w:val="both"/>
        <w:rPr>
          <w:rFonts w:ascii="Lato" w:hAnsi="Lato"/>
        </w:rPr>
      </w:pPr>
      <w:r w:rsidRPr="00424595">
        <w:rPr>
          <w:rFonts w:ascii="Lato" w:hAnsi="Lato"/>
        </w:rPr>
        <w:t>W działaniach gminy należy prowadzić do z</w:t>
      </w:r>
      <w:r w:rsidR="00843020" w:rsidRPr="00424595">
        <w:rPr>
          <w:rFonts w:ascii="Lato" w:hAnsi="Lato"/>
        </w:rPr>
        <w:t>równoważ</w:t>
      </w:r>
      <w:r w:rsidRPr="00424595">
        <w:rPr>
          <w:rFonts w:ascii="Lato" w:hAnsi="Lato"/>
        </w:rPr>
        <w:t>enia celów</w:t>
      </w:r>
      <w:r w:rsidR="00F866CC" w:rsidRPr="00424595">
        <w:rPr>
          <w:rFonts w:ascii="Lato" w:hAnsi="Lato"/>
        </w:rPr>
        <w:t xml:space="preserve"> </w:t>
      </w:r>
      <w:r w:rsidR="00B37391" w:rsidRPr="00424595">
        <w:rPr>
          <w:rFonts w:ascii="Lato" w:hAnsi="Lato"/>
        </w:rPr>
        <w:t xml:space="preserve">związanych </w:t>
      </w:r>
      <w:r w:rsidR="00424595" w:rsidRPr="00424595">
        <w:rPr>
          <w:rFonts w:ascii="Lato" w:hAnsi="Lato"/>
        </w:rPr>
        <w:t>z </w:t>
      </w:r>
      <w:r w:rsidR="00843020" w:rsidRPr="00424595">
        <w:rPr>
          <w:rFonts w:ascii="Lato" w:hAnsi="Lato"/>
        </w:rPr>
        <w:t xml:space="preserve">bezpieczeństwem energetycznym, jakością powietrza oraz </w:t>
      </w:r>
      <w:r w:rsidR="00B37391" w:rsidRPr="00424595">
        <w:rPr>
          <w:rFonts w:ascii="Lato" w:hAnsi="Lato"/>
        </w:rPr>
        <w:t xml:space="preserve">akceptacją społeczną </w:t>
      </w:r>
      <w:r w:rsidR="00424595" w:rsidRPr="00424595">
        <w:rPr>
          <w:rFonts w:ascii="Lato" w:hAnsi="Lato"/>
        </w:rPr>
        <w:t>działań gminy w </w:t>
      </w:r>
      <w:r w:rsidR="0065202C" w:rsidRPr="00424595">
        <w:rPr>
          <w:rFonts w:ascii="Lato" w:hAnsi="Lato"/>
        </w:rPr>
        <w:t>zakresie energetyki</w:t>
      </w:r>
      <w:r w:rsidR="00843020" w:rsidRPr="00424595">
        <w:rPr>
          <w:rFonts w:ascii="Lato" w:hAnsi="Lato"/>
        </w:rPr>
        <w:t>.</w:t>
      </w:r>
    </w:p>
    <w:p w:rsidR="009246E7" w:rsidRPr="00424595" w:rsidRDefault="009246E7" w:rsidP="007365FE">
      <w:pPr>
        <w:ind w:firstLine="0"/>
        <w:jc w:val="both"/>
        <w:rPr>
          <w:rFonts w:ascii="Lato" w:hAnsi="Lato"/>
        </w:rPr>
      </w:pPr>
      <w:r w:rsidRPr="00424595">
        <w:rPr>
          <w:rFonts w:ascii="Lato" w:hAnsi="Lato"/>
        </w:rPr>
        <w:t xml:space="preserve">W </w:t>
      </w:r>
      <w:r w:rsidR="00D93D22" w:rsidRPr="00424595">
        <w:rPr>
          <w:rFonts w:ascii="Lato" w:hAnsi="Lato"/>
        </w:rPr>
        <w:t xml:space="preserve">rozdziale 5 </w:t>
      </w:r>
      <w:r w:rsidRPr="00424595">
        <w:rPr>
          <w:rFonts w:ascii="Lato" w:hAnsi="Lato"/>
        </w:rPr>
        <w:t>niniejsz</w:t>
      </w:r>
      <w:r w:rsidR="00D93D22" w:rsidRPr="00424595">
        <w:rPr>
          <w:rFonts w:ascii="Lato" w:hAnsi="Lato"/>
        </w:rPr>
        <w:t>ego</w:t>
      </w:r>
      <w:r w:rsidRPr="00424595">
        <w:rPr>
          <w:rFonts w:ascii="Lato" w:hAnsi="Lato"/>
        </w:rPr>
        <w:t xml:space="preserve"> opracowani</w:t>
      </w:r>
      <w:r w:rsidR="00D93D22" w:rsidRPr="00424595">
        <w:rPr>
          <w:rFonts w:ascii="Lato" w:hAnsi="Lato"/>
        </w:rPr>
        <w:t>a</w:t>
      </w:r>
      <w:r w:rsidRPr="00424595">
        <w:rPr>
          <w:rFonts w:ascii="Lato" w:hAnsi="Lato"/>
        </w:rPr>
        <w:t xml:space="preserve"> wyznaczono trzy scenariusze zaopatrzenia </w:t>
      </w:r>
      <w:r w:rsidR="0018428A" w:rsidRPr="00424595">
        <w:rPr>
          <w:rFonts w:ascii="Lato" w:hAnsi="Lato"/>
        </w:rPr>
        <w:t xml:space="preserve">Gminy </w:t>
      </w:r>
      <w:r w:rsidR="00424595" w:rsidRPr="00424595">
        <w:rPr>
          <w:rFonts w:ascii="Lato" w:hAnsi="Lato"/>
        </w:rPr>
        <w:t>Pabianice</w:t>
      </w:r>
      <w:r w:rsidR="0018428A" w:rsidRPr="00424595">
        <w:rPr>
          <w:rFonts w:ascii="Lato" w:hAnsi="Lato"/>
        </w:rPr>
        <w:t xml:space="preserve"> </w:t>
      </w:r>
      <w:r w:rsidR="003A145E" w:rsidRPr="00424595">
        <w:rPr>
          <w:rFonts w:ascii="Lato" w:hAnsi="Lato"/>
        </w:rPr>
        <w:t>w</w:t>
      </w:r>
      <w:r w:rsidR="000F2422">
        <w:rPr>
          <w:rFonts w:ascii="Lato" w:hAnsi="Lato"/>
        </w:rPr>
        <w:t xml:space="preserve"> </w:t>
      </w:r>
      <w:r w:rsidRPr="00424595">
        <w:rPr>
          <w:rFonts w:ascii="Lato" w:hAnsi="Lato"/>
        </w:rPr>
        <w:t>paliwa i</w:t>
      </w:r>
      <w:r w:rsidR="000F2422">
        <w:rPr>
          <w:rFonts w:ascii="Lato" w:hAnsi="Lato"/>
        </w:rPr>
        <w:t xml:space="preserve"> </w:t>
      </w:r>
      <w:r w:rsidRPr="00424595">
        <w:rPr>
          <w:rFonts w:ascii="Lato" w:hAnsi="Lato"/>
        </w:rPr>
        <w:t>energię do 20</w:t>
      </w:r>
      <w:r w:rsidR="0018428A" w:rsidRPr="00424595">
        <w:rPr>
          <w:rFonts w:ascii="Lato" w:hAnsi="Lato"/>
        </w:rPr>
        <w:t>35</w:t>
      </w:r>
      <w:r w:rsidR="00F866CC" w:rsidRPr="00424595">
        <w:rPr>
          <w:rFonts w:ascii="Lato" w:hAnsi="Lato"/>
        </w:rPr>
        <w:t xml:space="preserve"> </w:t>
      </w:r>
      <w:r w:rsidRPr="00424595">
        <w:rPr>
          <w:rFonts w:ascii="Lato" w:hAnsi="Lato"/>
        </w:rPr>
        <w:t xml:space="preserve">r. Scenariuszem optymalnym wskazanym do realizacji przez </w:t>
      </w:r>
      <w:r w:rsidR="00424595" w:rsidRPr="00424595">
        <w:rPr>
          <w:rFonts w:ascii="Lato" w:hAnsi="Lato"/>
        </w:rPr>
        <w:t>gminę</w:t>
      </w:r>
      <w:r w:rsidR="003A145E" w:rsidRPr="00424595">
        <w:rPr>
          <w:rFonts w:ascii="Lato" w:hAnsi="Lato"/>
        </w:rPr>
        <w:t xml:space="preserve"> </w:t>
      </w:r>
      <w:r w:rsidRPr="00424595">
        <w:rPr>
          <w:rFonts w:ascii="Lato" w:hAnsi="Lato"/>
        </w:rPr>
        <w:t xml:space="preserve">jest scenariusz </w:t>
      </w:r>
      <w:r w:rsidR="00031127" w:rsidRPr="00424595">
        <w:rPr>
          <w:rFonts w:ascii="Lato" w:hAnsi="Lato"/>
        </w:rPr>
        <w:t>umiarkowany</w:t>
      </w:r>
      <w:r w:rsidRPr="00424595">
        <w:rPr>
          <w:rFonts w:ascii="Lato" w:hAnsi="Lato"/>
        </w:rPr>
        <w:t>.</w:t>
      </w:r>
    </w:p>
    <w:p w:rsidR="00B6003C" w:rsidRPr="00D352C4" w:rsidRDefault="00B6003C" w:rsidP="007365FE">
      <w:pPr>
        <w:ind w:firstLine="0"/>
        <w:jc w:val="both"/>
        <w:rPr>
          <w:rFonts w:ascii="Lato" w:hAnsi="Lato"/>
          <w:highlight w:val="yellow"/>
        </w:rPr>
      </w:pPr>
    </w:p>
    <w:p w:rsidR="00EB2EB8" w:rsidRPr="005239D9" w:rsidRDefault="005B2758" w:rsidP="00907272">
      <w:pPr>
        <w:pStyle w:val="Nagwek2"/>
        <w:rPr>
          <w:rFonts w:ascii="Lato" w:hAnsi="Lato" w:cs="Times New Roman"/>
        </w:rPr>
      </w:pPr>
      <w:bookmarkStart w:id="92" w:name="_Toc20218507"/>
      <w:r w:rsidRPr="005239D9">
        <w:rPr>
          <w:rFonts w:ascii="Lato" w:hAnsi="Lato" w:cs="Times New Roman"/>
        </w:rPr>
        <w:t>Systemy energetyczne</w:t>
      </w:r>
      <w:bookmarkEnd w:id="89"/>
      <w:bookmarkEnd w:id="92"/>
    </w:p>
    <w:p w:rsidR="00EB2EB8" w:rsidRPr="005239D9" w:rsidRDefault="00EB2EB8" w:rsidP="00AB431C">
      <w:pPr>
        <w:pStyle w:val="Akapitzlist"/>
        <w:keepNext/>
        <w:numPr>
          <w:ilvl w:val="2"/>
          <w:numId w:val="38"/>
        </w:numPr>
        <w:tabs>
          <w:tab w:val="left" w:pos="709"/>
        </w:tabs>
        <w:spacing w:before="180" w:after="180" w:line="288" w:lineRule="auto"/>
        <w:ind w:left="709" w:hanging="709"/>
        <w:jc w:val="both"/>
        <w:outlineLvl w:val="2"/>
        <w:rPr>
          <w:rFonts w:ascii="Lato" w:hAnsi="Lato"/>
          <w:bCs/>
          <w:color w:val="365F91"/>
          <w:lang w:eastAsia="en-US"/>
        </w:rPr>
      </w:pPr>
      <w:bookmarkStart w:id="93" w:name="_Toc20218508"/>
      <w:r w:rsidRPr="005239D9">
        <w:rPr>
          <w:rFonts w:ascii="Lato" w:hAnsi="Lato"/>
          <w:bCs/>
          <w:color w:val="365F91"/>
          <w:lang w:eastAsia="en-US"/>
        </w:rPr>
        <w:t xml:space="preserve">Bilans energetyczny </w:t>
      </w:r>
      <w:r w:rsidR="00B71E13" w:rsidRPr="005239D9">
        <w:rPr>
          <w:rFonts w:ascii="Lato" w:hAnsi="Lato"/>
          <w:bCs/>
          <w:color w:val="365F91"/>
          <w:lang w:eastAsia="en-US"/>
        </w:rPr>
        <w:t>gminy</w:t>
      </w:r>
      <w:bookmarkEnd w:id="93"/>
    </w:p>
    <w:p w:rsidR="00EB2EB8" w:rsidRPr="005239D9" w:rsidRDefault="00EB2EB8" w:rsidP="00EB2EB8">
      <w:pPr>
        <w:ind w:firstLine="0"/>
        <w:rPr>
          <w:rFonts w:ascii="Lato" w:hAnsi="Lato"/>
        </w:rPr>
      </w:pPr>
    </w:p>
    <w:p w:rsidR="005B2758" w:rsidRPr="005239D9" w:rsidRDefault="005B2758" w:rsidP="00617C1D">
      <w:pPr>
        <w:pStyle w:val="Tekstpodstawowy"/>
        <w:ind w:firstLine="709"/>
        <w:rPr>
          <w:rFonts w:ascii="Lato" w:hAnsi="Lato" w:cs="Times New Roman"/>
        </w:rPr>
      </w:pPr>
      <w:r w:rsidRPr="005239D9">
        <w:rPr>
          <w:rFonts w:ascii="Lato" w:hAnsi="Lato" w:cs="Times New Roman"/>
        </w:rPr>
        <w:t xml:space="preserve">Bilans energetyczny </w:t>
      </w:r>
      <w:r w:rsidR="003A145E" w:rsidRPr="005239D9">
        <w:rPr>
          <w:rFonts w:ascii="Lato" w:hAnsi="Lato" w:cs="Times New Roman"/>
        </w:rPr>
        <w:t>gminy</w:t>
      </w:r>
      <w:r w:rsidRPr="005239D9">
        <w:rPr>
          <w:rFonts w:ascii="Lato" w:hAnsi="Lato" w:cs="Times New Roman"/>
        </w:rPr>
        <w:t xml:space="preserve"> przedstawia przegląd potrzeb energetycznych poszczególnych grup odbiorców wraz ze sposobem ich pokrywania oraz strukturę użytkowania poszczególnych nośników energii i paliw. </w:t>
      </w:r>
    </w:p>
    <w:p w:rsidR="005B2758" w:rsidRPr="00D352C4" w:rsidRDefault="005B2758" w:rsidP="00617C1D">
      <w:pPr>
        <w:pStyle w:val="Tekstpodstawowy"/>
        <w:rPr>
          <w:rFonts w:ascii="Lato" w:hAnsi="Lato" w:cs="Times New Roman"/>
          <w:highlight w:val="yellow"/>
        </w:rPr>
      </w:pPr>
    </w:p>
    <w:p w:rsidR="005B2758" w:rsidRPr="009A6603" w:rsidRDefault="005B2758" w:rsidP="00617C1D">
      <w:pPr>
        <w:pStyle w:val="Tekstpodstawowy"/>
        <w:ind w:firstLine="709"/>
        <w:rPr>
          <w:rFonts w:ascii="Lato" w:hAnsi="Lato" w:cs="Times New Roman"/>
        </w:rPr>
      </w:pPr>
      <w:r w:rsidRPr="009A6603">
        <w:rPr>
          <w:rFonts w:ascii="Lato" w:hAnsi="Lato" w:cs="Times New Roman"/>
        </w:rPr>
        <w:t xml:space="preserve">Wielkość rynku energii </w:t>
      </w:r>
      <w:r w:rsidR="00F171C9" w:rsidRPr="009A6603">
        <w:rPr>
          <w:rFonts w:ascii="Lato" w:hAnsi="Lato" w:cs="Times New Roman"/>
        </w:rPr>
        <w:t>(e</w:t>
      </w:r>
      <w:r w:rsidRPr="009A6603">
        <w:rPr>
          <w:rFonts w:ascii="Lato" w:hAnsi="Lato" w:cs="Times New Roman"/>
        </w:rPr>
        <w:t xml:space="preserve">nergia finalna zużywana przez odbiorców zlokalizowanych na terenie </w:t>
      </w:r>
      <w:r w:rsidR="003A145E" w:rsidRPr="009A6603">
        <w:rPr>
          <w:rFonts w:ascii="Lato" w:hAnsi="Lato" w:cs="Times New Roman"/>
        </w:rPr>
        <w:t>gminy</w:t>
      </w:r>
      <w:r w:rsidR="00F171C9" w:rsidRPr="009A6603">
        <w:rPr>
          <w:rFonts w:ascii="Lato" w:hAnsi="Lato" w:cs="Times New Roman"/>
        </w:rPr>
        <w:t>)</w:t>
      </w:r>
      <w:r w:rsidRPr="009A6603">
        <w:rPr>
          <w:rFonts w:ascii="Lato" w:hAnsi="Lato" w:cs="Times New Roman"/>
        </w:rPr>
        <w:t xml:space="preserve"> wynosi ok. </w:t>
      </w:r>
      <w:r w:rsidR="009A6603" w:rsidRPr="009A6603">
        <w:rPr>
          <w:rFonts w:ascii="Lato" w:hAnsi="Lato" w:cs="Times New Roman"/>
        </w:rPr>
        <w:t>66</w:t>
      </w:r>
      <w:r w:rsidR="0053554A" w:rsidRPr="009A6603">
        <w:rPr>
          <w:rFonts w:ascii="Lato" w:hAnsi="Lato" w:cs="Times New Roman"/>
        </w:rPr>
        <w:t>,</w:t>
      </w:r>
      <w:r w:rsidR="009A6603" w:rsidRPr="009A6603">
        <w:rPr>
          <w:rFonts w:ascii="Lato" w:hAnsi="Lato" w:cs="Times New Roman"/>
        </w:rPr>
        <w:t>10</w:t>
      </w:r>
      <w:r w:rsidRPr="009A6603">
        <w:rPr>
          <w:rFonts w:ascii="Lato" w:hAnsi="Lato" w:cs="Times New Roman"/>
        </w:rPr>
        <w:t xml:space="preserve"> GWh/rok (</w:t>
      </w:r>
      <w:r w:rsidR="009A6603" w:rsidRPr="009A6603">
        <w:rPr>
          <w:rFonts w:ascii="Lato" w:hAnsi="Lato" w:cs="Times New Roman"/>
        </w:rPr>
        <w:t>237</w:t>
      </w:r>
      <w:r w:rsidR="00A54153" w:rsidRPr="009A6603">
        <w:rPr>
          <w:rFonts w:ascii="Lato" w:hAnsi="Lato" w:cs="Times New Roman"/>
        </w:rPr>
        <w:t>,</w:t>
      </w:r>
      <w:r w:rsidR="009A6603" w:rsidRPr="009A6603">
        <w:rPr>
          <w:rFonts w:ascii="Lato" w:hAnsi="Lato" w:cs="Times New Roman"/>
        </w:rPr>
        <w:t>96</w:t>
      </w:r>
      <w:r w:rsidR="00A54153" w:rsidRPr="009A6603">
        <w:rPr>
          <w:rFonts w:ascii="Lato" w:hAnsi="Lato" w:cs="Times New Roman"/>
        </w:rPr>
        <w:t xml:space="preserve"> </w:t>
      </w:r>
      <w:r w:rsidRPr="009A6603">
        <w:rPr>
          <w:rFonts w:ascii="Lato" w:hAnsi="Lato" w:cs="Times New Roman"/>
        </w:rPr>
        <w:t>TJ</w:t>
      </w:r>
      <w:r w:rsidR="00F25ABB" w:rsidRPr="009A6603">
        <w:rPr>
          <w:rFonts w:ascii="Lato" w:hAnsi="Lato" w:cs="Times New Roman"/>
        </w:rPr>
        <w:t>/rok</w:t>
      </w:r>
      <w:r w:rsidRPr="009A6603">
        <w:rPr>
          <w:rFonts w:ascii="Lato" w:hAnsi="Lato" w:cs="Times New Roman"/>
        </w:rPr>
        <w:t>). Udział poszczególnych odbiorców w</w:t>
      </w:r>
      <w:r w:rsidR="003A145E" w:rsidRPr="009A6603">
        <w:rPr>
          <w:rFonts w:ascii="Lato" w:hAnsi="Lato" w:cs="Times New Roman"/>
        </w:rPr>
        <w:t> </w:t>
      </w:r>
      <w:r w:rsidRPr="009A6603">
        <w:rPr>
          <w:rFonts w:ascii="Lato" w:hAnsi="Lato" w:cs="Times New Roman"/>
        </w:rPr>
        <w:t>zapotrzebowaniu na energię przedstawia się następująco:</w:t>
      </w:r>
    </w:p>
    <w:p w:rsidR="005B2758" w:rsidRPr="005D172C" w:rsidRDefault="005B2758">
      <w:pPr>
        <w:pStyle w:val="Tekstpodstawowy"/>
        <w:rPr>
          <w:rFonts w:ascii="Lato" w:hAnsi="Lato" w:cs="Times New Roman"/>
        </w:rPr>
      </w:pPr>
    </w:p>
    <w:p w:rsidR="005B2758" w:rsidRPr="009A6603" w:rsidRDefault="009A6603">
      <w:pPr>
        <w:ind w:firstLine="0"/>
        <w:jc w:val="center"/>
        <w:rPr>
          <w:rFonts w:ascii="Lato" w:hAnsi="Lato"/>
        </w:rPr>
      </w:pPr>
      <w:r>
        <w:rPr>
          <w:noProof/>
        </w:rPr>
        <w:lastRenderedPageBreak/>
        <w:drawing>
          <wp:inline distT="0" distB="0" distL="0" distR="0" wp14:anchorId="22808FDA" wp14:editId="391B70B1">
            <wp:extent cx="5737410" cy="3008779"/>
            <wp:effectExtent l="0" t="0" r="0" b="1270"/>
            <wp:docPr id="117" name="Wykres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B2758" w:rsidRPr="009A6603" w:rsidRDefault="005B2758" w:rsidP="00E45D2C">
      <w:pPr>
        <w:pStyle w:val="Legenda"/>
        <w:jc w:val="center"/>
        <w:rPr>
          <w:rFonts w:ascii="Lato" w:hAnsi="Lato"/>
          <w:color w:val="365F91"/>
          <w:sz w:val="20"/>
          <w:szCs w:val="20"/>
        </w:rPr>
      </w:pPr>
      <w:bookmarkStart w:id="94" w:name="_Toc225155564"/>
      <w:bookmarkStart w:id="95" w:name="_Toc336943679"/>
      <w:bookmarkStart w:id="96" w:name="_Toc20219221"/>
      <w:r w:rsidRPr="009A6603">
        <w:rPr>
          <w:rFonts w:ascii="Lato" w:hAnsi="Lato"/>
          <w:bCs/>
          <w:color w:val="365F91"/>
          <w:sz w:val="20"/>
          <w:szCs w:val="20"/>
        </w:rPr>
        <w:t xml:space="preserve">Rysunek </w:t>
      </w:r>
      <w:r w:rsidR="004042AE" w:rsidRPr="009A6603">
        <w:rPr>
          <w:rFonts w:ascii="Lato" w:hAnsi="Lato"/>
          <w:bCs/>
          <w:color w:val="365F91"/>
          <w:sz w:val="20"/>
          <w:szCs w:val="20"/>
        </w:rPr>
        <w:fldChar w:fldCharType="begin"/>
      </w:r>
      <w:r w:rsidR="005430ED" w:rsidRPr="009A6603">
        <w:rPr>
          <w:rFonts w:ascii="Lato" w:hAnsi="Lato"/>
          <w:bCs/>
          <w:color w:val="365F91"/>
          <w:sz w:val="20"/>
          <w:szCs w:val="20"/>
        </w:rPr>
        <w:instrText xml:space="preserve"> STYLEREF 1 \s </w:instrText>
      </w:r>
      <w:r w:rsidR="004042AE" w:rsidRPr="009A6603">
        <w:rPr>
          <w:rFonts w:ascii="Lato" w:hAnsi="Lato"/>
          <w:bCs/>
          <w:color w:val="365F91"/>
          <w:sz w:val="20"/>
          <w:szCs w:val="20"/>
        </w:rPr>
        <w:fldChar w:fldCharType="separate"/>
      </w:r>
      <w:r w:rsidR="0040205B">
        <w:rPr>
          <w:rFonts w:ascii="Lato" w:hAnsi="Lato"/>
          <w:bCs/>
          <w:noProof/>
          <w:color w:val="365F91"/>
          <w:sz w:val="20"/>
          <w:szCs w:val="20"/>
        </w:rPr>
        <w:t>2</w:t>
      </w:r>
      <w:r w:rsidR="004042AE" w:rsidRPr="009A6603">
        <w:rPr>
          <w:rFonts w:ascii="Lato" w:hAnsi="Lato"/>
          <w:bCs/>
          <w:color w:val="365F91"/>
          <w:sz w:val="20"/>
          <w:szCs w:val="20"/>
        </w:rPr>
        <w:fldChar w:fldCharType="end"/>
      </w:r>
      <w:r w:rsidR="005430ED" w:rsidRPr="009A6603">
        <w:rPr>
          <w:rFonts w:ascii="Lato" w:hAnsi="Lato"/>
          <w:bCs/>
          <w:color w:val="365F91"/>
          <w:sz w:val="20"/>
          <w:szCs w:val="20"/>
        </w:rPr>
        <w:noBreakHyphen/>
      </w:r>
      <w:r w:rsidR="004042AE" w:rsidRPr="009A6603">
        <w:rPr>
          <w:rFonts w:ascii="Lato" w:hAnsi="Lato"/>
          <w:bCs/>
          <w:color w:val="365F91"/>
          <w:sz w:val="20"/>
          <w:szCs w:val="20"/>
        </w:rPr>
        <w:fldChar w:fldCharType="begin"/>
      </w:r>
      <w:r w:rsidR="005430ED" w:rsidRPr="009A6603">
        <w:rPr>
          <w:rFonts w:ascii="Lato" w:hAnsi="Lato"/>
          <w:bCs/>
          <w:color w:val="365F91"/>
          <w:sz w:val="20"/>
          <w:szCs w:val="20"/>
        </w:rPr>
        <w:instrText xml:space="preserve"> SEQ Rysunek \* ARABIC \s 1 </w:instrText>
      </w:r>
      <w:r w:rsidR="004042AE" w:rsidRPr="009A6603">
        <w:rPr>
          <w:rFonts w:ascii="Lato" w:hAnsi="Lato"/>
          <w:bCs/>
          <w:color w:val="365F91"/>
          <w:sz w:val="20"/>
          <w:szCs w:val="20"/>
        </w:rPr>
        <w:fldChar w:fldCharType="separate"/>
      </w:r>
      <w:r w:rsidR="0040205B">
        <w:rPr>
          <w:rFonts w:ascii="Lato" w:hAnsi="Lato"/>
          <w:bCs/>
          <w:noProof/>
          <w:color w:val="365F91"/>
          <w:sz w:val="20"/>
          <w:szCs w:val="20"/>
        </w:rPr>
        <w:t>2</w:t>
      </w:r>
      <w:r w:rsidR="004042AE" w:rsidRPr="009A6603">
        <w:rPr>
          <w:rFonts w:ascii="Lato" w:hAnsi="Lato"/>
          <w:bCs/>
          <w:color w:val="365F91"/>
          <w:sz w:val="20"/>
          <w:szCs w:val="20"/>
        </w:rPr>
        <w:fldChar w:fldCharType="end"/>
      </w:r>
      <w:r w:rsidRPr="009A6603">
        <w:rPr>
          <w:rFonts w:ascii="Lato" w:hAnsi="Lato"/>
          <w:color w:val="365F91"/>
          <w:sz w:val="20"/>
          <w:szCs w:val="20"/>
        </w:rPr>
        <w:t xml:space="preserve"> Udział poszczególnych grup odbiorców w zapotrzebowaniu na energię w 201</w:t>
      </w:r>
      <w:r w:rsidR="00D033B2" w:rsidRPr="009A6603">
        <w:rPr>
          <w:rFonts w:ascii="Lato" w:hAnsi="Lato"/>
          <w:color w:val="365F91"/>
          <w:sz w:val="20"/>
          <w:szCs w:val="20"/>
          <w:lang w:val="pl-PL"/>
        </w:rPr>
        <w:t>8</w:t>
      </w:r>
      <w:r w:rsidRPr="009A6603">
        <w:rPr>
          <w:rFonts w:ascii="Lato" w:hAnsi="Lato"/>
          <w:color w:val="365F91"/>
          <w:sz w:val="20"/>
          <w:szCs w:val="20"/>
        </w:rPr>
        <w:t xml:space="preserve"> roku</w:t>
      </w:r>
      <w:bookmarkEnd w:id="94"/>
      <w:bookmarkEnd w:id="95"/>
      <w:bookmarkEnd w:id="96"/>
    </w:p>
    <w:p w:rsidR="005B2758" w:rsidRPr="009A6603" w:rsidRDefault="005B2758">
      <w:pPr>
        <w:jc w:val="both"/>
        <w:rPr>
          <w:rFonts w:ascii="Lato" w:hAnsi="Lato"/>
          <w:color w:val="FF6600"/>
          <w:sz w:val="2"/>
          <w:szCs w:val="2"/>
        </w:rPr>
      </w:pPr>
    </w:p>
    <w:p w:rsidR="00A33898" w:rsidRPr="009A6603" w:rsidRDefault="00A33898" w:rsidP="00D033B2">
      <w:pPr>
        <w:ind w:firstLine="0"/>
        <w:jc w:val="center"/>
        <w:rPr>
          <w:rFonts w:ascii="Lato" w:hAnsi="Lato"/>
          <w:i/>
          <w:sz w:val="20"/>
          <w:lang w:eastAsia="x-none"/>
        </w:rPr>
      </w:pPr>
      <w:r w:rsidRPr="009A6603">
        <w:rPr>
          <w:rFonts w:ascii="Lato" w:hAnsi="Lato"/>
          <w:i/>
          <w:sz w:val="20"/>
          <w:lang w:eastAsia="x-none"/>
        </w:rPr>
        <w:t xml:space="preserve">Źródło: </w:t>
      </w:r>
      <w:r w:rsidR="00D033B2" w:rsidRPr="009A6603">
        <w:rPr>
          <w:rFonts w:ascii="Lato" w:hAnsi="Lato"/>
          <w:i/>
          <w:sz w:val="20"/>
          <w:lang w:eastAsia="x-none"/>
        </w:rPr>
        <w:t>Obliczenia własne</w:t>
      </w:r>
    </w:p>
    <w:p w:rsidR="00B6003C" w:rsidRPr="00D352C4" w:rsidRDefault="00B6003C">
      <w:pPr>
        <w:pStyle w:val="Tekstpodstawowy"/>
        <w:rPr>
          <w:rFonts w:ascii="Lato" w:hAnsi="Lato" w:cs="Times New Roman"/>
          <w:highlight w:val="yellow"/>
        </w:rPr>
      </w:pPr>
    </w:p>
    <w:p w:rsidR="0018428A" w:rsidRPr="00403061" w:rsidRDefault="0018428A" w:rsidP="00617C1D">
      <w:pPr>
        <w:pStyle w:val="Tekstpodstawowy"/>
        <w:ind w:firstLine="709"/>
        <w:rPr>
          <w:rFonts w:ascii="Lato" w:hAnsi="Lato" w:cs="Times New Roman"/>
        </w:rPr>
      </w:pPr>
      <w:r w:rsidRPr="00403061">
        <w:rPr>
          <w:rFonts w:ascii="Lato" w:hAnsi="Lato" w:cs="Times New Roman"/>
        </w:rPr>
        <w:t xml:space="preserve">Odbiorcami energii w Gminie </w:t>
      </w:r>
      <w:r w:rsidR="009A6603" w:rsidRPr="00403061">
        <w:rPr>
          <w:rFonts w:ascii="Lato" w:hAnsi="Lato" w:cs="Times New Roman"/>
        </w:rPr>
        <w:t>Pabianice</w:t>
      </w:r>
      <w:r w:rsidRPr="00403061">
        <w:rPr>
          <w:rFonts w:ascii="Lato" w:hAnsi="Lato" w:cs="Times New Roman"/>
        </w:rPr>
        <w:t xml:space="preserve"> są głównie obiekty mieszkalne (</w:t>
      </w:r>
      <w:r w:rsidR="009A6603" w:rsidRPr="00403061">
        <w:rPr>
          <w:rFonts w:ascii="Lato" w:hAnsi="Lato" w:cs="Times New Roman"/>
        </w:rPr>
        <w:t>80,6</w:t>
      </w:r>
      <w:r w:rsidRPr="00403061">
        <w:rPr>
          <w:rFonts w:ascii="Lato" w:hAnsi="Lato" w:cs="Times New Roman"/>
        </w:rPr>
        <w:t>%) oraz handlu, usług, przedsiębiorstw (</w:t>
      </w:r>
      <w:r w:rsidR="00D033B2" w:rsidRPr="00403061">
        <w:rPr>
          <w:rFonts w:ascii="Lato" w:hAnsi="Lato" w:cs="Times New Roman"/>
        </w:rPr>
        <w:t>1</w:t>
      </w:r>
      <w:r w:rsidR="009A6603" w:rsidRPr="00403061">
        <w:rPr>
          <w:rFonts w:ascii="Lato" w:hAnsi="Lato" w:cs="Times New Roman"/>
        </w:rPr>
        <w:t>5</w:t>
      </w:r>
      <w:r w:rsidR="00D033B2" w:rsidRPr="00403061">
        <w:rPr>
          <w:rFonts w:ascii="Lato" w:hAnsi="Lato" w:cs="Times New Roman"/>
        </w:rPr>
        <w:t>,</w:t>
      </w:r>
      <w:r w:rsidR="009A6603" w:rsidRPr="00403061">
        <w:rPr>
          <w:rFonts w:ascii="Lato" w:hAnsi="Lato" w:cs="Times New Roman"/>
        </w:rPr>
        <w:t>6</w:t>
      </w:r>
      <w:r w:rsidRPr="00403061">
        <w:rPr>
          <w:rFonts w:ascii="Lato" w:hAnsi="Lato" w:cs="Times New Roman"/>
        </w:rPr>
        <w:t>%), w następnej kolejności obiekty użyteczności publicznej (</w:t>
      </w:r>
      <w:r w:rsidR="009A6603" w:rsidRPr="00403061">
        <w:rPr>
          <w:rFonts w:ascii="Lato" w:hAnsi="Lato" w:cs="Times New Roman"/>
        </w:rPr>
        <w:t>3,0</w:t>
      </w:r>
      <w:r w:rsidRPr="00403061">
        <w:rPr>
          <w:rFonts w:ascii="Lato" w:hAnsi="Lato" w:cs="Times New Roman"/>
        </w:rPr>
        <w:t>%) i oświetlenie uliczne (0,</w:t>
      </w:r>
      <w:r w:rsidR="009A6603" w:rsidRPr="00403061">
        <w:rPr>
          <w:rFonts w:ascii="Lato" w:hAnsi="Lato" w:cs="Times New Roman"/>
        </w:rPr>
        <w:t>8</w:t>
      </w:r>
      <w:r w:rsidRPr="00403061">
        <w:rPr>
          <w:rFonts w:ascii="Lato" w:hAnsi="Lato" w:cs="Times New Roman"/>
        </w:rPr>
        <w:t>%).</w:t>
      </w:r>
    </w:p>
    <w:p w:rsidR="0018428A" w:rsidRPr="00403061" w:rsidRDefault="0018428A" w:rsidP="00617C1D">
      <w:pPr>
        <w:pStyle w:val="Tekstpodstawowy"/>
        <w:ind w:firstLine="709"/>
        <w:rPr>
          <w:rFonts w:ascii="Lato" w:hAnsi="Lato" w:cs="Times New Roman"/>
        </w:rPr>
      </w:pPr>
    </w:p>
    <w:p w:rsidR="00204745" w:rsidRPr="00403061" w:rsidRDefault="0018428A" w:rsidP="00403061">
      <w:pPr>
        <w:pStyle w:val="Tekstpodstawowy"/>
        <w:ind w:firstLine="709"/>
        <w:rPr>
          <w:rFonts w:ascii="Lato" w:hAnsi="Lato" w:cs="Times New Roman"/>
        </w:rPr>
      </w:pPr>
      <w:r w:rsidRPr="00403061">
        <w:rPr>
          <w:rFonts w:ascii="Lato" w:hAnsi="Lato" w:cs="Times New Roman"/>
        </w:rPr>
        <w:t xml:space="preserve">Wielkość rynku ciepła (ogrzewanie, ciepła woda użytkowa, ciepło do celów bytowych oraz ciepło dla przedsiębiorstw itp.) w zapotrzebowaniu na moc wynosi około </w:t>
      </w:r>
      <w:r w:rsidR="00D033B2" w:rsidRPr="00403061">
        <w:rPr>
          <w:rFonts w:ascii="Lato" w:hAnsi="Lato" w:cs="Times New Roman"/>
        </w:rPr>
        <w:t>80,24</w:t>
      </w:r>
      <w:r w:rsidR="000F2422">
        <w:rPr>
          <w:rFonts w:ascii="Lato" w:hAnsi="Lato" w:cs="Times New Roman"/>
        </w:rPr>
        <w:t xml:space="preserve"> MW, w </w:t>
      </w:r>
      <w:r w:rsidRPr="00403061">
        <w:rPr>
          <w:rFonts w:ascii="Lato" w:hAnsi="Lato" w:cs="Times New Roman"/>
        </w:rPr>
        <w:t xml:space="preserve">zapotrzebowaniu energii </w:t>
      </w:r>
      <w:r w:rsidR="00D033B2" w:rsidRPr="00403061">
        <w:rPr>
          <w:rFonts w:ascii="Lato" w:hAnsi="Lato" w:cs="Times New Roman"/>
        </w:rPr>
        <w:t>523,8</w:t>
      </w:r>
      <w:r w:rsidRPr="00403061">
        <w:rPr>
          <w:rFonts w:ascii="Lato" w:hAnsi="Lato" w:cs="Times New Roman"/>
        </w:rPr>
        <w:t xml:space="preserve"> TJ/rok. Udział poszczególnych odbiorców w rynku ciepła przedstawia się następująco:</w:t>
      </w:r>
    </w:p>
    <w:p w:rsidR="005B2758" w:rsidRPr="00D352C4" w:rsidRDefault="00403061">
      <w:pPr>
        <w:pStyle w:val="Tekstpodstawowy"/>
        <w:jc w:val="center"/>
        <w:rPr>
          <w:rFonts w:ascii="Lato" w:hAnsi="Lato" w:cs="Times New Roman"/>
          <w:highlight w:val="yellow"/>
        </w:rPr>
      </w:pPr>
      <w:r>
        <w:rPr>
          <w:noProof/>
        </w:rPr>
        <w:drawing>
          <wp:inline distT="0" distB="0" distL="0" distR="0" wp14:anchorId="6CBF0F9D" wp14:editId="78C6E7A7">
            <wp:extent cx="5737410" cy="2829484"/>
            <wp:effectExtent l="0" t="0" r="0" b="0"/>
            <wp:docPr id="118" name="Wykres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2758" w:rsidRPr="00403061" w:rsidRDefault="005B2758" w:rsidP="001462C4">
      <w:pPr>
        <w:pStyle w:val="Legenda"/>
        <w:jc w:val="center"/>
        <w:rPr>
          <w:rFonts w:ascii="Lato" w:hAnsi="Lato"/>
          <w:color w:val="365F91"/>
          <w:sz w:val="20"/>
          <w:szCs w:val="20"/>
        </w:rPr>
      </w:pPr>
      <w:bookmarkStart w:id="97" w:name="_Toc225155565"/>
      <w:bookmarkStart w:id="98" w:name="_Toc336943680"/>
      <w:bookmarkStart w:id="99" w:name="_Toc20219222"/>
      <w:r w:rsidRPr="00403061">
        <w:rPr>
          <w:rFonts w:ascii="Lato" w:hAnsi="Lato"/>
          <w:bCs/>
          <w:color w:val="365F91"/>
          <w:sz w:val="20"/>
          <w:szCs w:val="20"/>
        </w:rPr>
        <w:t xml:space="preserve">Rysunek </w:t>
      </w:r>
      <w:r w:rsidR="004042AE" w:rsidRPr="00403061">
        <w:rPr>
          <w:rFonts w:ascii="Lato" w:hAnsi="Lato"/>
          <w:bCs/>
          <w:color w:val="365F91"/>
          <w:sz w:val="20"/>
          <w:szCs w:val="20"/>
        </w:rPr>
        <w:fldChar w:fldCharType="begin"/>
      </w:r>
      <w:r w:rsidR="005430ED" w:rsidRPr="00403061">
        <w:rPr>
          <w:rFonts w:ascii="Lato" w:hAnsi="Lato"/>
          <w:bCs/>
          <w:color w:val="365F91"/>
          <w:sz w:val="20"/>
          <w:szCs w:val="20"/>
        </w:rPr>
        <w:instrText xml:space="preserve"> STYLEREF 1 \s </w:instrText>
      </w:r>
      <w:r w:rsidR="004042AE" w:rsidRPr="00403061">
        <w:rPr>
          <w:rFonts w:ascii="Lato" w:hAnsi="Lato"/>
          <w:bCs/>
          <w:color w:val="365F91"/>
          <w:sz w:val="20"/>
          <w:szCs w:val="20"/>
        </w:rPr>
        <w:fldChar w:fldCharType="separate"/>
      </w:r>
      <w:r w:rsidR="0040205B">
        <w:rPr>
          <w:rFonts w:ascii="Lato" w:hAnsi="Lato"/>
          <w:bCs/>
          <w:noProof/>
          <w:color w:val="365F91"/>
          <w:sz w:val="20"/>
          <w:szCs w:val="20"/>
        </w:rPr>
        <w:t>2</w:t>
      </w:r>
      <w:r w:rsidR="004042AE" w:rsidRPr="00403061">
        <w:rPr>
          <w:rFonts w:ascii="Lato" w:hAnsi="Lato"/>
          <w:bCs/>
          <w:color w:val="365F91"/>
          <w:sz w:val="20"/>
          <w:szCs w:val="20"/>
        </w:rPr>
        <w:fldChar w:fldCharType="end"/>
      </w:r>
      <w:r w:rsidR="005430ED" w:rsidRPr="00403061">
        <w:rPr>
          <w:rFonts w:ascii="Lato" w:hAnsi="Lato"/>
          <w:bCs/>
          <w:color w:val="365F91"/>
          <w:sz w:val="20"/>
          <w:szCs w:val="20"/>
        </w:rPr>
        <w:noBreakHyphen/>
      </w:r>
      <w:r w:rsidR="004042AE" w:rsidRPr="00403061">
        <w:rPr>
          <w:rFonts w:ascii="Lato" w:hAnsi="Lato"/>
          <w:bCs/>
          <w:color w:val="365F91"/>
          <w:sz w:val="20"/>
          <w:szCs w:val="20"/>
        </w:rPr>
        <w:fldChar w:fldCharType="begin"/>
      </w:r>
      <w:r w:rsidR="005430ED" w:rsidRPr="00403061">
        <w:rPr>
          <w:rFonts w:ascii="Lato" w:hAnsi="Lato"/>
          <w:bCs/>
          <w:color w:val="365F91"/>
          <w:sz w:val="20"/>
          <w:szCs w:val="20"/>
        </w:rPr>
        <w:instrText xml:space="preserve"> SEQ Rysunek \* ARABIC \s 1 </w:instrText>
      </w:r>
      <w:r w:rsidR="004042AE" w:rsidRPr="00403061">
        <w:rPr>
          <w:rFonts w:ascii="Lato" w:hAnsi="Lato"/>
          <w:bCs/>
          <w:color w:val="365F91"/>
          <w:sz w:val="20"/>
          <w:szCs w:val="20"/>
        </w:rPr>
        <w:fldChar w:fldCharType="separate"/>
      </w:r>
      <w:r w:rsidR="0040205B">
        <w:rPr>
          <w:rFonts w:ascii="Lato" w:hAnsi="Lato"/>
          <w:bCs/>
          <w:noProof/>
          <w:color w:val="365F91"/>
          <w:sz w:val="20"/>
          <w:szCs w:val="20"/>
        </w:rPr>
        <w:t>3</w:t>
      </w:r>
      <w:r w:rsidR="004042AE" w:rsidRPr="00403061">
        <w:rPr>
          <w:rFonts w:ascii="Lato" w:hAnsi="Lato"/>
          <w:bCs/>
          <w:color w:val="365F91"/>
          <w:sz w:val="20"/>
          <w:szCs w:val="20"/>
        </w:rPr>
        <w:fldChar w:fldCharType="end"/>
      </w:r>
      <w:r w:rsidRPr="00403061">
        <w:rPr>
          <w:rFonts w:ascii="Lato" w:hAnsi="Lato"/>
          <w:color w:val="365F91"/>
          <w:sz w:val="20"/>
          <w:szCs w:val="20"/>
        </w:rPr>
        <w:t xml:space="preserve"> Udział poszczególnych grup odbiorców w zapot</w:t>
      </w:r>
      <w:r w:rsidR="00A52008" w:rsidRPr="00403061">
        <w:rPr>
          <w:rFonts w:ascii="Lato" w:hAnsi="Lato"/>
          <w:color w:val="365F91"/>
          <w:sz w:val="20"/>
          <w:szCs w:val="20"/>
        </w:rPr>
        <w:t>rzebowaniu na moc cieplną w 201</w:t>
      </w:r>
      <w:r w:rsidR="00D033B2" w:rsidRPr="00403061">
        <w:rPr>
          <w:rFonts w:ascii="Lato" w:hAnsi="Lato"/>
          <w:color w:val="365F91"/>
          <w:sz w:val="20"/>
          <w:szCs w:val="20"/>
          <w:lang w:val="pl-PL"/>
        </w:rPr>
        <w:t>8</w:t>
      </w:r>
      <w:r w:rsidRPr="00403061">
        <w:rPr>
          <w:rFonts w:ascii="Lato" w:hAnsi="Lato"/>
          <w:color w:val="365F91"/>
          <w:sz w:val="20"/>
          <w:szCs w:val="20"/>
        </w:rPr>
        <w:t xml:space="preserve"> roku</w:t>
      </w:r>
      <w:bookmarkEnd w:id="97"/>
      <w:bookmarkEnd w:id="98"/>
      <w:bookmarkEnd w:id="99"/>
    </w:p>
    <w:p w:rsidR="00A33898" w:rsidRPr="00403061" w:rsidRDefault="00A33898" w:rsidP="00D033B2">
      <w:pPr>
        <w:ind w:firstLine="0"/>
        <w:jc w:val="center"/>
        <w:rPr>
          <w:rFonts w:ascii="Lato" w:hAnsi="Lato"/>
          <w:i/>
          <w:sz w:val="20"/>
          <w:lang w:eastAsia="x-none"/>
        </w:rPr>
      </w:pPr>
      <w:r w:rsidRPr="00403061">
        <w:rPr>
          <w:rFonts w:ascii="Lato" w:hAnsi="Lato"/>
          <w:i/>
          <w:sz w:val="20"/>
          <w:lang w:eastAsia="x-none"/>
        </w:rPr>
        <w:t xml:space="preserve">Źródło: </w:t>
      </w:r>
      <w:r w:rsidR="00D033B2" w:rsidRPr="00403061">
        <w:rPr>
          <w:rFonts w:ascii="Lato" w:hAnsi="Lato"/>
          <w:i/>
          <w:sz w:val="20"/>
          <w:lang w:eastAsia="x-none"/>
        </w:rPr>
        <w:t>Obliczenia własne</w:t>
      </w:r>
    </w:p>
    <w:p w:rsidR="005B2758" w:rsidRPr="00D352C4" w:rsidRDefault="005B2758">
      <w:pPr>
        <w:spacing w:line="240" w:lineRule="auto"/>
        <w:ind w:firstLine="0"/>
        <w:jc w:val="center"/>
        <w:rPr>
          <w:rFonts w:ascii="Lato" w:hAnsi="Lato"/>
          <w:highlight w:val="yellow"/>
        </w:rPr>
      </w:pPr>
    </w:p>
    <w:p w:rsidR="00DD5241" w:rsidRPr="00403061" w:rsidRDefault="00403061" w:rsidP="001462C4">
      <w:pPr>
        <w:pStyle w:val="Legenda"/>
        <w:jc w:val="center"/>
        <w:rPr>
          <w:rFonts w:ascii="Lato" w:hAnsi="Lato"/>
          <w:bCs/>
          <w:color w:val="365F91"/>
          <w:sz w:val="20"/>
          <w:szCs w:val="20"/>
        </w:rPr>
      </w:pPr>
      <w:bookmarkStart w:id="100" w:name="_Toc225155566"/>
      <w:bookmarkStart w:id="101" w:name="_Toc336943681"/>
      <w:r w:rsidRPr="00403061">
        <w:rPr>
          <w:noProof/>
          <w:lang w:val="pl-PL" w:eastAsia="pl-PL"/>
        </w:rPr>
        <w:lastRenderedPageBreak/>
        <w:drawing>
          <wp:inline distT="0" distB="0" distL="0" distR="0" wp14:anchorId="01B1E7FC" wp14:editId="211D5AD5">
            <wp:extent cx="5748617" cy="2829484"/>
            <wp:effectExtent l="0" t="0" r="5080" b="0"/>
            <wp:docPr id="119" name="Wykres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B2758" w:rsidRPr="00403061" w:rsidRDefault="005B2758" w:rsidP="001462C4">
      <w:pPr>
        <w:pStyle w:val="Legenda"/>
        <w:jc w:val="center"/>
        <w:rPr>
          <w:rFonts w:ascii="Lato" w:hAnsi="Lato"/>
          <w:color w:val="365F91"/>
          <w:sz w:val="20"/>
          <w:szCs w:val="20"/>
        </w:rPr>
      </w:pPr>
      <w:bookmarkStart w:id="102" w:name="_Toc20219223"/>
      <w:r w:rsidRPr="00403061">
        <w:rPr>
          <w:rFonts w:ascii="Lato" w:hAnsi="Lato"/>
          <w:bCs/>
          <w:color w:val="365F91"/>
          <w:sz w:val="20"/>
          <w:szCs w:val="20"/>
        </w:rPr>
        <w:t xml:space="preserve">Rysunek </w:t>
      </w:r>
      <w:r w:rsidR="004042AE" w:rsidRPr="00403061">
        <w:rPr>
          <w:rFonts w:ascii="Lato" w:hAnsi="Lato"/>
          <w:bCs/>
          <w:color w:val="365F91"/>
          <w:sz w:val="20"/>
          <w:szCs w:val="20"/>
        </w:rPr>
        <w:fldChar w:fldCharType="begin"/>
      </w:r>
      <w:r w:rsidR="005430ED" w:rsidRPr="00403061">
        <w:rPr>
          <w:rFonts w:ascii="Lato" w:hAnsi="Lato"/>
          <w:bCs/>
          <w:color w:val="365F91"/>
          <w:sz w:val="20"/>
          <w:szCs w:val="20"/>
        </w:rPr>
        <w:instrText xml:space="preserve"> STYLEREF 1 \s </w:instrText>
      </w:r>
      <w:r w:rsidR="004042AE" w:rsidRPr="00403061">
        <w:rPr>
          <w:rFonts w:ascii="Lato" w:hAnsi="Lato"/>
          <w:bCs/>
          <w:color w:val="365F91"/>
          <w:sz w:val="20"/>
          <w:szCs w:val="20"/>
        </w:rPr>
        <w:fldChar w:fldCharType="separate"/>
      </w:r>
      <w:r w:rsidR="0040205B">
        <w:rPr>
          <w:rFonts w:ascii="Lato" w:hAnsi="Lato"/>
          <w:bCs/>
          <w:noProof/>
          <w:color w:val="365F91"/>
          <w:sz w:val="20"/>
          <w:szCs w:val="20"/>
        </w:rPr>
        <w:t>2</w:t>
      </w:r>
      <w:r w:rsidR="004042AE" w:rsidRPr="00403061">
        <w:rPr>
          <w:rFonts w:ascii="Lato" w:hAnsi="Lato"/>
          <w:bCs/>
          <w:color w:val="365F91"/>
          <w:sz w:val="20"/>
          <w:szCs w:val="20"/>
        </w:rPr>
        <w:fldChar w:fldCharType="end"/>
      </w:r>
      <w:r w:rsidR="005430ED" w:rsidRPr="00403061">
        <w:rPr>
          <w:rFonts w:ascii="Lato" w:hAnsi="Lato"/>
          <w:bCs/>
          <w:color w:val="365F91"/>
          <w:sz w:val="20"/>
          <w:szCs w:val="20"/>
        </w:rPr>
        <w:noBreakHyphen/>
      </w:r>
      <w:r w:rsidR="004042AE" w:rsidRPr="00403061">
        <w:rPr>
          <w:rFonts w:ascii="Lato" w:hAnsi="Lato"/>
          <w:bCs/>
          <w:color w:val="365F91"/>
          <w:sz w:val="20"/>
          <w:szCs w:val="20"/>
        </w:rPr>
        <w:fldChar w:fldCharType="begin"/>
      </w:r>
      <w:r w:rsidR="005430ED" w:rsidRPr="00403061">
        <w:rPr>
          <w:rFonts w:ascii="Lato" w:hAnsi="Lato"/>
          <w:bCs/>
          <w:color w:val="365F91"/>
          <w:sz w:val="20"/>
          <w:szCs w:val="20"/>
        </w:rPr>
        <w:instrText xml:space="preserve"> SEQ Rysunek \* ARABIC \s 1 </w:instrText>
      </w:r>
      <w:r w:rsidR="004042AE" w:rsidRPr="00403061">
        <w:rPr>
          <w:rFonts w:ascii="Lato" w:hAnsi="Lato"/>
          <w:bCs/>
          <w:color w:val="365F91"/>
          <w:sz w:val="20"/>
          <w:szCs w:val="20"/>
        </w:rPr>
        <w:fldChar w:fldCharType="separate"/>
      </w:r>
      <w:r w:rsidR="0040205B">
        <w:rPr>
          <w:rFonts w:ascii="Lato" w:hAnsi="Lato"/>
          <w:bCs/>
          <w:noProof/>
          <w:color w:val="365F91"/>
          <w:sz w:val="20"/>
          <w:szCs w:val="20"/>
        </w:rPr>
        <w:t>4</w:t>
      </w:r>
      <w:r w:rsidR="004042AE" w:rsidRPr="00403061">
        <w:rPr>
          <w:rFonts w:ascii="Lato" w:hAnsi="Lato"/>
          <w:bCs/>
          <w:color w:val="365F91"/>
          <w:sz w:val="20"/>
          <w:szCs w:val="20"/>
        </w:rPr>
        <w:fldChar w:fldCharType="end"/>
      </w:r>
      <w:r w:rsidRPr="00403061">
        <w:rPr>
          <w:rFonts w:ascii="Lato" w:hAnsi="Lato"/>
          <w:color w:val="365F91"/>
          <w:sz w:val="20"/>
          <w:szCs w:val="20"/>
        </w:rPr>
        <w:t xml:space="preserve"> Udział poszczególnych grup odbiorców w zapotrzebowaniu na ciepło w 20</w:t>
      </w:r>
      <w:r w:rsidR="00A52008" w:rsidRPr="00403061">
        <w:rPr>
          <w:rFonts w:ascii="Lato" w:hAnsi="Lato"/>
          <w:color w:val="365F91"/>
          <w:sz w:val="20"/>
          <w:szCs w:val="20"/>
        </w:rPr>
        <w:t>1</w:t>
      </w:r>
      <w:r w:rsidR="00A27E4C" w:rsidRPr="00403061">
        <w:rPr>
          <w:rFonts w:ascii="Lato" w:hAnsi="Lato"/>
          <w:color w:val="365F91"/>
          <w:sz w:val="20"/>
          <w:szCs w:val="20"/>
          <w:lang w:val="pl-PL"/>
        </w:rPr>
        <w:t>8</w:t>
      </w:r>
      <w:r w:rsidRPr="00403061">
        <w:rPr>
          <w:rFonts w:ascii="Lato" w:hAnsi="Lato"/>
          <w:color w:val="365F91"/>
          <w:sz w:val="20"/>
          <w:szCs w:val="20"/>
        </w:rPr>
        <w:t xml:space="preserve"> roku</w:t>
      </w:r>
      <w:bookmarkEnd w:id="100"/>
      <w:bookmarkEnd w:id="101"/>
      <w:bookmarkEnd w:id="102"/>
    </w:p>
    <w:p w:rsidR="00D033B2" w:rsidRPr="00403061" w:rsidRDefault="00D033B2" w:rsidP="00D033B2">
      <w:pPr>
        <w:ind w:firstLine="0"/>
        <w:jc w:val="center"/>
        <w:rPr>
          <w:rFonts w:ascii="Lato" w:hAnsi="Lato"/>
          <w:i/>
          <w:sz w:val="20"/>
          <w:lang w:eastAsia="x-none"/>
        </w:rPr>
      </w:pPr>
      <w:r w:rsidRPr="00403061">
        <w:rPr>
          <w:rFonts w:ascii="Lato" w:hAnsi="Lato"/>
          <w:i/>
          <w:sz w:val="20"/>
          <w:lang w:eastAsia="x-none"/>
        </w:rPr>
        <w:t>Źródło: Obliczenia własne</w:t>
      </w:r>
    </w:p>
    <w:p w:rsidR="005B2758" w:rsidRPr="00D352C4" w:rsidRDefault="005B2758" w:rsidP="00D033B2">
      <w:pPr>
        <w:pStyle w:val="bulety"/>
        <w:spacing w:before="0" w:after="0" w:line="312" w:lineRule="auto"/>
        <w:ind w:firstLine="0"/>
        <w:rPr>
          <w:rFonts w:ascii="Lato" w:hAnsi="Lato"/>
          <w:snapToGrid/>
          <w:szCs w:val="24"/>
          <w:highlight w:val="yellow"/>
        </w:rPr>
      </w:pPr>
    </w:p>
    <w:p w:rsidR="005B2758" w:rsidRPr="00403061" w:rsidRDefault="005B2758" w:rsidP="008E3B8C">
      <w:pPr>
        <w:pStyle w:val="bulety"/>
        <w:spacing w:before="0" w:after="0" w:line="312" w:lineRule="auto"/>
        <w:ind w:firstLine="709"/>
        <w:rPr>
          <w:rFonts w:ascii="Lato" w:hAnsi="Lato"/>
          <w:snapToGrid/>
          <w:szCs w:val="24"/>
        </w:rPr>
      </w:pPr>
      <w:r w:rsidRPr="00403061">
        <w:rPr>
          <w:rFonts w:ascii="Lato" w:hAnsi="Lato"/>
          <w:snapToGrid/>
          <w:szCs w:val="24"/>
        </w:rPr>
        <w:t>Strukturę zużycia paliw i energii na wszystkie cele (ogrzewanie, cele bytowe, przygotowanie c</w:t>
      </w:r>
      <w:r w:rsidR="00F866CC" w:rsidRPr="00403061">
        <w:rPr>
          <w:rFonts w:ascii="Lato" w:hAnsi="Lato"/>
          <w:snapToGrid/>
          <w:szCs w:val="24"/>
        </w:rPr>
        <w:t>.</w:t>
      </w:r>
      <w:r w:rsidRPr="00403061">
        <w:rPr>
          <w:rFonts w:ascii="Lato" w:hAnsi="Lato"/>
          <w:snapToGrid/>
          <w:szCs w:val="24"/>
        </w:rPr>
        <w:t>w</w:t>
      </w:r>
      <w:r w:rsidR="00F866CC" w:rsidRPr="00403061">
        <w:rPr>
          <w:rFonts w:ascii="Lato" w:hAnsi="Lato"/>
          <w:snapToGrid/>
          <w:szCs w:val="24"/>
        </w:rPr>
        <w:t>.</w:t>
      </w:r>
      <w:r w:rsidRPr="00403061">
        <w:rPr>
          <w:rFonts w:ascii="Lato" w:hAnsi="Lato"/>
          <w:snapToGrid/>
          <w:szCs w:val="24"/>
        </w:rPr>
        <w:t>u</w:t>
      </w:r>
      <w:r w:rsidR="00F866CC" w:rsidRPr="00403061">
        <w:rPr>
          <w:rFonts w:ascii="Lato" w:hAnsi="Lato"/>
          <w:snapToGrid/>
          <w:szCs w:val="24"/>
        </w:rPr>
        <w:t>.</w:t>
      </w:r>
      <w:r w:rsidRPr="00403061">
        <w:rPr>
          <w:rFonts w:ascii="Lato" w:hAnsi="Lato"/>
          <w:snapToGrid/>
          <w:szCs w:val="24"/>
        </w:rPr>
        <w:t xml:space="preserve">, oświetlenie) oraz dla rynku ciepła (bez </w:t>
      </w:r>
      <w:r w:rsidR="00D03562">
        <w:rPr>
          <w:rFonts w:ascii="Lato" w:hAnsi="Lato"/>
          <w:snapToGrid/>
          <w:szCs w:val="24"/>
        </w:rPr>
        <w:t>zużycia energii elektrycznej na </w:t>
      </w:r>
      <w:r w:rsidRPr="00403061">
        <w:rPr>
          <w:rFonts w:ascii="Lato" w:hAnsi="Lato"/>
          <w:snapToGrid/>
          <w:szCs w:val="24"/>
        </w:rPr>
        <w:t>oświetlenie) przedstawiono na kolejnych rysunkach (rysunki 2-</w:t>
      </w:r>
      <w:r w:rsidR="00D51AFD" w:rsidRPr="00403061">
        <w:rPr>
          <w:rFonts w:ascii="Lato" w:hAnsi="Lato"/>
          <w:snapToGrid/>
          <w:szCs w:val="24"/>
        </w:rPr>
        <w:t>5</w:t>
      </w:r>
      <w:r w:rsidRPr="00403061">
        <w:rPr>
          <w:rFonts w:ascii="Lato" w:hAnsi="Lato"/>
          <w:snapToGrid/>
          <w:szCs w:val="24"/>
        </w:rPr>
        <w:t xml:space="preserve"> oraz 2-</w:t>
      </w:r>
      <w:r w:rsidR="00D51AFD" w:rsidRPr="00403061">
        <w:rPr>
          <w:rFonts w:ascii="Lato" w:hAnsi="Lato"/>
          <w:snapToGrid/>
          <w:szCs w:val="24"/>
        </w:rPr>
        <w:t>6</w:t>
      </w:r>
      <w:r w:rsidRPr="00403061">
        <w:rPr>
          <w:rFonts w:ascii="Lato" w:hAnsi="Lato"/>
          <w:snapToGrid/>
          <w:szCs w:val="24"/>
        </w:rPr>
        <w:t>). Dane bilansowe przedstawiono również tabelarycznie (tabela 2-</w:t>
      </w:r>
      <w:r w:rsidR="00DE40D2" w:rsidRPr="00403061">
        <w:rPr>
          <w:rFonts w:ascii="Lato" w:hAnsi="Lato"/>
          <w:snapToGrid/>
          <w:szCs w:val="24"/>
        </w:rPr>
        <w:t>1</w:t>
      </w:r>
      <w:r w:rsidRPr="00403061">
        <w:rPr>
          <w:rFonts w:ascii="Lato" w:hAnsi="Lato"/>
          <w:snapToGrid/>
          <w:szCs w:val="24"/>
        </w:rPr>
        <w:t xml:space="preserve"> do 2-</w:t>
      </w:r>
      <w:r w:rsidR="00DE40D2" w:rsidRPr="00403061">
        <w:rPr>
          <w:rFonts w:ascii="Lato" w:hAnsi="Lato"/>
          <w:snapToGrid/>
          <w:szCs w:val="24"/>
        </w:rPr>
        <w:t>2</w:t>
      </w:r>
      <w:r w:rsidRPr="00403061">
        <w:rPr>
          <w:rFonts w:ascii="Lato" w:hAnsi="Lato"/>
          <w:snapToGrid/>
          <w:szCs w:val="24"/>
        </w:rPr>
        <w:t>).</w:t>
      </w:r>
    </w:p>
    <w:p w:rsidR="00D93D22" w:rsidRPr="00D352C4" w:rsidRDefault="00403061" w:rsidP="00A27E4C">
      <w:pPr>
        <w:pStyle w:val="bulety"/>
        <w:spacing w:before="0" w:after="0" w:line="312" w:lineRule="auto"/>
        <w:ind w:firstLine="0"/>
        <w:rPr>
          <w:rFonts w:ascii="Lato" w:hAnsi="Lato"/>
          <w:snapToGrid/>
          <w:szCs w:val="24"/>
          <w:highlight w:val="yellow"/>
        </w:rPr>
      </w:pPr>
      <w:r>
        <w:rPr>
          <w:noProof/>
        </w:rPr>
        <w:drawing>
          <wp:inline distT="0" distB="0" distL="0" distR="0" wp14:anchorId="7E325E44" wp14:editId="6D575315">
            <wp:extent cx="5743014" cy="3383056"/>
            <wp:effectExtent l="0" t="0" r="0" b="8255"/>
            <wp:docPr id="120" name="Wykres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B2758" w:rsidRPr="00D352C4" w:rsidRDefault="005B2758">
      <w:pPr>
        <w:pStyle w:val="Tekstpodstawowy"/>
        <w:jc w:val="center"/>
        <w:rPr>
          <w:rFonts w:ascii="Lato" w:hAnsi="Lato" w:cs="Times New Roman"/>
          <w:highlight w:val="yellow"/>
        </w:rPr>
      </w:pPr>
      <w:bookmarkStart w:id="103" w:name="_Toc225155567"/>
    </w:p>
    <w:p w:rsidR="005B2758" w:rsidRPr="00403061" w:rsidRDefault="005B2758" w:rsidP="00D93D22">
      <w:pPr>
        <w:pStyle w:val="Tekstpodstawowy"/>
        <w:spacing w:line="240" w:lineRule="auto"/>
        <w:jc w:val="center"/>
        <w:rPr>
          <w:rFonts w:ascii="Lato" w:hAnsi="Lato" w:cs="Times New Roman"/>
          <w:b/>
          <w:color w:val="365F91"/>
          <w:sz w:val="20"/>
          <w:szCs w:val="20"/>
        </w:rPr>
      </w:pPr>
      <w:bookmarkStart w:id="104" w:name="_Toc336943682"/>
      <w:bookmarkStart w:id="105" w:name="_Toc20219224"/>
      <w:r w:rsidRPr="00403061">
        <w:rPr>
          <w:rFonts w:ascii="Lato" w:hAnsi="Lato" w:cs="Times New Roman"/>
          <w:b/>
          <w:color w:val="365F91"/>
          <w:sz w:val="20"/>
          <w:szCs w:val="20"/>
        </w:rPr>
        <w:t xml:space="preserve">Rysunek </w:t>
      </w:r>
      <w:r w:rsidR="004042AE" w:rsidRPr="00403061">
        <w:rPr>
          <w:rFonts w:ascii="Lato" w:hAnsi="Lato" w:cs="Times New Roman"/>
          <w:b/>
          <w:color w:val="365F91"/>
          <w:sz w:val="20"/>
          <w:szCs w:val="20"/>
        </w:rPr>
        <w:fldChar w:fldCharType="begin"/>
      </w:r>
      <w:r w:rsidR="005430ED" w:rsidRPr="00403061">
        <w:rPr>
          <w:rFonts w:ascii="Lato" w:hAnsi="Lato" w:cs="Times New Roman"/>
          <w:b/>
          <w:color w:val="365F91"/>
          <w:sz w:val="20"/>
          <w:szCs w:val="20"/>
        </w:rPr>
        <w:instrText xml:space="preserve"> STYLEREF 1 \s </w:instrText>
      </w:r>
      <w:r w:rsidR="004042AE" w:rsidRPr="00403061">
        <w:rPr>
          <w:rFonts w:ascii="Lato" w:hAnsi="Lato" w:cs="Times New Roman"/>
          <w:b/>
          <w:color w:val="365F91"/>
          <w:sz w:val="20"/>
          <w:szCs w:val="20"/>
        </w:rPr>
        <w:fldChar w:fldCharType="separate"/>
      </w:r>
      <w:r w:rsidR="0040205B">
        <w:rPr>
          <w:rFonts w:ascii="Lato" w:hAnsi="Lato" w:cs="Times New Roman"/>
          <w:b/>
          <w:noProof/>
          <w:color w:val="365F91"/>
          <w:sz w:val="20"/>
          <w:szCs w:val="20"/>
        </w:rPr>
        <w:t>2</w:t>
      </w:r>
      <w:r w:rsidR="004042AE" w:rsidRPr="00403061">
        <w:rPr>
          <w:rFonts w:ascii="Lato" w:hAnsi="Lato" w:cs="Times New Roman"/>
          <w:b/>
          <w:color w:val="365F91"/>
          <w:sz w:val="20"/>
          <w:szCs w:val="20"/>
        </w:rPr>
        <w:fldChar w:fldCharType="end"/>
      </w:r>
      <w:r w:rsidR="005430ED" w:rsidRPr="00403061">
        <w:rPr>
          <w:rFonts w:ascii="Lato" w:hAnsi="Lato" w:cs="Times New Roman"/>
          <w:b/>
          <w:color w:val="365F91"/>
          <w:sz w:val="20"/>
          <w:szCs w:val="20"/>
        </w:rPr>
        <w:noBreakHyphen/>
      </w:r>
      <w:r w:rsidR="004042AE" w:rsidRPr="00403061">
        <w:rPr>
          <w:rFonts w:ascii="Lato" w:hAnsi="Lato" w:cs="Times New Roman"/>
          <w:b/>
          <w:color w:val="365F91"/>
          <w:sz w:val="20"/>
          <w:szCs w:val="20"/>
        </w:rPr>
        <w:fldChar w:fldCharType="begin"/>
      </w:r>
      <w:r w:rsidR="005430ED" w:rsidRPr="00403061">
        <w:rPr>
          <w:rFonts w:ascii="Lato" w:hAnsi="Lato" w:cs="Times New Roman"/>
          <w:b/>
          <w:color w:val="365F91"/>
          <w:sz w:val="20"/>
          <w:szCs w:val="20"/>
        </w:rPr>
        <w:instrText xml:space="preserve"> SEQ Rysunek \* ARABIC \s 1 </w:instrText>
      </w:r>
      <w:r w:rsidR="004042AE" w:rsidRPr="00403061">
        <w:rPr>
          <w:rFonts w:ascii="Lato" w:hAnsi="Lato" w:cs="Times New Roman"/>
          <w:b/>
          <w:color w:val="365F91"/>
          <w:sz w:val="20"/>
          <w:szCs w:val="20"/>
        </w:rPr>
        <w:fldChar w:fldCharType="separate"/>
      </w:r>
      <w:r w:rsidR="0040205B">
        <w:rPr>
          <w:rFonts w:ascii="Lato" w:hAnsi="Lato" w:cs="Times New Roman"/>
          <w:b/>
          <w:noProof/>
          <w:color w:val="365F91"/>
          <w:sz w:val="20"/>
          <w:szCs w:val="20"/>
        </w:rPr>
        <w:t>5</w:t>
      </w:r>
      <w:r w:rsidR="004042AE" w:rsidRPr="00403061">
        <w:rPr>
          <w:rFonts w:ascii="Lato" w:hAnsi="Lato" w:cs="Times New Roman"/>
          <w:b/>
          <w:color w:val="365F91"/>
          <w:sz w:val="20"/>
          <w:szCs w:val="20"/>
        </w:rPr>
        <w:fldChar w:fldCharType="end"/>
      </w:r>
      <w:r w:rsidRPr="00403061">
        <w:rPr>
          <w:rFonts w:ascii="Lato" w:hAnsi="Lato" w:cs="Times New Roman"/>
          <w:b/>
          <w:color w:val="365F91"/>
          <w:sz w:val="20"/>
          <w:szCs w:val="20"/>
        </w:rPr>
        <w:t xml:space="preserve"> Struktura zużycia paliw i energii na wszystk</w:t>
      </w:r>
      <w:r w:rsidR="001D1506" w:rsidRPr="00403061">
        <w:rPr>
          <w:rFonts w:ascii="Lato" w:hAnsi="Lato" w:cs="Times New Roman"/>
          <w:b/>
          <w:color w:val="365F91"/>
          <w:sz w:val="20"/>
          <w:szCs w:val="20"/>
        </w:rPr>
        <w:t xml:space="preserve">ie cele łącznie w gminie </w:t>
      </w:r>
      <w:bookmarkEnd w:id="103"/>
      <w:bookmarkEnd w:id="104"/>
      <w:r w:rsidR="00E32DC2">
        <w:rPr>
          <w:rFonts w:ascii="Lato" w:hAnsi="Lato" w:cs="Times New Roman"/>
          <w:b/>
          <w:color w:val="365F91"/>
          <w:sz w:val="20"/>
          <w:szCs w:val="20"/>
        </w:rPr>
        <w:t>Pabianice</w:t>
      </w:r>
      <w:bookmarkEnd w:id="105"/>
    </w:p>
    <w:p w:rsidR="00D033B2" w:rsidRPr="00403061" w:rsidRDefault="00D033B2" w:rsidP="00D033B2">
      <w:pPr>
        <w:ind w:firstLine="0"/>
        <w:jc w:val="center"/>
        <w:rPr>
          <w:rFonts w:ascii="Lato" w:hAnsi="Lato"/>
          <w:i/>
          <w:sz w:val="20"/>
          <w:lang w:eastAsia="x-none"/>
        </w:rPr>
      </w:pPr>
      <w:r w:rsidRPr="00403061">
        <w:rPr>
          <w:rFonts w:ascii="Lato" w:hAnsi="Lato"/>
          <w:i/>
          <w:sz w:val="20"/>
          <w:lang w:eastAsia="x-none"/>
        </w:rPr>
        <w:t>Źródło: Obliczenia własne</w:t>
      </w:r>
    </w:p>
    <w:p w:rsidR="00A33898" w:rsidRPr="00D352C4" w:rsidRDefault="00A33898" w:rsidP="00D93D22">
      <w:pPr>
        <w:pStyle w:val="Tekstpodstawowy"/>
        <w:spacing w:line="240" w:lineRule="auto"/>
        <w:jc w:val="center"/>
        <w:rPr>
          <w:rFonts w:ascii="Lato" w:hAnsi="Lato" w:cs="Times New Roman"/>
          <w:b/>
          <w:color w:val="365F91"/>
          <w:sz w:val="20"/>
          <w:szCs w:val="20"/>
          <w:highlight w:val="yellow"/>
        </w:rPr>
      </w:pPr>
    </w:p>
    <w:p w:rsidR="005B2758" w:rsidRPr="00D03D45" w:rsidRDefault="00403061" w:rsidP="00F664EE">
      <w:pPr>
        <w:pStyle w:val="Tekstpodstawowy"/>
        <w:jc w:val="center"/>
        <w:rPr>
          <w:rFonts w:ascii="Lato" w:hAnsi="Lato" w:cs="Times New Roman"/>
        </w:rPr>
      </w:pPr>
      <w:bookmarkStart w:id="106" w:name="_Toc225155568"/>
      <w:r w:rsidRPr="00D03D45">
        <w:rPr>
          <w:noProof/>
        </w:rPr>
        <w:lastRenderedPageBreak/>
        <w:drawing>
          <wp:inline distT="0" distB="0" distL="0" distR="0" wp14:anchorId="4A1B3A8C" wp14:editId="11A1F8AF">
            <wp:extent cx="5743014" cy="3377453"/>
            <wp:effectExtent l="0" t="0" r="0" b="0"/>
            <wp:docPr id="121" name="Wykres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B2758" w:rsidRPr="00D03D45" w:rsidRDefault="005B2758" w:rsidP="00D93D22">
      <w:pPr>
        <w:pStyle w:val="Legenda"/>
        <w:jc w:val="center"/>
        <w:rPr>
          <w:rFonts w:ascii="Lato" w:hAnsi="Lato"/>
          <w:color w:val="365F91"/>
          <w:sz w:val="20"/>
          <w:szCs w:val="20"/>
        </w:rPr>
      </w:pPr>
      <w:bookmarkStart w:id="107" w:name="_Toc225155569"/>
      <w:bookmarkStart w:id="108" w:name="_Toc336943683"/>
      <w:bookmarkStart w:id="109" w:name="_Toc20219225"/>
      <w:bookmarkEnd w:id="106"/>
      <w:r w:rsidRPr="00D03D45">
        <w:rPr>
          <w:rFonts w:ascii="Lato" w:hAnsi="Lato"/>
          <w:bCs/>
          <w:color w:val="365F91"/>
          <w:sz w:val="20"/>
          <w:szCs w:val="20"/>
        </w:rPr>
        <w:t xml:space="preserve">Rysunek </w:t>
      </w:r>
      <w:r w:rsidR="004042AE" w:rsidRPr="00D03D45">
        <w:rPr>
          <w:rFonts w:ascii="Lato" w:hAnsi="Lato"/>
          <w:bCs/>
          <w:color w:val="365F91"/>
          <w:sz w:val="20"/>
          <w:szCs w:val="20"/>
        </w:rPr>
        <w:fldChar w:fldCharType="begin"/>
      </w:r>
      <w:r w:rsidR="005430ED" w:rsidRPr="00D03D45">
        <w:rPr>
          <w:rFonts w:ascii="Lato" w:hAnsi="Lato"/>
          <w:bCs/>
          <w:color w:val="365F91"/>
          <w:sz w:val="20"/>
          <w:szCs w:val="20"/>
        </w:rPr>
        <w:instrText xml:space="preserve"> STYLEREF 1 \s </w:instrText>
      </w:r>
      <w:r w:rsidR="004042AE" w:rsidRPr="00D03D45">
        <w:rPr>
          <w:rFonts w:ascii="Lato" w:hAnsi="Lato"/>
          <w:bCs/>
          <w:color w:val="365F91"/>
          <w:sz w:val="20"/>
          <w:szCs w:val="20"/>
        </w:rPr>
        <w:fldChar w:fldCharType="separate"/>
      </w:r>
      <w:r w:rsidR="0040205B">
        <w:rPr>
          <w:rFonts w:ascii="Lato" w:hAnsi="Lato"/>
          <w:bCs/>
          <w:noProof/>
          <w:color w:val="365F91"/>
          <w:sz w:val="20"/>
          <w:szCs w:val="20"/>
        </w:rPr>
        <w:t>2</w:t>
      </w:r>
      <w:r w:rsidR="004042AE" w:rsidRPr="00D03D45">
        <w:rPr>
          <w:rFonts w:ascii="Lato" w:hAnsi="Lato"/>
          <w:bCs/>
          <w:color w:val="365F91"/>
          <w:sz w:val="20"/>
          <w:szCs w:val="20"/>
        </w:rPr>
        <w:fldChar w:fldCharType="end"/>
      </w:r>
      <w:r w:rsidR="005430ED" w:rsidRPr="00D03D45">
        <w:rPr>
          <w:rFonts w:ascii="Lato" w:hAnsi="Lato"/>
          <w:bCs/>
          <w:color w:val="365F91"/>
          <w:sz w:val="20"/>
          <w:szCs w:val="20"/>
        </w:rPr>
        <w:noBreakHyphen/>
      </w:r>
      <w:r w:rsidR="004042AE" w:rsidRPr="00D03D45">
        <w:rPr>
          <w:rFonts w:ascii="Lato" w:hAnsi="Lato"/>
          <w:bCs/>
          <w:color w:val="365F91"/>
          <w:sz w:val="20"/>
          <w:szCs w:val="20"/>
        </w:rPr>
        <w:fldChar w:fldCharType="begin"/>
      </w:r>
      <w:r w:rsidR="005430ED" w:rsidRPr="00D03D45">
        <w:rPr>
          <w:rFonts w:ascii="Lato" w:hAnsi="Lato"/>
          <w:bCs/>
          <w:color w:val="365F91"/>
          <w:sz w:val="20"/>
          <w:szCs w:val="20"/>
        </w:rPr>
        <w:instrText xml:space="preserve"> SEQ Rysunek \* ARABIC \s 1 </w:instrText>
      </w:r>
      <w:r w:rsidR="004042AE" w:rsidRPr="00D03D45">
        <w:rPr>
          <w:rFonts w:ascii="Lato" w:hAnsi="Lato"/>
          <w:bCs/>
          <w:color w:val="365F91"/>
          <w:sz w:val="20"/>
          <w:szCs w:val="20"/>
        </w:rPr>
        <w:fldChar w:fldCharType="separate"/>
      </w:r>
      <w:r w:rsidR="0040205B">
        <w:rPr>
          <w:rFonts w:ascii="Lato" w:hAnsi="Lato"/>
          <w:bCs/>
          <w:noProof/>
          <w:color w:val="365F91"/>
          <w:sz w:val="20"/>
          <w:szCs w:val="20"/>
        </w:rPr>
        <w:t>6</w:t>
      </w:r>
      <w:r w:rsidR="004042AE" w:rsidRPr="00D03D45">
        <w:rPr>
          <w:rFonts w:ascii="Lato" w:hAnsi="Lato"/>
          <w:bCs/>
          <w:color w:val="365F91"/>
          <w:sz w:val="20"/>
          <w:szCs w:val="20"/>
        </w:rPr>
        <w:fldChar w:fldCharType="end"/>
      </w:r>
      <w:r w:rsidRPr="00D03D45">
        <w:rPr>
          <w:rFonts w:ascii="Lato" w:hAnsi="Lato"/>
          <w:color w:val="365F91"/>
          <w:sz w:val="20"/>
          <w:szCs w:val="20"/>
        </w:rPr>
        <w:t xml:space="preserve"> Struktura zużycia paliw i energii na cele grzewcze (ogrzewanie pomieszczeń, c.w.u., cele bytowe, technologia)</w:t>
      </w:r>
      <w:bookmarkEnd w:id="107"/>
      <w:bookmarkEnd w:id="108"/>
      <w:bookmarkEnd w:id="109"/>
    </w:p>
    <w:p w:rsidR="00D033B2" w:rsidRPr="00D03D45" w:rsidRDefault="00D033B2" w:rsidP="00D033B2">
      <w:pPr>
        <w:ind w:firstLine="0"/>
        <w:jc w:val="center"/>
        <w:rPr>
          <w:rFonts w:ascii="Lato" w:hAnsi="Lato"/>
          <w:i/>
          <w:sz w:val="20"/>
          <w:lang w:eastAsia="x-none"/>
        </w:rPr>
      </w:pPr>
      <w:r w:rsidRPr="00D03D45">
        <w:rPr>
          <w:rFonts w:ascii="Lato" w:hAnsi="Lato"/>
          <w:i/>
          <w:sz w:val="20"/>
          <w:lang w:eastAsia="x-none"/>
        </w:rPr>
        <w:t>Źródło: Obliczenia własne</w:t>
      </w:r>
    </w:p>
    <w:p w:rsidR="00F80846" w:rsidRPr="00D352C4" w:rsidRDefault="00F80846" w:rsidP="00D033B2">
      <w:pPr>
        <w:ind w:firstLine="0"/>
        <w:jc w:val="center"/>
        <w:rPr>
          <w:rFonts w:ascii="Lato" w:hAnsi="Lato"/>
          <w:i/>
          <w:sz w:val="20"/>
          <w:highlight w:val="yellow"/>
          <w:lang w:eastAsia="x-none"/>
        </w:rPr>
      </w:pPr>
    </w:p>
    <w:p w:rsidR="005B2758" w:rsidRPr="0082746D" w:rsidRDefault="005B2758" w:rsidP="00C54B26">
      <w:pPr>
        <w:pStyle w:val="Legenda"/>
        <w:rPr>
          <w:rFonts w:ascii="Lato" w:hAnsi="Lato"/>
          <w:color w:val="365F91"/>
          <w:sz w:val="20"/>
          <w:szCs w:val="20"/>
        </w:rPr>
      </w:pPr>
      <w:bookmarkStart w:id="110" w:name="_Toc86631024"/>
      <w:bookmarkStart w:id="111" w:name="_Toc217206095"/>
      <w:bookmarkStart w:id="112" w:name="_Toc336943617"/>
      <w:bookmarkStart w:id="113" w:name="_Toc20219167"/>
      <w:r w:rsidRPr="0082746D">
        <w:rPr>
          <w:rFonts w:ascii="Lato" w:hAnsi="Lato"/>
          <w:bCs/>
          <w:color w:val="365F91"/>
          <w:sz w:val="20"/>
          <w:szCs w:val="20"/>
        </w:rPr>
        <w:t xml:space="preserve">Tabela </w:t>
      </w:r>
      <w:r w:rsidR="004042AE" w:rsidRPr="0082746D">
        <w:rPr>
          <w:rFonts w:ascii="Lato" w:hAnsi="Lato"/>
          <w:bCs/>
          <w:color w:val="365F91"/>
          <w:sz w:val="20"/>
          <w:szCs w:val="20"/>
        </w:rPr>
        <w:fldChar w:fldCharType="begin"/>
      </w:r>
      <w:r w:rsidR="005430ED" w:rsidRPr="0082746D">
        <w:rPr>
          <w:rFonts w:ascii="Lato" w:hAnsi="Lato"/>
          <w:bCs/>
          <w:color w:val="365F91"/>
          <w:sz w:val="20"/>
          <w:szCs w:val="20"/>
        </w:rPr>
        <w:instrText xml:space="preserve"> STYLEREF 1 \s </w:instrText>
      </w:r>
      <w:r w:rsidR="004042AE" w:rsidRPr="0082746D">
        <w:rPr>
          <w:rFonts w:ascii="Lato" w:hAnsi="Lato"/>
          <w:bCs/>
          <w:color w:val="365F91"/>
          <w:sz w:val="20"/>
          <w:szCs w:val="20"/>
        </w:rPr>
        <w:fldChar w:fldCharType="separate"/>
      </w:r>
      <w:r w:rsidR="0040205B">
        <w:rPr>
          <w:rFonts w:ascii="Lato" w:hAnsi="Lato"/>
          <w:bCs/>
          <w:noProof/>
          <w:color w:val="365F91"/>
          <w:sz w:val="20"/>
          <w:szCs w:val="20"/>
        </w:rPr>
        <w:t>2</w:t>
      </w:r>
      <w:r w:rsidR="004042AE" w:rsidRPr="0082746D">
        <w:rPr>
          <w:rFonts w:ascii="Lato" w:hAnsi="Lato"/>
          <w:bCs/>
          <w:color w:val="365F91"/>
          <w:sz w:val="20"/>
          <w:szCs w:val="20"/>
        </w:rPr>
        <w:fldChar w:fldCharType="end"/>
      </w:r>
      <w:r w:rsidR="005430ED" w:rsidRPr="0082746D">
        <w:rPr>
          <w:rFonts w:ascii="Lato" w:hAnsi="Lato"/>
          <w:bCs/>
          <w:color w:val="365F91"/>
          <w:sz w:val="20"/>
          <w:szCs w:val="20"/>
        </w:rPr>
        <w:noBreakHyphen/>
      </w:r>
      <w:r w:rsidR="004042AE" w:rsidRPr="0082746D">
        <w:rPr>
          <w:rFonts w:ascii="Lato" w:hAnsi="Lato"/>
          <w:bCs/>
          <w:color w:val="365F91"/>
          <w:sz w:val="20"/>
          <w:szCs w:val="20"/>
        </w:rPr>
        <w:fldChar w:fldCharType="begin"/>
      </w:r>
      <w:r w:rsidR="005430ED" w:rsidRPr="0082746D">
        <w:rPr>
          <w:rFonts w:ascii="Lato" w:hAnsi="Lato"/>
          <w:bCs/>
          <w:color w:val="365F91"/>
          <w:sz w:val="20"/>
          <w:szCs w:val="20"/>
        </w:rPr>
        <w:instrText xml:space="preserve"> SEQ Tabela \* ARABIC \s 1 </w:instrText>
      </w:r>
      <w:r w:rsidR="004042AE" w:rsidRPr="0082746D">
        <w:rPr>
          <w:rFonts w:ascii="Lato" w:hAnsi="Lato"/>
          <w:bCs/>
          <w:color w:val="365F91"/>
          <w:sz w:val="20"/>
          <w:szCs w:val="20"/>
        </w:rPr>
        <w:fldChar w:fldCharType="separate"/>
      </w:r>
      <w:r w:rsidR="0040205B">
        <w:rPr>
          <w:rFonts w:ascii="Lato" w:hAnsi="Lato"/>
          <w:bCs/>
          <w:noProof/>
          <w:color w:val="365F91"/>
          <w:sz w:val="20"/>
          <w:szCs w:val="20"/>
        </w:rPr>
        <w:t>1</w:t>
      </w:r>
      <w:r w:rsidR="004042AE" w:rsidRPr="0082746D">
        <w:rPr>
          <w:rFonts w:ascii="Lato" w:hAnsi="Lato"/>
          <w:bCs/>
          <w:color w:val="365F91"/>
          <w:sz w:val="20"/>
          <w:szCs w:val="20"/>
        </w:rPr>
        <w:fldChar w:fldCharType="end"/>
      </w:r>
      <w:r w:rsidR="00F866CC" w:rsidRPr="0082746D">
        <w:rPr>
          <w:rFonts w:ascii="Lato" w:hAnsi="Lato"/>
          <w:color w:val="365F91"/>
          <w:sz w:val="20"/>
          <w:szCs w:val="20"/>
        </w:rPr>
        <w:t xml:space="preserve"> Zestawienie </w:t>
      </w:r>
      <w:r w:rsidRPr="0082746D">
        <w:rPr>
          <w:rFonts w:ascii="Lato" w:hAnsi="Lato"/>
          <w:color w:val="365F91"/>
          <w:sz w:val="20"/>
          <w:szCs w:val="20"/>
        </w:rPr>
        <w:t xml:space="preserve">zapotrzebowania energetycznego </w:t>
      </w:r>
      <w:r w:rsidR="00B71E13" w:rsidRPr="0082746D">
        <w:rPr>
          <w:rFonts w:ascii="Lato" w:hAnsi="Lato"/>
          <w:color w:val="365F91"/>
          <w:sz w:val="20"/>
          <w:szCs w:val="20"/>
          <w:lang w:val="pl-PL"/>
        </w:rPr>
        <w:t>Gminy</w:t>
      </w:r>
      <w:r w:rsidR="00F866CC" w:rsidRPr="0082746D">
        <w:rPr>
          <w:rFonts w:ascii="Lato" w:hAnsi="Lato"/>
          <w:color w:val="365F91"/>
          <w:sz w:val="20"/>
          <w:szCs w:val="20"/>
        </w:rPr>
        <w:t xml:space="preserve"> </w:t>
      </w:r>
      <w:r w:rsidR="0082746D" w:rsidRPr="0082746D">
        <w:rPr>
          <w:rFonts w:ascii="Lato" w:hAnsi="Lato"/>
          <w:color w:val="365F91"/>
          <w:sz w:val="20"/>
          <w:szCs w:val="20"/>
          <w:lang w:val="pl-PL"/>
        </w:rPr>
        <w:t>Pabianice</w:t>
      </w:r>
      <w:r w:rsidR="00F866CC" w:rsidRPr="0082746D">
        <w:rPr>
          <w:rFonts w:ascii="Lato" w:hAnsi="Lato"/>
          <w:color w:val="365F91"/>
          <w:sz w:val="20"/>
          <w:szCs w:val="20"/>
        </w:rPr>
        <w:t xml:space="preserve"> </w:t>
      </w:r>
      <w:r w:rsidRPr="0082746D">
        <w:rPr>
          <w:rFonts w:ascii="Lato" w:hAnsi="Lato"/>
          <w:color w:val="365F91"/>
          <w:sz w:val="20"/>
          <w:szCs w:val="20"/>
        </w:rPr>
        <w:t>na moc</w:t>
      </w:r>
      <w:bookmarkEnd w:id="110"/>
      <w:bookmarkEnd w:id="111"/>
      <w:bookmarkEnd w:id="112"/>
      <w:bookmarkEnd w:id="113"/>
    </w:p>
    <w:tbl>
      <w:tblPr>
        <w:tblW w:w="5000" w:type="pct"/>
        <w:tblCellMar>
          <w:left w:w="70" w:type="dxa"/>
          <w:right w:w="70" w:type="dxa"/>
        </w:tblCellMar>
        <w:tblLook w:val="04A0" w:firstRow="1" w:lastRow="0" w:firstColumn="1" w:lastColumn="0" w:noHBand="0" w:noVBand="1"/>
      </w:tblPr>
      <w:tblGrid>
        <w:gridCol w:w="467"/>
        <w:gridCol w:w="2333"/>
        <w:gridCol w:w="1313"/>
        <w:gridCol w:w="1206"/>
        <w:gridCol w:w="1118"/>
        <w:gridCol w:w="1001"/>
        <w:gridCol w:w="1135"/>
        <w:gridCol w:w="980"/>
      </w:tblGrid>
      <w:tr w:rsidR="00E66853" w:rsidRPr="0082746D" w:rsidTr="00D03562">
        <w:trPr>
          <w:trHeight w:val="555"/>
        </w:trPr>
        <w:tc>
          <w:tcPr>
            <w:tcW w:w="245" w:type="pct"/>
            <w:vMerge w:val="restart"/>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rsidR="00E66853" w:rsidRPr="0082746D" w:rsidRDefault="00E66853" w:rsidP="00E66853">
            <w:pPr>
              <w:spacing w:line="240" w:lineRule="auto"/>
              <w:ind w:firstLine="0"/>
              <w:rPr>
                <w:rFonts w:ascii="Lato" w:hAnsi="Lato"/>
                <w:color w:val="1F497D"/>
                <w:sz w:val="20"/>
                <w:szCs w:val="20"/>
              </w:rPr>
            </w:pPr>
            <w:bookmarkStart w:id="114" w:name="_Toc79812222"/>
            <w:bookmarkStart w:id="115" w:name="_Toc81715759"/>
            <w:bookmarkStart w:id="116" w:name="_Toc86631025"/>
            <w:bookmarkStart w:id="117" w:name="_Toc217206096"/>
            <w:bookmarkStart w:id="118" w:name="_Toc336943618"/>
            <w:r w:rsidRPr="0082746D">
              <w:rPr>
                <w:rFonts w:ascii="Lato" w:hAnsi="Lato"/>
                <w:color w:val="1F497D"/>
                <w:sz w:val="20"/>
                <w:szCs w:val="20"/>
              </w:rPr>
              <w:t>L.p.</w:t>
            </w:r>
          </w:p>
        </w:tc>
        <w:tc>
          <w:tcPr>
            <w:tcW w:w="1221" w:type="pct"/>
            <w:vMerge w:val="restart"/>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rsidR="00E66853" w:rsidRPr="0082746D" w:rsidRDefault="00E66853" w:rsidP="00E66853">
            <w:pPr>
              <w:spacing w:line="240" w:lineRule="auto"/>
              <w:ind w:firstLine="0"/>
              <w:jc w:val="center"/>
              <w:rPr>
                <w:rFonts w:ascii="Lato" w:hAnsi="Lato"/>
                <w:color w:val="1F497D"/>
                <w:sz w:val="20"/>
                <w:szCs w:val="20"/>
              </w:rPr>
            </w:pPr>
            <w:r w:rsidRPr="0082746D">
              <w:rPr>
                <w:rFonts w:ascii="Lato" w:hAnsi="Lato"/>
                <w:color w:val="1F497D"/>
                <w:sz w:val="20"/>
                <w:szCs w:val="20"/>
              </w:rPr>
              <w:t>Wyszczególnienie</w:t>
            </w:r>
          </w:p>
        </w:tc>
        <w:tc>
          <w:tcPr>
            <w:tcW w:w="687"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E66853" w:rsidRPr="0082746D" w:rsidRDefault="00E66853" w:rsidP="00E66853">
            <w:pPr>
              <w:spacing w:line="240" w:lineRule="auto"/>
              <w:ind w:firstLine="0"/>
              <w:jc w:val="center"/>
              <w:rPr>
                <w:rFonts w:ascii="Lato" w:hAnsi="Lato"/>
                <w:color w:val="1F497D"/>
                <w:sz w:val="20"/>
                <w:szCs w:val="20"/>
              </w:rPr>
            </w:pPr>
            <w:r w:rsidRPr="0082746D">
              <w:rPr>
                <w:rFonts w:ascii="Lato" w:hAnsi="Lato"/>
                <w:color w:val="1F497D"/>
                <w:sz w:val="20"/>
                <w:szCs w:val="20"/>
              </w:rPr>
              <w:t>Powierzchnia użytkowa</w:t>
            </w:r>
          </w:p>
        </w:tc>
        <w:tc>
          <w:tcPr>
            <w:tcW w:w="2847" w:type="pct"/>
            <w:gridSpan w:val="5"/>
            <w:tcBorders>
              <w:top w:val="single" w:sz="4" w:space="0" w:color="4F81BD"/>
              <w:left w:val="nil"/>
              <w:bottom w:val="single" w:sz="4" w:space="0" w:color="4F81BD"/>
              <w:right w:val="single" w:sz="4" w:space="0" w:color="4F81BD"/>
            </w:tcBorders>
            <w:shd w:val="clear" w:color="000000" w:fill="DCE6F1"/>
            <w:noWrap/>
            <w:vAlign w:val="center"/>
            <w:hideMark/>
          </w:tcPr>
          <w:p w:rsidR="00E66853" w:rsidRPr="0082746D" w:rsidRDefault="00E66853" w:rsidP="0082746D">
            <w:pPr>
              <w:spacing w:line="240" w:lineRule="auto"/>
              <w:ind w:firstLine="0"/>
              <w:jc w:val="center"/>
              <w:rPr>
                <w:rFonts w:ascii="Lato" w:hAnsi="Lato"/>
                <w:color w:val="1F497D"/>
                <w:sz w:val="20"/>
                <w:szCs w:val="20"/>
              </w:rPr>
            </w:pPr>
            <w:r w:rsidRPr="0082746D">
              <w:rPr>
                <w:rFonts w:ascii="Lato" w:hAnsi="Lato"/>
                <w:color w:val="1F497D"/>
                <w:sz w:val="20"/>
                <w:szCs w:val="20"/>
              </w:rPr>
              <w:t>Zapotrzebo</w:t>
            </w:r>
            <w:r w:rsidR="0082746D" w:rsidRPr="0082746D">
              <w:rPr>
                <w:rFonts w:ascii="Lato" w:hAnsi="Lato"/>
                <w:color w:val="1F497D"/>
                <w:sz w:val="20"/>
                <w:szCs w:val="20"/>
              </w:rPr>
              <w:t>wanie Gminy Pabianice</w:t>
            </w:r>
            <w:r w:rsidRPr="0082746D">
              <w:rPr>
                <w:rFonts w:ascii="Lato" w:hAnsi="Lato"/>
                <w:color w:val="1F497D"/>
                <w:sz w:val="20"/>
                <w:szCs w:val="20"/>
              </w:rPr>
              <w:t xml:space="preserve"> na moc</w:t>
            </w:r>
          </w:p>
        </w:tc>
      </w:tr>
      <w:tr w:rsidR="00E66853" w:rsidRPr="0082746D" w:rsidTr="00D03562">
        <w:trPr>
          <w:trHeight w:val="765"/>
        </w:trPr>
        <w:tc>
          <w:tcPr>
            <w:tcW w:w="245" w:type="pct"/>
            <w:vMerge/>
            <w:tcBorders>
              <w:top w:val="single" w:sz="4" w:space="0" w:color="4F81BD"/>
              <w:left w:val="single" w:sz="4" w:space="0" w:color="4F81BD"/>
              <w:bottom w:val="single" w:sz="4" w:space="0" w:color="4F81BD"/>
              <w:right w:val="single" w:sz="4" w:space="0" w:color="4F81BD"/>
            </w:tcBorders>
            <w:vAlign w:val="center"/>
            <w:hideMark/>
          </w:tcPr>
          <w:p w:rsidR="00E66853" w:rsidRPr="0082746D" w:rsidRDefault="00E66853" w:rsidP="00E66853">
            <w:pPr>
              <w:spacing w:line="240" w:lineRule="auto"/>
              <w:ind w:firstLine="0"/>
              <w:rPr>
                <w:rFonts w:ascii="Lato" w:hAnsi="Lato"/>
                <w:color w:val="1F497D"/>
                <w:sz w:val="20"/>
                <w:szCs w:val="20"/>
              </w:rPr>
            </w:pPr>
          </w:p>
        </w:tc>
        <w:tc>
          <w:tcPr>
            <w:tcW w:w="1221" w:type="pct"/>
            <w:vMerge/>
            <w:tcBorders>
              <w:top w:val="single" w:sz="4" w:space="0" w:color="4F81BD"/>
              <w:left w:val="single" w:sz="4" w:space="0" w:color="4F81BD"/>
              <w:bottom w:val="single" w:sz="4" w:space="0" w:color="4F81BD"/>
              <w:right w:val="single" w:sz="4" w:space="0" w:color="4F81BD"/>
            </w:tcBorders>
            <w:vAlign w:val="center"/>
            <w:hideMark/>
          </w:tcPr>
          <w:p w:rsidR="00E66853" w:rsidRPr="0082746D" w:rsidRDefault="00E66853" w:rsidP="00E66853">
            <w:pPr>
              <w:spacing w:line="240" w:lineRule="auto"/>
              <w:ind w:firstLine="0"/>
              <w:rPr>
                <w:rFonts w:ascii="Lato" w:hAnsi="Lato"/>
                <w:color w:val="1F497D"/>
                <w:sz w:val="20"/>
                <w:szCs w:val="20"/>
              </w:rPr>
            </w:pPr>
          </w:p>
        </w:tc>
        <w:tc>
          <w:tcPr>
            <w:tcW w:w="687" w:type="pct"/>
            <w:vMerge/>
            <w:tcBorders>
              <w:top w:val="single" w:sz="4" w:space="0" w:color="4F81BD"/>
              <w:left w:val="single" w:sz="4" w:space="0" w:color="4F81BD"/>
              <w:bottom w:val="single" w:sz="4" w:space="0" w:color="4F81BD"/>
              <w:right w:val="single" w:sz="4" w:space="0" w:color="4F81BD"/>
            </w:tcBorders>
            <w:vAlign w:val="center"/>
            <w:hideMark/>
          </w:tcPr>
          <w:p w:rsidR="00E66853" w:rsidRPr="0082746D" w:rsidRDefault="00E66853" w:rsidP="00E66853">
            <w:pPr>
              <w:spacing w:line="240" w:lineRule="auto"/>
              <w:ind w:firstLine="0"/>
              <w:rPr>
                <w:rFonts w:ascii="Lato" w:hAnsi="Lato"/>
                <w:color w:val="1F497D"/>
                <w:sz w:val="20"/>
                <w:szCs w:val="20"/>
              </w:rPr>
            </w:pPr>
          </w:p>
        </w:tc>
        <w:tc>
          <w:tcPr>
            <w:tcW w:w="631" w:type="pct"/>
            <w:tcBorders>
              <w:top w:val="nil"/>
              <w:left w:val="nil"/>
              <w:bottom w:val="single" w:sz="4" w:space="0" w:color="4F81BD"/>
              <w:right w:val="single" w:sz="4" w:space="0" w:color="4F81BD"/>
            </w:tcBorders>
            <w:shd w:val="clear" w:color="000000" w:fill="DCE6F1"/>
            <w:vAlign w:val="center"/>
            <w:hideMark/>
          </w:tcPr>
          <w:p w:rsidR="00E66853" w:rsidRPr="0082746D" w:rsidRDefault="00E66853" w:rsidP="00E66853">
            <w:pPr>
              <w:spacing w:line="240" w:lineRule="auto"/>
              <w:ind w:firstLine="0"/>
              <w:jc w:val="center"/>
              <w:rPr>
                <w:rFonts w:ascii="Lato" w:hAnsi="Lato"/>
                <w:color w:val="1F497D"/>
                <w:sz w:val="20"/>
                <w:szCs w:val="20"/>
              </w:rPr>
            </w:pPr>
            <w:r w:rsidRPr="0082746D">
              <w:rPr>
                <w:rFonts w:ascii="Lato" w:hAnsi="Lato"/>
                <w:color w:val="1F497D"/>
                <w:sz w:val="20"/>
                <w:szCs w:val="20"/>
              </w:rPr>
              <w:t>Potrzeby grzewcze</w:t>
            </w:r>
          </w:p>
        </w:tc>
        <w:tc>
          <w:tcPr>
            <w:tcW w:w="585" w:type="pct"/>
            <w:tcBorders>
              <w:top w:val="nil"/>
              <w:left w:val="nil"/>
              <w:bottom w:val="single" w:sz="4" w:space="0" w:color="4F81BD"/>
              <w:right w:val="single" w:sz="4" w:space="0" w:color="4F81BD"/>
            </w:tcBorders>
            <w:shd w:val="clear" w:color="000000" w:fill="DCE6F1"/>
            <w:vAlign w:val="center"/>
            <w:hideMark/>
          </w:tcPr>
          <w:p w:rsidR="00E66853" w:rsidRPr="0082746D" w:rsidRDefault="00E66853" w:rsidP="00E66853">
            <w:pPr>
              <w:spacing w:line="240" w:lineRule="auto"/>
              <w:ind w:firstLine="0"/>
              <w:jc w:val="center"/>
              <w:rPr>
                <w:rFonts w:ascii="Lato" w:hAnsi="Lato"/>
                <w:color w:val="1F497D"/>
                <w:sz w:val="20"/>
                <w:szCs w:val="20"/>
              </w:rPr>
            </w:pPr>
            <w:r w:rsidRPr="0082746D">
              <w:rPr>
                <w:rFonts w:ascii="Lato" w:hAnsi="Lato"/>
                <w:color w:val="1F497D"/>
                <w:sz w:val="20"/>
                <w:szCs w:val="20"/>
              </w:rPr>
              <w:t>Potrzeby c.w.u.</w:t>
            </w:r>
          </w:p>
        </w:tc>
        <w:tc>
          <w:tcPr>
            <w:tcW w:w="524" w:type="pct"/>
            <w:tcBorders>
              <w:top w:val="nil"/>
              <w:left w:val="nil"/>
              <w:bottom w:val="single" w:sz="4" w:space="0" w:color="4F81BD"/>
              <w:right w:val="single" w:sz="4" w:space="0" w:color="4F81BD"/>
            </w:tcBorders>
            <w:shd w:val="clear" w:color="000000" w:fill="DCE6F1"/>
            <w:vAlign w:val="center"/>
            <w:hideMark/>
          </w:tcPr>
          <w:p w:rsidR="00E66853" w:rsidRPr="0082746D" w:rsidRDefault="00E66853" w:rsidP="00E66853">
            <w:pPr>
              <w:spacing w:line="240" w:lineRule="auto"/>
              <w:ind w:firstLine="0"/>
              <w:jc w:val="center"/>
              <w:rPr>
                <w:rFonts w:ascii="Lato" w:hAnsi="Lato"/>
                <w:color w:val="1F497D"/>
                <w:sz w:val="20"/>
                <w:szCs w:val="20"/>
              </w:rPr>
            </w:pPr>
            <w:r w:rsidRPr="0082746D">
              <w:rPr>
                <w:rFonts w:ascii="Lato" w:hAnsi="Lato"/>
                <w:color w:val="1F497D"/>
                <w:sz w:val="20"/>
                <w:szCs w:val="20"/>
              </w:rPr>
              <w:t>Potrzeby bytowe</w:t>
            </w:r>
          </w:p>
        </w:tc>
        <w:tc>
          <w:tcPr>
            <w:tcW w:w="594" w:type="pct"/>
            <w:tcBorders>
              <w:top w:val="nil"/>
              <w:left w:val="nil"/>
              <w:bottom w:val="single" w:sz="4" w:space="0" w:color="4F81BD"/>
              <w:right w:val="single" w:sz="4" w:space="0" w:color="4F81BD"/>
            </w:tcBorders>
            <w:shd w:val="clear" w:color="000000" w:fill="DCE6F1"/>
            <w:vAlign w:val="center"/>
            <w:hideMark/>
          </w:tcPr>
          <w:p w:rsidR="00E66853" w:rsidRPr="0082746D" w:rsidRDefault="00E66853" w:rsidP="00E66853">
            <w:pPr>
              <w:spacing w:line="240" w:lineRule="auto"/>
              <w:ind w:firstLine="0"/>
              <w:jc w:val="center"/>
              <w:rPr>
                <w:rFonts w:ascii="Lato" w:hAnsi="Lato"/>
                <w:color w:val="1F497D"/>
                <w:sz w:val="20"/>
                <w:szCs w:val="20"/>
              </w:rPr>
            </w:pPr>
            <w:r w:rsidRPr="0082746D">
              <w:rPr>
                <w:rFonts w:ascii="Lato" w:hAnsi="Lato"/>
                <w:color w:val="1F497D"/>
                <w:sz w:val="20"/>
                <w:szCs w:val="20"/>
              </w:rPr>
              <w:t>Potrzeby elektr</w:t>
            </w:r>
            <w:r w:rsidR="004363F8" w:rsidRPr="0082746D">
              <w:rPr>
                <w:rFonts w:ascii="Lato" w:hAnsi="Lato"/>
                <w:color w:val="1F497D"/>
                <w:sz w:val="20"/>
                <w:szCs w:val="20"/>
              </w:rPr>
              <w:t>yczne</w:t>
            </w:r>
          </w:p>
        </w:tc>
        <w:tc>
          <w:tcPr>
            <w:tcW w:w="513" w:type="pct"/>
            <w:tcBorders>
              <w:top w:val="nil"/>
              <w:left w:val="nil"/>
              <w:bottom w:val="single" w:sz="4" w:space="0" w:color="4F81BD"/>
              <w:right w:val="single" w:sz="4" w:space="0" w:color="4F81BD"/>
            </w:tcBorders>
            <w:shd w:val="clear" w:color="000000" w:fill="DCE6F1"/>
            <w:vAlign w:val="center"/>
            <w:hideMark/>
          </w:tcPr>
          <w:p w:rsidR="00E66853" w:rsidRPr="0082746D" w:rsidRDefault="00E66853" w:rsidP="00E66853">
            <w:pPr>
              <w:spacing w:line="240" w:lineRule="auto"/>
              <w:ind w:firstLine="0"/>
              <w:jc w:val="center"/>
              <w:rPr>
                <w:rFonts w:ascii="Lato" w:hAnsi="Lato"/>
                <w:color w:val="1F497D"/>
                <w:sz w:val="20"/>
                <w:szCs w:val="20"/>
              </w:rPr>
            </w:pPr>
            <w:r w:rsidRPr="0082746D">
              <w:rPr>
                <w:rFonts w:ascii="Lato" w:hAnsi="Lato"/>
                <w:color w:val="1F497D"/>
                <w:sz w:val="20"/>
                <w:szCs w:val="20"/>
              </w:rPr>
              <w:t>Suma potrzeb cieplnych</w:t>
            </w:r>
          </w:p>
        </w:tc>
      </w:tr>
      <w:tr w:rsidR="00E66853" w:rsidRPr="0082746D" w:rsidTr="00D03562">
        <w:trPr>
          <w:trHeight w:val="285"/>
        </w:trPr>
        <w:tc>
          <w:tcPr>
            <w:tcW w:w="245" w:type="pct"/>
            <w:vMerge/>
            <w:tcBorders>
              <w:top w:val="single" w:sz="4" w:space="0" w:color="4F81BD"/>
              <w:left w:val="single" w:sz="4" w:space="0" w:color="4F81BD"/>
              <w:bottom w:val="single" w:sz="4" w:space="0" w:color="4F81BD"/>
              <w:right w:val="single" w:sz="4" w:space="0" w:color="4F81BD"/>
            </w:tcBorders>
            <w:vAlign w:val="center"/>
            <w:hideMark/>
          </w:tcPr>
          <w:p w:rsidR="00E66853" w:rsidRPr="0082746D" w:rsidRDefault="00E66853" w:rsidP="00E66853">
            <w:pPr>
              <w:spacing w:line="240" w:lineRule="auto"/>
              <w:ind w:firstLine="0"/>
              <w:rPr>
                <w:rFonts w:ascii="Lato" w:hAnsi="Lato"/>
                <w:color w:val="1F497D"/>
                <w:sz w:val="20"/>
                <w:szCs w:val="20"/>
              </w:rPr>
            </w:pPr>
          </w:p>
        </w:tc>
        <w:tc>
          <w:tcPr>
            <w:tcW w:w="1221" w:type="pct"/>
            <w:vMerge/>
            <w:tcBorders>
              <w:top w:val="single" w:sz="4" w:space="0" w:color="4F81BD"/>
              <w:left w:val="single" w:sz="4" w:space="0" w:color="4F81BD"/>
              <w:bottom w:val="single" w:sz="4" w:space="0" w:color="4F81BD"/>
              <w:right w:val="single" w:sz="4" w:space="0" w:color="4F81BD"/>
            </w:tcBorders>
            <w:vAlign w:val="center"/>
            <w:hideMark/>
          </w:tcPr>
          <w:p w:rsidR="00E66853" w:rsidRPr="0082746D" w:rsidRDefault="00E66853" w:rsidP="00E66853">
            <w:pPr>
              <w:spacing w:line="240" w:lineRule="auto"/>
              <w:ind w:firstLine="0"/>
              <w:rPr>
                <w:rFonts w:ascii="Lato" w:hAnsi="Lato"/>
                <w:color w:val="1F497D"/>
                <w:sz w:val="20"/>
                <w:szCs w:val="20"/>
              </w:rPr>
            </w:pPr>
          </w:p>
        </w:tc>
        <w:tc>
          <w:tcPr>
            <w:tcW w:w="687" w:type="pct"/>
            <w:tcBorders>
              <w:top w:val="nil"/>
              <w:left w:val="nil"/>
              <w:bottom w:val="single" w:sz="4" w:space="0" w:color="4F81BD"/>
              <w:right w:val="single" w:sz="4" w:space="0" w:color="4F81BD"/>
            </w:tcBorders>
            <w:shd w:val="clear" w:color="000000" w:fill="DCE6F1"/>
            <w:noWrap/>
            <w:vAlign w:val="center"/>
            <w:hideMark/>
          </w:tcPr>
          <w:p w:rsidR="00E66853" w:rsidRPr="0082746D" w:rsidRDefault="00E66853" w:rsidP="00E66853">
            <w:pPr>
              <w:spacing w:line="240" w:lineRule="auto"/>
              <w:ind w:firstLine="0"/>
              <w:jc w:val="center"/>
              <w:rPr>
                <w:rFonts w:ascii="Lato" w:hAnsi="Lato"/>
                <w:i/>
                <w:iCs/>
                <w:color w:val="1F497D"/>
                <w:sz w:val="20"/>
                <w:szCs w:val="20"/>
              </w:rPr>
            </w:pPr>
            <w:r w:rsidRPr="0082746D">
              <w:rPr>
                <w:rFonts w:ascii="Lato" w:hAnsi="Lato"/>
                <w:i/>
                <w:iCs/>
                <w:color w:val="1F497D"/>
                <w:sz w:val="20"/>
                <w:szCs w:val="20"/>
              </w:rPr>
              <w:t>m</w:t>
            </w:r>
            <w:r w:rsidRPr="0082746D">
              <w:rPr>
                <w:rFonts w:ascii="Lato" w:hAnsi="Lato"/>
                <w:i/>
                <w:iCs/>
                <w:color w:val="1F497D"/>
                <w:sz w:val="20"/>
                <w:szCs w:val="20"/>
                <w:vertAlign w:val="superscript"/>
              </w:rPr>
              <w:t>2</w:t>
            </w:r>
          </w:p>
        </w:tc>
        <w:tc>
          <w:tcPr>
            <w:tcW w:w="631" w:type="pct"/>
            <w:tcBorders>
              <w:top w:val="nil"/>
              <w:left w:val="nil"/>
              <w:bottom w:val="single" w:sz="4" w:space="0" w:color="4F81BD"/>
              <w:right w:val="single" w:sz="4" w:space="0" w:color="4F81BD"/>
            </w:tcBorders>
            <w:shd w:val="clear" w:color="000000" w:fill="DCE6F1"/>
            <w:noWrap/>
            <w:vAlign w:val="center"/>
            <w:hideMark/>
          </w:tcPr>
          <w:p w:rsidR="00E66853" w:rsidRPr="0082746D" w:rsidRDefault="00E66853" w:rsidP="00E66853">
            <w:pPr>
              <w:spacing w:line="240" w:lineRule="auto"/>
              <w:ind w:firstLine="0"/>
              <w:jc w:val="center"/>
              <w:rPr>
                <w:rFonts w:ascii="Lato" w:hAnsi="Lato"/>
                <w:i/>
                <w:iCs/>
                <w:color w:val="1F497D"/>
                <w:sz w:val="20"/>
                <w:szCs w:val="20"/>
              </w:rPr>
            </w:pPr>
            <w:r w:rsidRPr="0082746D">
              <w:rPr>
                <w:rFonts w:ascii="Lato" w:hAnsi="Lato"/>
                <w:i/>
                <w:iCs/>
                <w:color w:val="1F497D"/>
                <w:sz w:val="20"/>
                <w:szCs w:val="20"/>
              </w:rPr>
              <w:t>MW</w:t>
            </w:r>
          </w:p>
        </w:tc>
        <w:tc>
          <w:tcPr>
            <w:tcW w:w="585" w:type="pct"/>
            <w:tcBorders>
              <w:top w:val="nil"/>
              <w:left w:val="nil"/>
              <w:bottom w:val="single" w:sz="4" w:space="0" w:color="4F81BD"/>
              <w:right w:val="single" w:sz="4" w:space="0" w:color="4F81BD"/>
            </w:tcBorders>
            <w:shd w:val="clear" w:color="000000" w:fill="DCE6F1"/>
            <w:noWrap/>
            <w:vAlign w:val="center"/>
            <w:hideMark/>
          </w:tcPr>
          <w:p w:rsidR="00E66853" w:rsidRPr="0082746D" w:rsidRDefault="00E66853" w:rsidP="00E66853">
            <w:pPr>
              <w:spacing w:line="240" w:lineRule="auto"/>
              <w:ind w:firstLine="0"/>
              <w:jc w:val="center"/>
              <w:rPr>
                <w:rFonts w:ascii="Lato" w:hAnsi="Lato"/>
                <w:i/>
                <w:iCs/>
                <w:color w:val="1F497D"/>
                <w:sz w:val="20"/>
                <w:szCs w:val="20"/>
              </w:rPr>
            </w:pPr>
            <w:r w:rsidRPr="0082746D">
              <w:rPr>
                <w:rFonts w:ascii="Lato" w:hAnsi="Lato"/>
                <w:i/>
                <w:iCs/>
                <w:color w:val="1F497D"/>
                <w:sz w:val="20"/>
                <w:szCs w:val="20"/>
              </w:rPr>
              <w:t>MW</w:t>
            </w:r>
          </w:p>
        </w:tc>
        <w:tc>
          <w:tcPr>
            <w:tcW w:w="524" w:type="pct"/>
            <w:tcBorders>
              <w:top w:val="nil"/>
              <w:left w:val="nil"/>
              <w:bottom w:val="single" w:sz="4" w:space="0" w:color="4F81BD"/>
              <w:right w:val="single" w:sz="4" w:space="0" w:color="4F81BD"/>
            </w:tcBorders>
            <w:shd w:val="clear" w:color="000000" w:fill="DCE6F1"/>
            <w:noWrap/>
            <w:vAlign w:val="center"/>
            <w:hideMark/>
          </w:tcPr>
          <w:p w:rsidR="00E66853" w:rsidRPr="0082746D" w:rsidRDefault="00E66853" w:rsidP="00E66853">
            <w:pPr>
              <w:spacing w:line="240" w:lineRule="auto"/>
              <w:ind w:firstLine="0"/>
              <w:jc w:val="center"/>
              <w:rPr>
                <w:rFonts w:ascii="Lato" w:hAnsi="Lato"/>
                <w:i/>
                <w:iCs/>
                <w:color w:val="1F497D"/>
                <w:sz w:val="20"/>
                <w:szCs w:val="20"/>
              </w:rPr>
            </w:pPr>
            <w:r w:rsidRPr="0082746D">
              <w:rPr>
                <w:rFonts w:ascii="Lato" w:hAnsi="Lato"/>
                <w:i/>
                <w:iCs/>
                <w:color w:val="1F497D"/>
                <w:sz w:val="20"/>
                <w:szCs w:val="20"/>
              </w:rPr>
              <w:t>MW</w:t>
            </w:r>
          </w:p>
        </w:tc>
        <w:tc>
          <w:tcPr>
            <w:tcW w:w="594" w:type="pct"/>
            <w:tcBorders>
              <w:top w:val="nil"/>
              <w:left w:val="nil"/>
              <w:bottom w:val="single" w:sz="4" w:space="0" w:color="4F81BD"/>
              <w:right w:val="single" w:sz="4" w:space="0" w:color="4F81BD"/>
            </w:tcBorders>
            <w:shd w:val="clear" w:color="000000" w:fill="DCE6F1"/>
            <w:noWrap/>
            <w:vAlign w:val="center"/>
            <w:hideMark/>
          </w:tcPr>
          <w:p w:rsidR="00E66853" w:rsidRPr="0082746D" w:rsidRDefault="00E66853" w:rsidP="00E66853">
            <w:pPr>
              <w:spacing w:line="240" w:lineRule="auto"/>
              <w:ind w:firstLine="0"/>
              <w:jc w:val="center"/>
              <w:rPr>
                <w:rFonts w:ascii="Lato" w:hAnsi="Lato"/>
                <w:i/>
                <w:iCs/>
                <w:color w:val="1F497D"/>
                <w:sz w:val="20"/>
                <w:szCs w:val="20"/>
              </w:rPr>
            </w:pPr>
            <w:r w:rsidRPr="0082746D">
              <w:rPr>
                <w:rFonts w:ascii="Lato" w:hAnsi="Lato"/>
                <w:i/>
                <w:iCs/>
                <w:color w:val="1F497D"/>
                <w:sz w:val="20"/>
                <w:szCs w:val="20"/>
              </w:rPr>
              <w:t>MW</w:t>
            </w:r>
          </w:p>
        </w:tc>
        <w:tc>
          <w:tcPr>
            <w:tcW w:w="513" w:type="pct"/>
            <w:tcBorders>
              <w:top w:val="nil"/>
              <w:left w:val="nil"/>
              <w:bottom w:val="single" w:sz="4" w:space="0" w:color="4F81BD"/>
              <w:right w:val="single" w:sz="4" w:space="0" w:color="4F81BD"/>
            </w:tcBorders>
            <w:shd w:val="clear" w:color="000000" w:fill="DCE6F1"/>
            <w:vAlign w:val="center"/>
            <w:hideMark/>
          </w:tcPr>
          <w:p w:rsidR="00E66853" w:rsidRPr="0082746D" w:rsidRDefault="00E66853" w:rsidP="00E66853">
            <w:pPr>
              <w:spacing w:line="240" w:lineRule="auto"/>
              <w:ind w:firstLine="0"/>
              <w:jc w:val="center"/>
              <w:rPr>
                <w:rFonts w:ascii="Lato" w:hAnsi="Lato"/>
                <w:i/>
                <w:iCs/>
                <w:color w:val="1F497D"/>
                <w:sz w:val="20"/>
                <w:szCs w:val="20"/>
              </w:rPr>
            </w:pPr>
            <w:r w:rsidRPr="0082746D">
              <w:rPr>
                <w:rFonts w:ascii="Lato" w:hAnsi="Lato"/>
                <w:i/>
                <w:iCs/>
                <w:color w:val="1F497D"/>
                <w:sz w:val="20"/>
                <w:szCs w:val="20"/>
              </w:rPr>
              <w:t>MW</w:t>
            </w:r>
          </w:p>
        </w:tc>
      </w:tr>
      <w:tr w:rsidR="000D3AD0" w:rsidRPr="0082746D" w:rsidTr="00D03562">
        <w:trPr>
          <w:trHeight w:val="420"/>
        </w:trPr>
        <w:tc>
          <w:tcPr>
            <w:tcW w:w="245" w:type="pct"/>
            <w:tcBorders>
              <w:top w:val="nil"/>
              <w:left w:val="single" w:sz="4" w:space="0" w:color="4F81BD"/>
              <w:bottom w:val="single" w:sz="4" w:space="0" w:color="4F81BD"/>
              <w:right w:val="single" w:sz="4" w:space="0" w:color="4F81BD"/>
            </w:tcBorders>
            <w:shd w:val="clear" w:color="auto" w:fill="auto"/>
            <w:noWrap/>
            <w:vAlign w:val="center"/>
            <w:hideMark/>
          </w:tcPr>
          <w:p w:rsidR="000D3AD0" w:rsidRPr="0082746D" w:rsidRDefault="000D3AD0" w:rsidP="00E66853">
            <w:pPr>
              <w:spacing w:line="240" w:lineRule="auto"/>
              <w:ind w:firstLine="0"/>
              <w:jc w:val="center"/>
              <w:rPr>
                <w:rFonts w:ascii="Lato" w:hAnsi="Lato"/>
                <w:color w:val="1F497D"/>
                <w:sz w:val="20"/>
                <w:szCs w:val="20"/>
              </w:rPr>
            </w:pPr>
            <w:r w:rsidRPr="0082746D">
              <w:rPr>
                <w:rFonts w:ascii="Lato" w:hAnsi="Lato"/>
                <w:color w:val="1F497D"/>
                <w:sz w:val="20"/>
                <w:szCs w:val="20"/>
              </w:rPr>
              <w:t>1</w:t>
            </w:r>
          </w:p>
        </w:tc>
        <w:tc>
          <w:tcPr>
            <w:tcW w:w="1221" w:type="pct"/>
            <w:tcBorders>
              <w:top w:val="nil"/>
              <w:left w:val="nil"/>
              <w:bottom w:val="single" w:sz="4" w:space="0" w:color="4F81BD"/>
              <w:right w:val="single" w:sz="4" w:space="0" w:color="4F81BD"/>
            </w:tcBorders>
            <w:shd w:val="clear" w:color="auto" w:fill="auto"/>
            <w:vAlign w:val="center"/>
            <w:hideMark/>
          </w:tcPr>
          <w:p w:rsidR="000D3AD0" w:rsidRPr="0082746D" w:rsidRDefault="000D3AD0" w:rsidP="00E66853">
            <w:pPr>
              <w:spacing w:line="240" w:lineRule="auto"/>
              <w:ind w:firstLine="0"/>
              <w:rPr>
                <w:rFonts w:ascii="Lato" w:hAnsi="Lato"/>
                <w:color w:val="1F497D"/>
                <w:sz w:val="20"/>
                <w:szCs w:val="20"/>
              </w:rPr>
            </w:pPr>
            <w:r w:rsidRPr="0082746D">
              <w:rPr>
                <w:rFonts w:ascii="Lato" w:hAnsi="Lato"/>
                <w:color w:val="1F497D"/>
                <w:sz w:val="20"/>
                <w:szCs w:val="20"/>
              </w:rPr>
              <w:t>Mieszkalnictwo</w:t>
            </w:r>
          </w:p>
        </w:tc>
        <w:tc>
          <w:tcPr>
            <w:tcW w:w="687"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244 681</w:t>
            </w:r>
          </w:p>
        </w:tc>
        <w:tc>
          <w:tcPr>
            <w:tcW w:w="631"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23,24</w:t>
            </w:r>
          </w:p>
        </w:tc>
        <w:tc>
          <w:tcPr>
            <w:tcW w:w="585"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3,18</w:t>
            </w:r>
          </w:p>
        </w:tc>
        <w:tc>
          <w:tcPr>
            <w:tcW w:w="52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1,71</w:t>
            </w:r>
          </w:p>
        </w:tc>
        <w:tc>
          <w:tcPr>
            <w:tcW w:w="59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3,53</w:t>
            </w:r>
          </w:p>
        </w:tc>
        <w:tc>
          <w:tcPr>
            <w:tcW w:w="513"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28,1</w:t>
            </w:r>
          </w:p>
        </w:tc>
      </w:tr>
      <w:tr w:rsidR="000D3AD0" w:rsidRPr="0082746D" w:rsidTr="00D03562">
        <w:trPr>
          <w:trHeight w:val="420"/>
        </w:trPr>
        <w:tc>
          <w:tcPr>
            <w:tcW w:w="245" w:type="pct"/>
            <w:tcBorders>
              <w:top w:val="nil"/>
              <w:left w:val="single" w:sz="4" w:space="0" w:color="4F81BD"/>
              <w:bottom w:val="single" w:sz="4" w:space="0" w:color="4F81BD"/>
              <w:right w:val="single" w:sz="4" w:space="0" w:color="4F81BD"/>
            </w:tcBorders>
            <w:shd w:val="clear" w:color="auto" w:fill="auto"/>
            <w:noWrap/>
            <w:vAlign w:val="center"/>
            <w:hideMark/>
          </w:tcPr>
          <w:p w:rsidR="000D3AD0" w:rsidRPr="0082746D" w:rsidRDefault="000D3AD0" w:rsidP="00E66853">
            <w:pPr>
              <w:spacing w:line="240" w:lineRule="auto"/>
              <w:ind w:firstLine="0"/>
              <w:jc w:val="center"/>
              <w:rPr>
                <w:rFonts w:ascii="Lato" w:hAnsi="Lato"/>
                <w:color w:val="1F497D"/>
                <w:sz w:val="20"/>
                <w:szCs w:val="20"/>
              </w:rPr>
            </w:pPr>
            <w:r w:rsidRPr="0082746D">
              <w:rPr>
                <w:rFonts w:ascii="Lato" w:hAnsi="Lato"/>
                <w:color w:val="1F497D"/>
                <w:sz w:val="20"/>
                <w:szCs w:val="20"/>
              </w:rPr>
              <w:t>2</w:t>
            </w:r>
          </w:p>
        </w:tc>
        <w:tc>
          <w:tcPr>
            <w:tcW w:w="1221" w:type="pct"/>
            <w:tcBorders>
              <w:top w:val="nil"/>
              <w:left w:val="nil"/>
              <w:bottom w:val="single" w:sz="4" w:space="0" w:color="4F81BD"/>
              <w:right w:val="single" w:sz="4" w:space="0" w:color="4F81BD"/>
            </w:tcBorders>
            <w:shd w:val="clear" w:color="auto" w:fill="auto"/>
            <w:vAlign w:val="center"/>
            <w:hideMark/>
          </w:tcPr>
          <w:p w:rsidR="000D3AD0" w:rsidRPr="0082746D" w:rsidRDefault="000D3AD0" w:rsidP="00E66853">
            <w:pPr>
              <w:spacing w:line="240" w:lineRule="auto"/>
              <w:ind w:firstLine="0"/>
              <w:rPr>
                <w:rFonts w:ascii="Lato" w:hAnsi="Lato"/>
                <w:color w:val="1F497D"/>
                <w:sz w:val="20"/>
                <w:szCs w:val="20"/>
              </w:rPr>
            </w:pPr>
            <w:r w:rsidRPr="0082746D">
              <w:rPr>
                <w:rFonts w:ascii="Lato" w:hAnsi="Lato"/>
                <w:color w:val="1F497D"/>
                <w:sz w:val="20"/>
                <w:szCs w:val="20"/>
              </w:rPr>
              <w:t>Użyteczność publiczna</w:t>
            </w:r>
          </w:p>
        </w:tc>
        <w:tc>
          <w:tcPr>
            <w:tcW w:w="687"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10 556</w:t>
            </w:r>
          </w:p>
        </w:tc>
        <w:tc>
          <w:tcPr>
            <w:tcW w:w="631"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0,74</w:t>
            </w:r>
          </w:p>
        </w:tc>
        <w:tc>
          <w:tcPr>
            <w:tcW w:w="585"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0,08</w:t>
            </w:r>
          </w:p>
        </w:tc>
        <w:tc>
          <w:tcPr>
            <w:tcW w:w="52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0,04</w:t>
            </w:r>
          </w:p>
        </w:tc>
        <w:tc>
          <w:tcPr>
            <w:tcW w:w="59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0,16</w:t>
            </w:r>
          </w:p>
        </w:tc>
        <w:tc>
          <w:tcPr>
            <w:tcW w:w="513"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0,9</w:t>
            </w:r>
          </w:p>
        </w:tc>
      </w:tr>
      <w:tr w:rsidR="000D3AD0" w:rsidRPr="0082746D" w:rsidTr="00D03562">
        <w:trPr>
          <w:trHeight w:val="420"/>
        </w:trPr>
        <w:tc>
          <w:tcPr>
            <w:tcW w:w="245" w:type="pct"/>
            <w:tcBorders>
              <w:top w:val="nil"/>
              <w:left w:val="single" w:sz="4" w:space="0" w:color="4F81BD"/>
              <w:bottom w:val="single" w:sz="4" w:space="0" w:color="4F81BD"/>
              <w:right w:val="single" w:sz="4" w:space="0" w:color="4F81BD"/>
            </w:tcBorders>
            <w:shd w:val="clear" w:color="auto" w:fill="auto"/>
            <w:noWrap/>
            <w:vAlign w:val="center"/>
            <w:hideMark/>
          </w:tcPr>
          <w:p w:rsidR="000D3AD0" w:rsidRPr="0082746D" w:rsidRDefault="000D3AD0" w:rsidP="00E66853">
            <w:pPr>
              <w:spacing w:line="240" w:lineRule="auto"/>
              <w:ind w:firstLine="0"/>
              <w:jc w:val="center"/>
              <w:rPr>
                <w:rFonts w:ascii="Lato" w:hAnsi="Lato"/>
                <w:color w:val="1F497D"/>
                <w:sz w:val="20"/>
                <w:szCs w:val="20"/>
              </w:rPr>
            </w:pPr>
            <w:r w:rsidRPr="0082746D">
              <w:rPr>
                <w:rFonts w:ascii="Lato" w:hAnsi="Lato"/>
                <w:color w:val="1F497D"/>
                <w:sz w:val="20"/>
                <w:szCs w:val="20"/>
              </w:rPr>
              <w:t>3</w:t>
            </w:r>
          </w:p>
        </w:tc>
        <w:tc>
          <w:tcPr>
            <w:tcW w:w="1221" w:type="pct"/>
            <w:tcBorders>
              <w:top w:val="nil"/>
              <w:left w:val="nil"/>
              <w:bottom w:val="single" w:sz="4" w:space="0" w:color="4F81BD"/>
              <w:right w:val="single" w:sz="4" w:space="0" w:color="4F81BD"/>
            </w:tcBorders>
            <w:shd w:val="clear" w:color="auto" w:fill="auto"/>
            <w:vAlign w:val="center"/>
            <w:hideMark/>
          </w:tcPr>
          <w:p w:rsidR="000D3AD0" w:rsidRPr="0082746D" w:rsidRDefault="000D3AD0" w:rsidP="00E66853">
            <w:pPr>
              <w:spacing w:line="240" w:lineRule="auto"/>
              <w:ind w:firstLine="0"/>
              <w:rPr>
                <w:rFonts w:ascii="Lato" w:hAnsi="Lato"/>
                <w:color w:val="1F497D"/>
                <w:sz w:val="20"/>
                <w:szCs w:val="20"/>
              </w:rPr>
            </w:pPr>
            <w:r w:rsidRPr="0082746D">
              <w:rPr>
                <w:rFonts w:ascii="Lato" w:hAnsi="Lato"/>
                <w:color w:val="1F497D"/>
                <w:sz w:val="20"/>
                <w:szCs w:val="20"/>
              </w:rPr>
              <w:t xml:space="preserve">Handel, usługi, przedsiębiorstwa </w:t>
            </w:r>
          </w:p>
        </w:tc>
        <w:tc>
          <w:tcPr>
            <w:tcW w:w="687"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57 343</w:t>
            </w:r>
          </w:p>
        </w:tc>
        <w:tc>
          <w:tcPr>
            <w:tcW w:w="631"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3,71</w:t>
            </w:r>
          </w:p>
        </w:tc>
        <w:tc>
          <w:tcPr>
            <w:tcW w:w="585"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0,41</w:t>
            </w:r>
          </w:p>
        </w:tc>
        <w:tc>
          <w:tcPr>
            <w:tcW w:w="52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0,23</w:t>
            </w:r>
          </w:p>
        </w:tc>
        <w:tc>
          <w:tcPr>
            <w:tcW w:w="59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3,61</w:t>
            </w:r>
          </w:p>
        </w:tc>
        <w:tc>
          <w:tcPr>
            <w:tcW w:w="513"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4,3</w:t>
            </w:r>
          </w:p>
        </w:tc>
      </w:tr>
      <w:tr w:rsidR="00872A57" w:rsidRPr="0082746D" w:rsidTr="00D03562">
        <w:trPr>
          <w:trHeight w:val="420"/>
        </w:trPr>
        <w:tc>
          <w:tcPr>
            <w:tcW w:w="245" w:type="pct"/>
            <w:tcBorders>
              <w:top w:val="nil"/>
              <w:left w:val="single" w:sz="4" w:space="0" w:color="4F81BD"/>
              <w:bottom w:val="single" w:sz="4" w:space="0" w:color="4F81BD"/>
              <w:right w:val="single" w:sz="4" w:space="0" w:color="4F81BD"/>
            </w:tcBorders>
            <w:shd w:val="clear" w:color="auto" w:fill="auto"/>
            <w:noWrap/>
            <w:vAlign w:val="center"/>
            <w:hideMark/>
          </w:tcPr>
          <w:p w:rsidR="00872A57" w:rsidRPr="0082746D" w:rsidRDefault="00E3709D" w:rsidP="00E66853">
            <w:pPr>
              <w:spacing w:line="240" w:lineRule="auto"/>
              <w:ind w:firstLine="0"/>
              <w:jc w:val="center"/>
              <w:rPr>
                <w:rFonts w:ascii="Lato" w:hAnsi="Lato"/>
                <w:color w:val="1F497D"/>
                <w:sz w:val="20"/>
                <w:szCs w:val="20"/>
              </w:rPr>
            </w:pPr>
            <w:r w:rsidRPr="0082746D">
              <w:rPr>
                <w:rFonts w:ascii="Lato" w:hAnsi="Lato"/>
                <w:color w:val="1F497D"/>
                <w:sz w:val="20"/>
                <w:szCs w:val="20"/>
              </w:rPr>
              <w:t>4</w:t>
            </w:r>
          </w:p>
        </w:tc>
        <w:tc>
          <w:tcPr>
            <w:tcW w:w="1221" w:type="pct"/>
            <w:tcBorders>
              <w:top w:val="nil"/>
              <w:left w:val="nil"/>
              <w:bottom w:val="single" w:sz="4" w:space="0" w:color="4F81BD"/>
              <w:right w:val="single" w:sz="4" w:space="0" w:color="4F81BD"/>
            </w:tcBorders>
            <w:shd w:val="clear" w:color="auto" w:fill="auto"/>
            <w:vAlign w:val="center"/>
            <w:hideMark/>
          </w:tcPr>
          <w:p w:rsidR="00872A57" w:rsidRPr="0082746D" w:rsidRDefault="00872A57" w:rsidP="00E66853">
            <w:pPr>
              <w:spacing w:line="240" w:lineRule="auto"/>
              <w:ind w:firstLine="0"/>
              <w:rPr>
                <w:rFonts w:ascii="Lato" w:hAnsi="Lato"/>
                <w:color w:val="1F497D"/>
                <w:sz w:val="20"/>
                <w:szCs w:val="20"/>
              </w:rPr>
            </w:pPr>
            <w:r w:rsidRPr="0082746D">
              <w:rPr>
                <w:rFonts w:ascii="Lato" w:hAnsi="Lato"/>
                <w:color w:val="1F497D"/>
                <w:sz w:val="20"/>
                <w:szCs w:val="20"/>
              </w:rPr>
              <w:t>Oświetlenie ulic</w:t>
            </w:r>
          </w:p>
        </w:tc>
        <w:tc>
          <w:tcPr>
            <w:tcW w:w="2427" w:type="pct"/>
            <w:gridSpan w:val="4"/>
            <w:tcBorders>
              <w:top w:val="single" w:sz="4" w:space="0" w:color="4F81BD"/>
              <w:left w:val="nil"/>
              <w:bottom w:val="single" w:sz="4" w:space="0" w:color="4F81BD"/>
              <w:right w:val="single" w:sz="4" w:space="0" w:color="4F81BD"/>
            </w:tcBorders>
            <w:shd w:val="clear" w:color="000000" w:fill="C0C0C0"/>
            <w:noWrap/>
            <w:vAlign w:val="center"/>
          </w:tcPr>
          <w:p w:rsidR="00872A57" w:rsidRPr="0082746D" w:rsidRDefault="00872A57" w:rsidP="00E66853">
            <w:pPr>
              <w:spacing w:line="240" w:lineRule="auto"/>
              <w:ind w:firstLine="0"/>
              <w:jc w:val="right"/>
              <w:rPr>
                <w:rFonts w:ascii="Lato" w:hAnsi="Lato"/>
                <w:color w:val="1F497D"/>
                <w:sz w:val="20"/>
                <w:szCs w:val="20"/>
              </w:rPr>
            </w:pPr>
          </w:p>
        </w:tc>
        <w:tc>
          <w:tcPr>
            <w:tcW w:w="594" w:type="pct"/>
            <w:tcBorders>
              <w:top w:val="nil"/>
              <w:left w:val="nil"/>
              <w:bottom w:val="single" w:sz="4" w:space="0" w:color="4F81BD"/>
              <w:right w:val="single" w:sz="4" w:space="0" w:color="4F81BD"/>
            </w:tcBorders>
            <w:shd w:val="clear" w:color="auto" w:fill="auto"/>
            <w:noWrap/>
            <w:vAlign w:val="center"/>
          </w:tcPr>
          <w:p w:rsidR="00872A57" w:rsidRPr="0082746D" w:rsidRDefault="001E771F" w:rsidP="000D3AD0">
            <w:pPr>
              <w:spacing w:line="240" w:lineRule="auto"/>
              <w:ind w:firstLine="0"/>
              <w:jc w:val="center"/>
              <w:rPr>
                <w:rFonts w:ascii="Lato" w:hAnsi="Lato"/>
                <w:color w:val="1F497D"/>
                <w:sz w:val="20"/>
                <w:szCs w:val="20"/>
              </w:rPr>
            </w:pPr>
            <w:r w:rsidRPr="0082746D">
              <w:rPr>
                <w:rFonts w:ascii="Lato" w:hAnsi="Lato"/>
                <w:color w:val="1F497D"/>
                <w:sz w:val="20"/>
                <w:szCs w:val="20"/>
              </w:rPr>
              <w:t>0,</w:t>
            </w:r>
            <w:r w:rsidR="000D3AD0">
              <w:rPr>
                <w:rFonts w:ascii="Lato" w:hAnsi="Lato"/>
                <w:color w:val="1F497D"/>
                <w:sz w:val="20"/>
                <w:szCs w:val="20"/>
              </w:rPr>
              <w:t>09</w:t>
            </w:r>
          </w:p>
        </w:tc>
        <w:tc>
          <w:tcPr>
            <w:tcW w:w="513" w:type="pct"/>
            <w:tcBorders>
              <w:top w:val="nil"/>
              <w:left w:val="nil"/>
              <w:bottom w:val="single" w:sz="4" w:space="0" w:color="4F81BD"/>
              <w:right w:val="single" w:sz="4" w:space="0" w:color="4F81BD"/>
            </w:tcBorders>
            <w:shd w:val="clear" w:color="000000" w:fill="C0C0C0"/>
            <w:noWrap/>
            <w:vAlign w:val="center"/>
          </w:tcPr>
          <w:p w:rsidR="00872A57" w:rsidRPr="0082746D" w:rsidRDefault="00872A57" w:rsidP="00E66853">
            <w:pPr>
              <w:spacing w:line="240" w:lineRule="auto"/>
              <w:ind w:firstLine="0"/>
              <w:jc w:val="right"/>
              <w:rPr>
                <w:rFonts w:ascii="Lato" w:hAnsi="Lato"/>
                <w:color w:val="1F497D"/>
                <w:sz w:val="20"/>
                <w:szCs w:val="20"/>
              </w:rPr>
            </w:pPr>
          </w:p>
        </w:tc>
      </w:tr>
      <w:tr w:rsidR="000D3AD0" w:rsidRPr="0082746D" w:rsidTr="00D03562">
        <w:trPr>
          <w:trHeight w:val="435"/>
        </w:trPr>
        <w:tc>
          <w:tcPr>
            <w:tcW w:w="1466" w:type="pct"/>
            <w:gridSpan w:val="2"/>
            <w:tcBorders>
              <w:top w:val="single" w:sz="4" w:space="0" w:color="4F81BD"/>
              <w:left w:val="single" w:sz="4" w:space="0" w:color="4F81BD"/>
              <w:bottom w:val="single" w:sz="4" w:space="0" w:color="4F81BD"/>
              <w:right w:val="single" w:sz="4" w:space="0" w:color="4F81BD"/>
            </w:tcBorders>
            <w:shd w:val="clear" w:color="auto" w:fill="auto"/>
            <w:vAlign w:val="center"/>
            <w:hideMark/>
          </w:tcPr>
          <w:p w:rsidR="000D3AD0" w:rsidRPr="0082746D" w:rsidRDefault="000D3AD0" w:rsidP="00E66853">
            <w:pPr>
              <w:spacing w:line="240" w:lineRule="auto"/>
              <w:ind w:firstLine="0"/>
              <w:jc w:val="center"/>
              <w:rPr>
                <w:rFonts w:ascii="Lato" w:hAnsi="Lato"/>
                <w:b/>
                <w:bCs/>
                <w:color w:val="1F497D"/>
                <w:sz w:val="20"/>
                <w:szCs w:val="20"/>
              </w:rPr>
            </w:pPr>
            <w:r w:rsidRPr="0082746D">
              <w:rPr>
                <w:rFonts w:ascii="Lato" w:hAnsi="Lato"/>
                <w:b/>
                <w:bCs/>
                <w:color w:val="1F497D"/>
                <w:sz w:val="20"/>
                <w:szCs w:val="20"/>
              </w:rPr>
              <w:t>SUMA</w:t>
            </w:r>
          </w:p>
        </w:tc>
        <w:tc>
          <w:tcPr>
            <w:tcW w:w="687"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312 580</w:t>
            </w:r>
          </w:p>
        </w:tc>
        <w:tc>
          <w:tcPr>
            <w:tcW w:w="631"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27,7</w:t>
            </w:r>
          </w:p>
        </w:tc>
        <w:tc>
          <w:tcPr>
            <w:tcW w:w="585"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3,7</w:t>
            </w:r>
          </w:p>
        </w:tc>
        <w:tc>
          <w:tcPr>
            <w:tcW w:w="52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2,0</w:t>
            </w:r>
          </w:p>
        </w:tc>
        <w:tc>
          <w:tcPr>
            <w:tcW w:w="59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7,4</w:t>
            </w:r>
          </w:p>
        </w:tc>
        <w:tc>
          <w:tcPr>
            <w:tcW w:w="513"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33,4</w:t>
            </w:r>
          </w:p>
        </w:tc>
      </w:tr>
    </w:tbl>
    <w:p w:rsidR="00D033B2" w:rsidRPr="0082746D" w:rsidRDefault="00D033B2" w:rsidP="00D033B2">
      <w:pPr>
        <w:ind w:firstLine="0"/>
        <w:jc w:val="center"/>
        <w:rPr>
          <w:rFonts w:ascii="Lato" w:hAnsi="Lato"/>
          <w:i/>
          <w:sz w:val="20"/>
          <w:lang w:eastAsia="x-none"/>
        </w:rPr>
      </w:pPr>
      <w:r w:rsidRPr="0082746D">
        <w:rPr>
          <w:rFonts w:ascii="Lato" w:hAnsi="Lato"/>
          <w:i/>
          <w:sz w:val="20"/>
          <w:lang w:eastAsia="x-none"/>
        </w:rPr>
        <w:t>Źródło: Obliczenia własne</w:t>
      </w:r>
    </w:p>
    <w:p w:rsidR="00F80846" w:rsidRPr="0082746D" w:rsidRDefault="00F80846" w:rsidP="00D033B2">
      <w:pPr>
        <w:ind w:firstLine="0"/>
        <w:jc w:val="center"/>
        <w:rPr>
          <w:rFonts w:ascii="Lato" w:hAnsi="Lato"/>
          <w:i/>
          <w:sz w:val="20"/>
          <w:lang w:eastAsia="x-none"/>
        </w:rPr>
      </w:pPr>
    </w:p>
    <w:p w:rsidR="00D03562" w:rsidRDefault="00D03562">
      <w:pPr>
        <w:spacing w:line="240" w:lineRule="auto"/>
        <w:ind w:firstLine="0"/>
        <w:rPr>
          <w:rFonts w:ascii="Lato" w:hAnsi="Lato"/>
          <w:b/>
          <w:bCs/>
          <w:color w:val="365F91"/>
          <w:spacing w:val="-2"/>
          <w:sz w:val="20"/>
          <w:szCs w:val="20"/>
          <w:lang w:val="x-none" w:eastAsia="x-none"/>
        </w:rPr>
      </w:pPr>
      <w:r>
        <w:rPr>
          <w:rFonts w:ascii="Lato" w:hAnsi="Lato"/>
          <w:bCs/>
          <w:color w:val="365F91"/>
          <w:sz w:val="20"/>
          <w:szCs w:val="20"/>
        </w:rPr>
        <w:br w:type="page"/>
      </w:r>
    </w:p>
    <w:p w:rsidR="005B2758" w:rsidRPr="0082746D" w:rsidRDefault="005B2758" w:rsidP="00D93D22">
      <w:pPr>
        <w:pStyle w:val="Legenda"/>
        <w:rPr>
          <w:rFonts w:ascii="Lato" w:hAnsi="Lato"/>
          <w:color w:val="365F91"/>
          <w:sz w:val="20"/>
          <w:szCs w:val="20"/>
        </w:rPr>
      </w:pPr>
      <w:bookmarkStart w:id="119" w:name="_Toc20219168"/>
      <w:r w:rsidRPr="0082746D">
        <w:rPr>
          <w:rFonts w:ascii="Lato" w:hAnsi="Lato"/>
          <w:bCs/>
          <w:color w:val="365F91"/>
          <w:sz w:val="20"/>
          <w:szCs w:val="20"/>
        </w:rPr>
        <w:lastRenderedPageBreak/>
        <w:t xml:space="preserve">Tabela </w:t>
      </w:r>
      <w:r w:rsidR="004042AE" w:rsidRPr="0082746D">
        <w:rPr>
          <w:rFonts w:ascii="Lato" w:hAnsi="Lato"/>
          <w:bCs/>
          <w:color w:val="365F91"/>
          <w:sz w:val="20"/>
          <w:szCs w:val="20"/>
        </w:rPr>
        <w:fldChar w:fldCharType="begin"/>
      </w:r>
      <w:r w:rsidR="005430ED" w:rsidRPr="0082746D">
        <w:rPr>
          <w:rFonts w:ascii="Lato" w:hAnsi="Lato"/>
          <w:bCs/>
          <w:color w:val="365F91"/>
          <w:sz w:val="20"/>
          <w:szCs w:val="20"/>
        </w:rPr>
        <w:instrText xml:space="preserve"> STYLEREF 1 \s </w:instrText>
      </w:r>
      <w:r w:rsidR="004042AE" w:rsidRPr="0082746D">
        <w:rPr>
          <w:rFonts w:ascii="Lato" w:hAnsi="Lato"/>
          <w:bCs/>
          <w:color w:val="365F91"/>
          <w:sz w:val="20"/>
          <w:szCs w:val="20"/>
        </w:rPr>
        <w:fldChar w:fldCharType="separate"/>
      </w:r>
      <w:r w:rsidR="0040205B">
        <w:rPr>
          <w:rFonts w:ascii="Lato" w:hAnsi="Lato"/>
          <w:bCs/>
          <w:noProof/>
          <w:color w:val="365F91"/>
          <w:sz w:val="20"/>
          <w:szCs w:val="20"/>
        </w:rPr>
        <w:t>2</w:t>
      </w:r>
      <w:r w:rsidR="004042AE" w:rsidRPr="0082746D">
        <w:rPr>
          <w:rFonts w:ascii="Lato" w:hAnsi="Lato"/>
          <w:bCs/>
          <w:color w:val="365F91"/>
          <w:sz w:val="20"/>
          <w:szCs w:val="20"/>
        </w:rPr>
        <w:fldChar w:fldCharType="end"/>
      </w:r>
      <w:r w:rsidR="005430ED" w:rsidRPr="0082746D">
        <w:rPr>
          <w:rFonts w:ascii="Lato" w:hAnsi="Lato"/>
          <w:bCs/>
          <w:color w:val="365F91"/>
          <w:sz w:val="20"/>
          <w:szCs w:val="20"/>
        </w:rPr>
        <w:noBreakHyphen/>
      </w:r>
      <w:r w:rsidR="004042AE" w:rsidRPr="0082746D">
        <w:rPr>
          <w:rFonts w:ascii="Lato" w:hAnsi="Lato"/>
          <w:bCs/>
          <w:color w:val="365F91"/>
          <w:sz w:val="20"/>
          <w:szCs w:val="20"/>
        </w:rPr>
        <w:fldChar w:fldCharType="begin"/>
      </w:r>
      <w:r w:rsidR="005430ED" w:rsidRPr="0082746D">
        <w:rPr>
          <w:rFonts w:ascii="Lato" w:hAnsi="Lato"/>
          <w:bCs/>
          <w:color w:val="365F91"/>
          <w:sz w:val="20"/>
          <w:szCs w:val="20"/>
        </w:rPr>
        <w:instrText xml:space="preserve"> SEQ Tabela \* ARABIC \s 1 </w:instrText>
      </w:r>
      <w:r w:rsidR="004042AE" w:rsidRPr="0082746D">
        <w:rPr>
          <w:rFonts w:ascii="Lato" w:hAnsi="Lato"/>
          <w:bCs/>
          <w:color w:val="365F91"/>
          <w:sz w:val="20"/>
          <w:szCs w:val="20"/>
        </w:rPr>
        <w:fldChar w:fldCharType="separate"/>
      </w:r>
      <w:r w:rsidR="0040205B">
        <w:rPr>
          <w:rFonts w:ascii="Lato" w:hAnsi="Lato"/>
          <w:bCs/>
          <w:noProof/>
          <w:color w:val="365F91"/>
          <w:sz w:val="20"/>
          <w:szCs w:val="20"/>
        </w:rPr>
        <w:t>2</w:t>
      </w:r>
      <w:r w:rsidR="004042AE" w:rsidRPr="0082746D">
        <w:rPr>
          <w:rFonts w:ascii="Lato" w:hAnsi="Lato"/>
          <w:bCs/>
          <w:color w:val="365F91"/>
          <w:sz w:val="20"/>
          <w:szCs w:val="20"/>
        </w:rPr>
        <w:fldChar w:fldCharType="end"/>
      </w:r>
      <w:r w:rsidRPr="0082746D">
        <w:rPr>
          <w:rFonts w:ascii="Lato" w:hAnsi="Lato"/>
          <w:bCs/>
          <w:color w:val="365F91"/>
          <w:sz w:val="20"/>
          <w:szCs w:val="20"/>
        </w:rPr>
        <w:t xml:space="preserve"> Zestawienie zapotrzebowania </w:t>
      </w:r>
      <w:r w:rsidR="00B71E13" w:rsidRPr="0082746D">
        <w:rPr>
          <w:rFonts w:ascii="Lato" w:hAnsi="Lato"/>
          <w:bCs/>
          <w:color w:val="365F91"/>
          <w:sz w:val="20"/>
          <w:szCs w:val="20"/>
        </w:rPr>
        <w:t xml:space="preserve">Gminy </w:t>
      </w:r>
      <w:r w:rsidR="0082746D" w:rsidRPr="0082746D">
        <w:rPr>
          <w:rFonts w:ascii="Lato" w:hAnsi="Lato"/>
          <w:bCs/>
          <w:color w:val="365F91"/>
          <w:sz w:val="20"/>
          <w:szCs w:val="20"/>
          <w:lang w:val="pl-PL"/>
        </w:rPr>
        <w:t>Pabianice</w:t>
      </w:r>
      <w:r w:rsidR="00B71E13" w:rsidRPr="0082746D">
        <w:rPr>
          <w:rFonts w:ascii="Lato" w:hAnsi="Lato"/>
          <w:bCs/>
          <w:color w:val="365F91"/>
          <w:sz w:val="20"/>
          <w:szCs w:val="20"/>
        </w:rPr>
        <w:t xml:space="preserve"> </w:t>
      </w:r>
      <w:r w:rsidRPr="0082746D">
        <w:rPr>
          <w:rFonts w:ascii="Lato" w:hAnsi="Lato"/>
          <w:bCs/>
          <w:color w:val="365F91"/>
          <w:sz w:val="20"/>
          <w:szCs w:val="20"/>
        </w:rPr>
        <w:t>na energię</w:t>
      </w:r>
      <w:bookmarkEnd w:id="114"/>
      <w:bookmarkEnd w:id="115"/>
      <w:bookmarkEnd w:id="116"/>
      <w:bookmarkEnd w:id="117"/>
      <w:bookmarkEnd w:id="118"/>
      <w:bookmarkEnd w:id="119"/>
    </w:p>
    <w:tbl>
      <w:tblPr>
        <w:tblW w:w="5000" w:type="pct"/>
        <w:tblCellMar>
          <w:left w:w="70" w:type="dxa"/>
          <w:right w:w="70" w:type="dxa"/>
        </w:tblCellMar>
        <w:tblLook w:val="04A0" w:firstRow="1" w:lastRow="0" w:firstColumn="1" w:lastColumn="0" w:noHBand="0" w:noVBand="1"/>
      </w:tblPr>
      <w:tblGrid>
        <w:gridCol w:w="469"/>
        <w:gridCol w:w="2235"/>
        <w:gridCol w:w="1423"/>
        <w:gridCol w:w="1141"/>
        <w:gridCol w:w="995"/>
        <w:gridCol w:w="1001"/>
        <w:gridCol w:w="1150"/>
        <w:gridCol w:w="1139"/>
      </w:tblGrid>
      <w:tr w:rsidR="00ED0A21" w:rsidRPr="0082746D" w:rsidTr="000D3AD0">
        <w:trPr>
          <w:trHeight w:val="555"/>
        </w:trPr>
        <w:tc>
          <w:tcPr>
            <w:tcW w:w="245" w:type="pct"/>
            <w:vMerge w:val="restart"/>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rsidR="00ED0A21" w:rsidRPr="0082746D" w:rsidRDefault="00ED0A21" w:rsidP="00ED0A21">
            <w:pPr>
              <w:spacing w:line="240" w:lineRule="auto"/>
              <w:ind w:firstLine="0"/>
              <w:rPr>
                <w:rFonts w:ascii="Lato" w:hAnsi="Lato"/>
                <w:color w:val="1F497D"/>
                <w:sz w:val="20"/>
                <w:szCs w:val="20"/>
              </w:rPr>
            </w:pPr>
            <w:bookmarkStart w:id="120" w:name="_Toc66092518"/>
            <w:bookmarkStart w:id="121" w:name="_Toc217206097"/>
            <w:r w:rsidRPr="0082746D">
              <w:rPr>
                <w:rFonts w:ascii="Lato" w:hAnsi="Lato"/>
                <w:color w:val="1F497D"/>
                <w:sz w:val="20"/>
                <w:szCs w:val="20"/>
              </w:rPr>
              <w:t>L.p.</w:t>
            </w:r>
          </w:p>
        </w:tc>
        <w:tc>
          <w:tcPr>
            <w:tcW w:w="1170" w:type="pct"/>
            <w:vMerge w:val="restart"/>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rsidR="00ED0A21" w:rsidRPr="0082746D" w:rsidRDefault="00ED0A21" w:rsidP="00ED0A21">
            <w:pPr>
              <w:spacing w:line="240" w:lineRule="auto"/>
              <w:ind w:firstLine="0"/>
              <w:jc w:val="center"/>
              <w:rPr>
                <w:rFonts w:ascii="Lato" w:hAnsi="Lato"/>
                <w:color w:val="1F497D"/>
                <w:sz w:val="20"/>
                <w:szCs w:val="20"/>
              </w:rPr>
            </w:pPr>
            <w:r w:rsidRPr="0082746D">
              <w:rPr>
                <w:rFonts w:ascii="Lato" w:hAnsi="Lato"/>
                <w:color w:val="1F497D"/>
                <w:sz w:val="20"/>
                <w:szCs w:val="20"/>
              </w:rPr>
              <w:t>Wyszczególnienie</w:t>
            </w:r>
          </w:p>
        </w:tc>
        <w:tc>
          <w:tcPr>
            <w:tcW w:w="745"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ED0A21" w:rsidRPr="0082746D" w:rsidRDefault="00ED0A21" w:rsidP="00ED0A21">
            <w:pPr>
              <w:spacing w:line="240" w:lineRule="auto"/>
              <w:ind w:firstLine="0"/>
              <w:jc w:val="center"/>
              <w:rPr>
                <w:rFonts w:ascii="Lato" w:hAnsi="Lato"/>
                <w:color w:val="1F497D"/>
                <w:sz w:val="20"/>
                <w:szCs w:val="20"/>
              </w:rPr>
            </w:pPr>
            <w:r w:rsidRPr="0082746D">
              <w:rPr>
                <w:rFonts w:ascii="Lato" w:hAnsi="Lato"/>
                <w:color w:val="1F497D"/>
                <w:sz w:val="20"/>
                <w:szCs w:val="20"/>
              </w:rPr>
              <w:t>Powierzchnia użytkowa</w:t>
            </w:r>
          </w:p>
        </w:tc>
        <w:tc>
          <w:tcPr>
            <w:tcW w:w="2840" w:type="pct"/>
            <w:gridSpan w:val="5"/>
            <w:tcBorders>
              <w:top w:val="single" w:sz="4" w:space="0" w:color="4F81BD"/>
              <w:left w:val="nil"/>
              <w:bottom w:val="single" w:sz="4" w:space="0" w:color="4F81BD"/>
              <w:right w:val="single" w:sz="4" w:space="0" w:color="4F81BD"/>
            </w:tcBorders>
            <w:shd w:val="clear" w:color="000000" w:fill="DCE6F1"/>
            <w:noWrap/>
            <w:vAlign w:val="center"/>
            <w:hideMark/>
          </w:tcPr>
          <w:p w:rsidR="00ED0A21" w:rsidRPr="0082746D" w:rsidRDefault="00DB451A" w:rsidP="0082746D">
            <w:pPr>
              <w:spacing w:line="240" w:lineRule="auto"/>
              <w:ind w:firstLine="0"/>
              <w:jc w:val="center"/>
              <w:rPr>
                <w:rFonts w:ascii="Lato" w:hAnsi="Lato"/>
                <w:color w:val="1F497D"/>
                <w:sz w:val="20"/>
                <w:szCs w:val="20"/>
              </w:rPr>
            </w:pPr>
            <w:r w:rsidRPr="0082746D">
              <w:rPr>
                <w:rFonts w:ascii="Lato" w:hAnsi="Lato"/>
                <w:color w:val="1F497D"/>
                <w:sz w:val="20"/>
                <w:szCs w:val="20"/>
              </w:rPr>
              <w:t xml:space="preserve">Zapotrzebowanie </w:t>
            </w:r>
            <w:r w:rsidR="00B71E13" w:rsidRPr="0082746D">
              <w:rPr>
                <w:rFonts w:ascii="Lato" w:hAnsi="Lato"/>
                <w:color w:val="1F497D"/>
                <w:sz w:val="20"/>
                <w:szCs w:val="20"/>
              </w:rPr>
              <w:t xml:space="preserve">Gminy </w:t>
            </w:r>
            <w:r w:rsidR="0082746D">
              <w:rPr>
                <w:rFonts w:ascii="Lato" w:hAnsi="Lato"/>
                <w:color w:val="1F497D"/>
                <w:sz w:val="20"/>
                <w:szCs w:val="20"/>
              </w:rPr>
              <w:t>Pabianice</w:t>
            </w:r>
            <w:r w:rsidR="00ED0A21" w:rsidRPr="0082746D">
              <w:rPr>
                <w:rFonts w:ascii="Lato" w:hAnsi="Lato"/>
                <w:color w:val="1F497D"/>
                <w:sz w:val="20"/>
                <w:szCs w:val="20"/>
              </w:rPr>
              <w:t xml:space="preserve"> na energię</w:t>
            </w:r>
          </w:p>
        </w:tc>
      </w:tr>
      <w:tr w:rsidR="00ED0A21" w:rsidRPr="0082746D" w:rsidTr="000D3AD0">
        <w:trPr>
          <w:trHeight w:val="765"/>
        </w:trPr>
        <w:tc>
          <w:tcPr>
            <w:tcW w:w="245" w:type="pct"/>
            <w:vMerge/>
            <w:tcBorders>
              <w:top w:val="single" w:sz="4" w:space="0" w:color="4F81BD"/>
              <w:left w:val="single" w:sz="4" w:space="0" w:color="4F81BD"/>
              <w:bottom w:val="single" w:sz="4" w:space="0" w:color="4F81BD"/>
              <w:right w:val="single" w:sz="4" w:space="0" w:color="4F81BD"/>
            </w:tcBorders>
            <w:vAlign w:val="center"/>
            <w:hideMark/>
          </w:tcPr>
          <w:p w:rsidR="00ED0A21" w:rsidRPr="0082746D" w:rsidRDefault="00ED0A21" w:rsidP="00ED0A21">
            <w:pPr>
              <w:spacing w:line="240" w:lineRule="auto"/>
              <w:ind w:firstLine="0"/>
              <w:rPr>
                <w:rFonts w:ascii="Lato" w:hAnsi="Lato"/>
                <w:color w:val="1F497D"/>
                <w:sz w:val="20"/>
                <w:szCs w:val="20"/>
              </w:rPr>
            </w:pPr>
          </w:p>
        </w:tc>
        <w:tc>
          <w:tcPr>
            <w:tcW w:w="1170" w:type="pct"/>
            <w:vMerge/>
            <w:tcBorders>
              <w:top w:val="single" w:sz="4" w:space="0" w:color="4F81BD"/>
              <w:left w:val="single" w:sz="4" w:space="0" w:color="4F81BD"/>
              <w:bottom w:val="single" w:sz="4" w:space="0" w:color="4F81BD"/>
              <w:right w:val="single" w:sz="4" w:space="0" w:color="4F81BD"/>
            </w:tcBorders>
            <w:vAlign w:val="center"/>
            <w:hideMark/>
          </w:tcPr>
          <w:p w:rsidR="00ED0A21" w:rsidRPr="0082746D" w:rsidRDefault="00ED0A21" w:rsidP="00ED0A21">
            <w:pPr>
              <w:spacing w:line="240" w:lineRule="auto"/>
              <w:ind w:firstLine="0"/>
              <w:rPr>
                <w:rFonts w:ascii="Lato" w:hAnsi="Lato"/>
                <w:color w:val="1F497D"/>
                <w:sz w:val="20"/>
                <w:szCs w:val="20"/>
              </w:rPr>
            </w:pPr>
          </w:p>
        </w:tc>
        <w:tc>
          <w:tcPr>
            <w:tcW w:w="745" w:type="pct"/>
            <w:vMerge/>
            <w:tcBorders>
              <w:top w:val="single" w:sz="4" w:space="0" w:color="4F81BD"/>
              <w:left w:val="single" w:sz="4" w:space="0" w:color="4F81BD"/>
              <w:bottom w:val="single" w:sz="4" w:space="0" w:color="4F81BD"/>
              <w:right w:val="single" w:sz="4" w:space="0" w:color="4F81BD"/>
            </w:tcBorders>
            <w:vAlign w:val="center"/>
            <w:hideMark/>
          </w:tcPr>
          <w:p w:rsidR="00ED0A21" w:rsidRPr="0082746D" w:rsidRDefault="00ED0A21" w:rsidP="00ED0A21">
            <w:pPr>
              <w:spacing w:line="240" w:lineRule="auto"/>
              <w:ind w:firstLine="0"/>
              <w:rPr>
                <w:rFonts w:ascii="Lato" w:hAnsi="Lato"/>
                <w:color w:val="1F497D"/>
                <w:sz w:val="20"/>
                <w:szCs w:val="20"/>
              </w:rPr>
            </w:pPr>
          </w:p>
        </w:tc>
        <w:tc>
          <w:tcPr>
            <w:tcW w:w="597" w:type="pct"/>
            <w:tcBorders>
              <w:top w:val="nil"/>
              <w:left w:val="nil"/>
              <w:bottom w:val="single" w:sz="4" w:space="0" w:color="4F81BD"/>
              <w:right w:val="single" w:sz="4" w:space="0" w:color="4F81BD"/>
            </w:tcBorders>
            <w:shd w:val="clear" w:color="000000" w:fill="DCE6F1"/>
            <w:vAlign w:val="center"/>
            <w:hideMark/>
          </w:tcPr>
          <w:p w:rsidR="00ED0A21" w:rsidRPr="0082746D" w:rsidRDefault="00ED0A21" w:rsidP="00ED0A21">
            <w:pPr>
              <w:spacing w:line="240" w:lineRule="auto"/>
              <w:ind w:firstLine="0"/>
              <w:jc w:val="center"/>
              <w:rPr>
                <w:rFonts w:ascii="Lato" w:hAnsi="Lato"/>
                <w:color w:val="1F497D"/>
                <w:sz w:val="20"/>
                <w:szCs w:val="20"/>
              </w:rPr>
            </w:pPr>
            <w:r w:rsidRPr="0082746D">
              <w:rPr>
                <w:rFonts w:ascii="Lato" w:hAnsi="Lato"/>
                <w:color w:val="1F497D"/>
                <w:sz w:val="20"/>
                <w:szCs w:val="20"/>
              </w:rPr>
              <w:t>Potrzeby c.o.</w:t>
            </w:r>
          </w:p>
        </w:tc>
        <w:tc>
          <w:tcPr>
            <w:tcW w:w="521" w:type="pct"/>
            <w:tcBorders>
              <w:top w:val="nil"/>
              <w:left w:val="nil"/>
              <w:bottom w:val="single" w:sz="4" w:space="0" w:color="4F81BD"/>
              <w:right w:val="single" w:sz="4" w:space="0" w:color="4F81BD"/>
            </w:tcBorders>
            <w:shd w:val="clear" w:color="000000" w:fill="DCE6F1"/>
            <w:vAlign w:val="center"/>
            <w:hideMark/>
          </w:tcPr>
          <w:p w:rsidR="00ED0A21" w:rsidRPr="0082746D" w:rsidRDefault="00ED0A21" w:rsidP="00ED0A21">
            <w:pPr>
              <w:spacing w:line="240" w:lineRule="auto"/>
              <w:ind w:firstLine="0"/>
              <w:jc w:val="center"/>
              <w:rPr>
                <w:rFonts w:ascii="Lato" w:hAnsi="Lato"/>
                <w:color w:val="1F497D"/>
                <w:sz w:val="20"/>
                <w:szCs w:val="20"/>
              </w:rPr>
            </w:pPr>
            <w:r w:rsidRPr="0082746D">
              <w:rPr>
                <w:rFonts w:ascii="Lato" w:hAnsi="Lato"/>
                <w:color w:val="1F497D"/>
                <w:sz w:val="20"/>
                <w:szCs w:val="20"/>
              </w:rPr>
              <w:t>Potrzeby c.w.u.</w:t>
            </w:r>
          </w:p>
        </w:tc>
        <w:tc>
          <w:tcPr>
            <w:tcW w:w="524" w:type="pct"/>
            <w:tcBorders>
              <w:top w:val="nil"/>
              <w:left w:val="nil"/>
              <w:bottom w:val="single" w:sz="4" w:space="0" w:color="4F81BD"/>
              <w:right w:val="single" w:sz="4" w:space="0" w:color="4F81BD"/>
            </w:tcBorders>
            <w:shd w:val="clear" w:color="000000" w:fill="DCE6F1"/>
            <w:vAlign w:val="center"/>
            <w:hideMark/>
          </w:tcPr>
          <w:p w:rsidR="00ED0A21" w:rsidRPr="0082746D" w:rsidRDefault="00ED0A21" w:rsidP="00ED0A21">
            <w:pPr>
              <w:spacing w:line="240" w:lineRule="auto"/>
              <w:ind w:firstLine="0"/>
              <w:jc w:val="center"/>
              <w:rPr>
                <w:rFonts w:ascii="Lato" w:hAnsi="Lato"/>
                <w:color w:val="1F497D"/>
                <w:sz w:val="20"/>
                <w:szCs w:val="20"/>
              </w:rPr>
            </w:pPr>
            <w:r w:rsidRPr="0082746D">
              <w:rPr>
                <w:rFonts w:ascii="Lato" w:hAnsi="Lato"/>
                <w:color w:val="1F497D"/>
                <w:sz w:val="20"/>
                <w:szCs w:val="20"/>
              </w:rPr>
              <w:t>Potrzeby bytowe</w:t>
            </w:r>
          </w:p>
        </w:tc>
        <w:tc>
          <w:tcPr>
            <w:tcW w:w="602" w:type="pct"/>
            <w:tcBorders>
              <w:top w:val="nil"/>
              <w:left w:val="nil"/>
              <w:bottom w:val="single" w:sz="4" w:space="0" w:color="4F81BD"/>
              <w:right w:val="single" w:sz="4" w:space="0" w:color="4F81BD"/>
            </w:tcBorders>
            <w:shd w:val="clear" w:color="000000" w:fill="DCE6F1"/>
            <w:vAlign w:val="center"/>
            <w:hideMark/>
          </w:tcPr>
          <w:p w:rsidR="00ED0A21" w:rsidRPr="0082746D" w:rsidRDefault="00ED0A21" w:rsidP="00ED0A21">
            <w:pPr>
              <w:spacing w:line="240" w:lineRule="auto"/>
              <w:ind w:firstLine="0"/>
              <w:jc w:val="center"/>
              <w:rPr>
                <w:rFonts w:ascii="Lato" w:hAnsi="Lato"/>
                <w:color w:val="1F497D"/>
                <w:sz w:val="20"/>
                <w:szCs w:val="20"/>
              </w:rPr>
            </w:pPr>
            <w:r w:rsidRPr="0082746D">
              <w:rPr>
                <w:rFonts w:ascii="Lato" w:hAnsi="Lato"/>
                <w:color w:val="1F497D"/>
                <w:sz w:val="20"/>
                <w:szCs w:val="20"/>
              </w:rPr>
              <w:t>Potrzeby elektr</w:t>
            </w:r>
            <w:r w:rsidR="004363F8" w:rsidRPr="0082746D">
              <w:rPr>
                <w:rFonts w:ascii="Lato" w:hAnsi="Lato"/>
                <w:color w:val="1F497D"/>
                <w:sz w:val="20"/>
                <w:szCs w:val="20"/>
              </w:rPr>
              <w:t>yczne</w:t>
            </w:r>
          </w:p>
        </w:tc>
        <w:tc>
          <w:tcPr>
            <w:tcW w:w="596" w:type="pct"/>
            <w:tcBorders>
              <w:top w:val="nil"/>
              <w:left w:val="nil"/>
              <w:bottom w:val="single" w:sz="4" w:space="0" w:color="4F81BD"/>
              <w:right w:val="single" w:sz="4" w:space="0" w:color="4F81BD"/>
            </w:tcBorders>
            <w:shd w:val="clear" w:color="000000" w:fill="DCE6F1"/>
            <w:vAlign w:val="center"/>
            <w:hideMark/>
          </w:tcPr>
          <w:p w:rsidR="00ED0A21" w:rsidRPr="0082746D" w:rsidRDefault="00ED0A21" w:rsidP="00ED0A21">
            <w:pPr>
              <w:spacing w:line="240" w:lineRule="auto"/>
              <w:ind w:firstLine="0"/>
              <w:jc w:val="center"/>
              <w:rPr>
                <w:rFonts w:ascii="Lato" w:hAnsi="Lato"/>
                <w:color w:val="1F497D"/>
                <w:sz w:val="20"/>
                <w:szCs w:val="20"/>
              </w:rPr>
            </w:pPr>
            <w:r w:rsidRPr="0082746D">
              <w:rPr>
                <w:rFonts w:ascii="Lato" w:hAnsi="Lato"/>
                <w:color w:val="1F497D"/>
                <w:sz w:val="20"/>
                <w:szCs w:val="20"/>
              </w:rPr>
              <w:t>Suma potrzeb cieplnych</w:t>
            </w:r>
          </w:p>
        </w:tc>
      </w:tr>
      <w:tr w:rsidR="00ED0A21" w:rsidRPr="0082746D" w:rsidTr="000D3AD0">
        <w:trPr>
          <w:trHeight w:val="285"/>
        </w:trPr>
        <w:tc>
          <w:tcPr>
            <w:tcW w:w="245" w:type="pct"/>
            <w:vMerge/>
            <w:tcBorders>
              <w:top w:val="single" w:sz="4" w:space="0" w:color="4F81BD"/>
              <w:left w:val="single" w:sz="4" w:space="0" w:color="4F81BD"/>
              <w:bottom w:val="single" w:sz="4" w:space="0" w:color="4F81BD"/>
              <w:right w:val="single" w:sz="4" w:space="0" w:color="4F81BD"/>
            </w:tcBorders>
            <w:vAlign w:val="center"/>
            <w:hideMark/>
          </w:tcPr>
          <w:p w:rsidR="00ED0A21" w:rsidRPr="0082746D" w:rsidRDefault="00ED0A21" w:rsidP="00ED0A21">
            <w:pPr>
              <w:spacing w:line="240" w:lineRule="auto"/>
              <w:ind w:firstLine="0"/>
              <w:rPr>
                <w:rFonts w:ascii="Lato" w:hAnsi="Lato"/>
                <w:color w:val="1F497D"/>
                <w:sz w:val="20"/>
                <w:szCs w:val="20"/>
              </w:rPr>
            </w:pPr>
          </w:p>
        </w:tc>
        <w:tc>
          <w:tcPr>
            <w:tcW w:w="1170" w:type="pct"/>
            <w:vMerge/>
            <w:tcBorders>
              <w:top w:val="single" w:sz="4" w:space="0" w:color="4F81BD"/>
              <w:left w:val="single" w:sz="4" w:space="0" w:color="4F81BD"/>
              <w:bottom w:val="single" w:sz="4" w:space="0" w:color="4F81BD"/>
              <w:right w:val="single" w:sz="4" w:space="0" w:color="4F81BD"/>
            </w:tcBorders>
            <w:vAlign w:val="center"/>
            <w:hideMark/>
          </w:tcPr>
          <w:p w:rsidR="00ED0A21" w:rsidRPr="0082746D" w:rsidRDefault="00ED0A21" w:rsidP="00ED0A21">
            <w:pPr>
              <w:spacing w:line="240" w:lineRule="auto"/>
              <w:ind w:firstLine="0"/>
              <w:rPr>
                <w:rFonts w:ascii="Lato" w:hAnsi="Lato"/>
                <w:color w:val="1F497D"/>
                <w:sz w:val="20"/>
                <w:szCs w:val="20"/>
              </w:rPr>
            </w:pPr>
          </w:p>
        </w:tc>
        <w:tc>
          <w:tcPr>
            <w:tcW w:w="745" w:type="pct"/>
            <w:tcBorders>
              <w:top w:val="nil"/>
              <w:left w:val="nil"/>
              <w:bottom w:val="single" w:sz="4" w:space="0" w:color="4F81BD"/>
              <w:right w:val="single" w:sz="4" w:space="0" w:color="4F81BD"/>
            </w:tcBorders>
            <w:shd w:val="clear" w:color="000000" w:fill="DCE6F1"/>
            <w:noWrap/>
            <w:vAlign w:val="center"/>
            <w:hideMark/>
          </w:tcPr>
          <w:p w:rsidR="00ED0A21" w:rsidRPr="0082746D" w:rsidRDefault="00ED0A21" w:rsidP="00ED0A21">
            <w:pPr>
              <w:spacing w:line="240" w:lineRule="auto"/>
              <w:ind w:firstLine="0"/>
              <w:jc w:val="center"/>
              <w:rPr>
                <w:rFonts w:ascii="Lato" w:hAnsi="Lato"/>
                <w:i/>
                <w:iCs/>
                <w:color w:val="1F497D"/>
                <w:sz w:val="20"/>
                <w:szCs w:val="20"/>
              </w:rPr>
            </w:pPr>
            <w:r w:rsidRPr="0082746D">
              <w:rPr>
                <w:rFonts w:ascii="Lato" w:hAnsi="Lato"/>
                <w:i/>
                <w:iCs/>
                <w:color w:val="1F497D"/>
                <w:sz w:val="20"/>
                <w:szCs w:val="20"/>
              </w:rPr>
              <w:t>m</w:t>
            </w:r>
            <w:r w:rsidRPr="0082746D">
              <w:rPr>
                <w:rFonts w:ascii="Lato" w:hAnsi="Lato"/>
                <w:i/>
                <w:iCs/>
                <w:color w:val="1F497D"/>
                <w:sz w:val="20"/>
                <w:szCs w:val="20"/>
                <w:vertAlign w:val="superscript"/>
              </w:rPr>
              <w:t>2</w:t>
            </w:r>
          </w:p>
        </w:tc>
        <w:tc>
          <w:tcPr>
            <w:tcW w:w="597" w:type="pct"/>
            <w:tcBorders>
              <w:top w:val="nil"/>
              <w:left w:val="nil"/>
              <w:bottom w:val="single" w:sz="4" w:space="0" w:color="4F81BD"/>
              <w:right w:val="single" w:sz="4" w:space="0" w:color="4F81BD"/>
            </w:tcBorders>
            <w:shd w:val="clear" w:color="000000" w:fill="DCE6F1"/>
            <w:vAlign w:val="center"/>
            <w:hideMark/>
          </w:tcPr>
          <w:p w:rsidR="00ED0A21" w:rsidRPr="0082746D" w:rsidRDefault="00ED0A21" w:rsidP="00ED0A21">
            <w:pPr>
              <w:spacing w:line="240" w:lineRule="auto"/>
              <w:ind w:firstLine="0"/>
              <w:jc w:val="center"/>
              <w:rPr>
                <w:rFonts w:ascii="Lato" w:hAnsi="Lato"/>
                <w:i/>
                <w:iCs/>
                <w:color w:val="1F497D"/>
                <w:sz w:val="20"/>
                <w:szCs w:val="20"/>
              </w:rPr>
            </w:pPr>
            <w:r w:rsidRPr="0082746D">
              <w:rPr>
                <w:rFonts w:ascii="Lato" w:hAnsi="Lato"/>
                <w:i/>
                <w:iCs/>
                <w:color w:val="1F497D"/>
                <w:sz w:val="20"/>
                <w:szCs w:val="20"/>
              </w:rPr>
              <w:t>GJ</w:t>
            </w:r>
          </w:p>
        </w:tc>
        <w:tc>
          <w:tcPr>
            <w:tcW w:w="521" w:type="pct"/>
            <w:tcBorders>
              <w:top w:val="nil"/>
              <w:left w:val="nil"/>
              <w:bottom w:val="single" w:sz="4" w:space="0" w:color="4F81BD"/>
              <w:right w:val="single" w:sz="4" w:space="0" w:color="4F81BD"/>
            </w:tcBorders>
            <w:shd w:val="clear" w:color="000000" w:fill="DCE6F1"/>
            <w:vAlign w:val="center"/>
            <w:hideMark/>
          </w:tcPr>
          <w:p w:rsidR="00ED0A21" w:rsidRPr="0082746D" w:rsidRDefault="00ED0A21" w:rsidP="00ED0A21">
            <w:pPr>
              <w:spacing w:line="240" w:lineRule="auto"/>
              <w:ind w:firstLine="0"/>
              <w:jc w:val="center"/>
              <w:rPr>
                <w:rFonts w:ascii="Lato" w:hAnsi="Lato"/>
                <w:i/>
                <w:iCs/>
                <w:color w:val="1F497D"/>
                <w:sz w:val="20"/>
                <w:szCs w:val="20"/>
              </w:rPr>
            </w:pPr>
            <w:r w:rsidRPr="0082746D">
              <w:rPr>
                <w:rFonts w:ascii="Lato" w:hAnsi="Lato"/>
                <w:i/>
                <w:iCs/>
                <w:color w:val="1F497D"/>
                <w:sz w:val="20"/>
                <w:szCs w:val="20"/>
              </w:rPr>
              <w:t>GJ</w:t>
            </w:r>
          </w:p>
        </w:tc>
        <w:tc>
          <w:tcPr>
            <w:tcW w:w="524" w:type="pct"/>
            <w:tcBorders>
              <w:top w:val="nil"/>
              <w:left w:val="nil"/>
              <w:bottom w:val="single" w:sz="4" w:space="0" w:color="4F81BD"/>
              <w:right w:val="single" w:sz="4" w:space="0" w:color="4F81BD"/>
            </w:tcBorders>
            <w:shd w:val="clear" w:color="000000" w:fill="DCE6F1"/>
            <w:vAlign w:val="center"/>
            <w:hideMark/>
          </w:tcPr>
          <w:p w:rsidR="00ED0A21" w:rsidRPr="0082746D" w:rsidRDefault="00ED0A21" w:rsidP="00ED0A21">
            <w:pPr>
              <w:spacing w:line="240" w:lineRule="auto"/>
              <w:ind w:firstLine="0"/>
              <w:jc w:val="center"/>
              <w:rPr>
                <w:rFonts w:ascii="Lato" w:hAnsi="Lato"/>
                <w:i/>
                <w:iCs/>
                <w:color w:val="1F497D"/>
                <w:sz w:val="20"/>
                <w:szCs w:val="20"/>
              </w:rPr>
            </w:pPr>
            <w:r w:rsidRPr="0082746D">
              <w:rPr>
                <w:rFonts w:ascii="Lato" w:hAnsi="Lato"/>
                <w:i/>
                <w:iCs/>
                <w:color w:val="1F497D"/>
                <w:sz w:val="20"/>
                <w:szCs w:val="20"/>
              </w:rPr>
              <w:t>GJ</w:t>
            </w:r>
          </w:p>
        </w:tc>
        <w:tc>
          <w:tcPr>
            <w:tcW w:w="602" w:type="pct"/>
            <w:tcBorders>
              <w:top w:val="nil"/>
              <w:left w:val="nil"/>
              <w:bottom w:val="single" w:sz="4" w:space="0" w:color="4F81BD"/>
              <w:right w:val="single" w:sz="4" w:space="0" w:color="4F81BD"/>
            </w:tcBorders>
            <w:shd w:val="clear" w:color="000000" w:fill="DCE6F1"/>
            <w:vAlign w:val="center"/>
            <w:hideMark/>
          </w:tcPr>
          <w:p w:rsidR="00ED0A21" w:rsidRPr="0082746D" w:rsidRDefault="00ED0A21" w:rsidP="00ED0A21">
            <w:pPr>
              <w:spacing w:line="240" w:lineRule="auto"/>
              <w:ind w:firstLine="0"/>
              <w:jc w:val="center"/>
              <w:rPr>
                <w:rFonts w:ascii="Lato" w:hAnsi="Lato"/>
                <w:i/>
                <w:iCs/>
                <w:color w:val="1F497D"/>
                <w:sz w:val="20"/>
                <w:szCs w:val="20"/>
              </w:rPr>
            </w:pPr>
            <w:r w:rsidRPr="0082746D">
              <w:rPr>
                <w:rFonts w:ascii="Lato" w:hAnsi="Lato"/>
                <w:i/>
                <w:iCs/>
                <w:color w:val="1F497D"/>
                <w:sz w:val="20"/>
                <w:szCs w:val="20"/>
              </w:rPr>
              <w:t>MWh</w:t>
            </w:r>
          </w:p>
        </w:tc>
        <w:tc>
          <w:tcPr>
            <w:tcW w:w="596" w:type="pct"/>
            <w:tcBorders>
              <w:top w:val="nil"/>
              <w:left w:val="nil"/>
              <w:bottom w:val="single" w:sz="4" w:space="0" w:color="4F81BD"/>
              <w:right w:val="single" w:sz="4" w:space="0" w:color="4F81BD"/>
            </w:tcBorders>
            <w:shd w:val="clear" w:color="000000" w:fill="DCE6F1"/>
            <w:vAlign w:val="center"/>
            <w:hideMark/>
          </w:tcPr>
          <w:p w:rsidR="00ED0A21" w:rsidRPr="0082746D" w:rsidRDefault="00ED0A21" w:rsidP="00ED0A21">
            <w:pPr>
              <w:spacing w:line="240" w:lineRule="auto"/>
              <w:ind w:firstLine="0"/>
              <w:jc w:val="center"/>
              <w:rPr>
                <w:rFonts w:ascii="Lato" w:hAnsi="Lato"/>
                <w:i/>
                <w:iCs/>
                <w:color w:val="1F497D"/>
                <w:sz w:val="20"/>
                <w:szCs w:val="20"/>
              </w:rPr>
            </w:pPr>
            <w:r w:rsidRPr="0082746D">
              <w:rPr>
                <w:rFonts w:ascii="Lato" w:hAnsi="Lato"/>
                <w:i/>
                <w:iCs/>
                <w:color w:val="1F497D"/>
                <w:sz w:val="20"/>
                <w:szCs w:val="20"/>
              </w:rPr>
              <w:t>GJ</w:t>
            </w:r>
          </w:p>
        </w:tc>
      </w:tr>
      <w:tr w:rsidR="000D3AD0" w:rsidRPr="0082746D" w:rsidTr="000D3AD0">
        <w:trPr>
          <w:trHeight w:val="420"/>
        </w:trPr>
        <w:tc>
          <w:tcPr>
            <w:tcW w:w="245" w:type="pct"/>
            <w:tcBorders>
              <w:top w:val="nil"/>
              <w:left w:val="single" w:sz="4" w:space="0" w:color="4F81BD"/>
              <w:bottom w:val="single" w:sz="4" w:space="0" w:color="4F81BD"/>
              <w:right w:val="single" w:sz="4" w:space="0" w:color="4F81BD"/>
            </w:tcBorders>
            <w:shd w:val="clear" w:color="auto" w:fill="auto"/>
            <w:noWrap/>
            <w:vAlign w:val="center"/>
            <w:hideMark/>
          </w:tcPr>
          <w:p w:rsidR="000D3AD0" w:rsidRPr="0082746D" w:rsidRDefault="000D3AD0" w:rsidP="00ED0A21">
            <w:pPr>
              <w:spacing w:line="240" w:lineRule="auto"/>
              <w:ind w:firstLine="0"/>
              <w:jc w:val="center"/>
              <w:rPr>
                <w:rFonts w:ascii="Lato" w:hAnsi="Lato"/>
                <w:color w:val="1F497D"/>
                <w:sz w:val="20"/>
                <w:szCs w:val="20"/>
              </w:rPr>
            </w:pPr>
            <w:r w:rsidRPr="0082746D">
              <w:rPr>
                <w:rFonts w:ascii="Lato" w:hAnsi="Lato"/>
                <w:color w:val="1F497D"/>
                <w:sz w:val="20"/>
                <w:szCs w:val="20"/>
              </w:rPr>
              <w:t>1</w:t>
            </w:r>
          </w:p>
        </w:tc>
        <w:tc>
          <w:tcPr>
            <w:tcW w:w="1170" w:type="pct"/>
            <w:tcBorders>
              <w:top w:val="nil"/>
              <w:left w:val="nil"/>
              <w:bottom w:val="single" w:sz="4" w:space="0" w:color="4F81BD"/>
              <w:right w:val="single" w:sz="4" w:space="0" w:color="4F81BD"/>
            </w:tcBorders>
            <w:shd w:val="clear" w:color="auto" w:fill="auto"/>
            <w:vAlign w:val="center"/>
            <w:hideMark/>
          </w:tcPr>
          <w:p w:rsidR="000D3AD0" w:rsidRPr="0082746D" w:rsidRDefault="000D3AD0" w:rsidP="00ED0A21">
            <w:pPr>
              <w:spacing w:line="240" w:lineRule="auto"/>
              <w:ind w:firstLine="0"/>
              <w:rPr>
                <w:rFonts w:ascii="Lato" w:hAnsi="Lato"/>
                <w:color w:val="1F497D"/>
                <w:sz w:val="20"/>
                <w:szCs w:val="20"/>
              </w:rPr>
            </w:pPr>
            <w:r w:rsidRPr="0082746D">
              <w:rPr>
                <w:rFonts w:ascii="Lato" w:hAnsi="Lato"/>
                <w:color w:val="1F497D"/>
                <w:sz w:val="20"/>
                <w:szCs w:val="20"/>
              </w:rPr>
              <w:t>Mieszkalnictwo</w:t>
            </w:r>
          </w:p>
        </w:tc>
        <w:tc>
          <w:tcPr>
            <w:tcW w:w="745"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244 681</w:t>
            </w:r>
          </w:p>
        </w:tc>
        <w:tc>
          <w:tcPr>
            <w:tcW w:w="597"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99 209</w:t>
            </w:r>
          </w:p>
        </w:tc>
        <w:tc>
          <w:tcPr>
            <w:tcW w:w="521"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24 802</w:t>
            </w:r>
          </w:p>
        </w:tc>
        <w:tc>
          <w:tcPr>
            <w:tcW w:w="52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7 340</w:t>
            </w:r>
          </w:p>
        </w:tc>
        <w:tc>
          <w:tcPr>
            <w:tcW w:w="602"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6 434</w:t>
            </w:r>
          </w:p>
        </w:tc>
        <w:tc>
          <w:tcPr>
            <w:tcW w:w="596"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131 352</w:t>
            </w:r>
          </w:p>
        </w:tc>
      </w:tr>
      <w:tr w:rsidR="000D3AD0" w:rsidRPr="0082746D" w:rsidTr="000D3AD0">
        <w:trPr>
          <w:trHeight w:val="420"/>
        </w:trPr>
        <w:tc>
          <w:tcPr>
            <w:tcW w:w="245" w:type="pct"/>
            <w:tcBorders>
              <w:top w:val="nil"/>
              <w:left w:val="single" w:sz="4" w:space="0" w:color="4F81BD"/>
              <w:bottom w:val="single" w:sz="4" w:space="0" w:color="4F81BD"/>
              <w:right w:val="single" w:sz="4" w:space="0" w:color="4F81BD"/>
            </w:tcBorders>
            <w:shd w:val="clear" w:color="auto" w:fill="auto"/>
            <w:noWrap/>
            <w:vAlign w:val="center"/>
            <w:hideMark/>
          </w:tcPr>
          <w:p w:rsidR="000D3AD0" w:rsidRPr="0082746D" w:rsidRDefault="000D3AD0" w:rsidP="00ED0A21">
            <w:pPr>
              <w:spacing w:line="240" w:lineRule="auto"/>
              <w:ind w:firstLine="0"/>
              <w:jc w:val="center"/>
              <w:rPr>
                <w:rFonts w:ascii="Lato" w:hAnsi="Lato"/>
                <w:color w:val="1F497D"/>
                <w:sz w:val="20"/>
                <w:szCs w:val="20"/>
              </w:rPr>
            </w:pPr>
            <w:r w:rsidRPr="0082746D">
              <w:rPr>
                <w:rFonts w:ascii="Lato" w:hAnsi="Lato"/>
                <w:color w:val="1F497D"/>
                <w:sz w:val="20"/>
                <w:szCs w:val="20"/>
              </w:rPr>
              <w:t>2</w:t>
            </w:r>
          </w:p>
        </w:tc>
        <w:tc>
          <w:tcPr>
            <w:tcW w:w="1170" w:type="pct"/>
            <w:tcBorders>
              <w:top w:val="nil"/>
              <w:left w:val="nil"/>
              <w:bottom w:val="single" w:sz="4" w:space="0" w:color="4F81BD"/>
              <w:right w:val="single" w:sz="4" w:space="0" w:color="4F81BD"/>
            </w:tcBorders>
            <w:shd w:val="clear" w:color="auto" w:fill="auto"/>
            <w:vAlign w:val="center"/>
            <w:hideMark/>
          </w:tcPr>
          <w:p w:rsidR="000D3AD0" w:rsidRPr="0082746D" w:rsidRDefault="000D3AD0" w:rsidP="00ED0A21">
            <w:pPr>
              <w:spacing w:line="240" w:lineRule="auto"/>
              <w:ind w:firstLine="0"/>
              <w:rPr>
                <w:rFonts w:ascii="Lato" w:hAnsi="Lato"/>
                <w:color w:val="1F497D"/>
                <w:sz w:val="20"/>
                <w:szCs w:val="20"/>
              </w:rPr>
            </w:pPr>
            <w:r w:rsidRPr="0082746D">
              <w:rPr>
                <w:rFonts w:ascii="Lato" w:hAnsi="Lato"/>
                <w:color w:val="1F497D"/>
                <w:sz w:val="20"/>
                <w:szCs w:val="20"/>
              </w:rPr>
              <w:t>Użyteczność publiczna</w:t>
            </w:r>
          </w:p>
        </w:tc>
        <w:tc>
          <w:tcPr>
            <w:tcW w:w="745"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10 556</w:t>
            </w:r>
          </w:p>
        </w:tc>
        <w:tc>
          <w:tcPr>
            <w:tcW w:w="597"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2 390</w:t>
            </w:r>
          </w:p>
        </w:tc>
        <w:tc>
          <w:tcPr>
            <w:tcW w:w="521"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266</w:t>
            </w:r>
          </w:p>
        </w:tc>
        <w:tc>
          <w:tcPr>
            <w:tcW w:w="52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119</w:t>
            </w:r>
          </w:p>
        </w:tc>
        <w:tc>
          <w:tcPr>
            <w:tcW w:w="602"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730</w:t>
            </w:r>
          </w:p>
        </w:tc>
        <w:tc>
          <w:tcPr>
            <w:tcW w:w="596"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2 774</w:t>
            </w:r>
          </w:p>
        </w:tc>
      </w:tr>
      <w:tr w:rsidR="000D3AD0" w:rsidRPr="0082746D" w:rsidTr="000D3AD0">
        <w:trPr>
          <w:trHeight w:val="420"/>
        </w:trPr>
        <w:tc>
          <w:tcPr>
            <w:tcW w:w="245" w:type="pct"/>
            <w:tcBorders>
              <w:top w:val="nil"/>
              <w:left w:val="single" w:sz="4" w:space="0" w:color="4F81BD"/>
              <w:bottom w:val="single" w:sz="4" w:space="0" w:color="4F81BD"/>
              <w:right w:val="single" w:sz="4" w:space="0" w:color="4F81BD"/>
            </w:tcBorders>
            <w:shd w:val="clear" w:color="auto" w:fill="auto"/>
            <w:noWrap/>
            <w:vAlign w:val="center"/>
            <w:hideMark/>
          </w:tcPr>
          <w:p w:rsidR="000D3AD0" w:rsidRPr="0082746D" w:rsidRDefault="000D3AD0" w:rsidP="00ED0A21">
            <w:pPr>
              <w:spacing w:line="240" w:lineRule="auto"/>
              <w:ind w:firstLine="0"/>
              <w:jc w:val="center"/>
              <w:rPr>
                <w:rFonts w:ascii="Lato" w:hAnsi="Lato"/>
                <w:color w:val="1F497D"/>
                <w:sz w:val="20"/>
                <w:szCs w:val="20"/>
              </w:rPr>
            </w:pPr>
            <w:r w:rsidRPr="0082746D">
              <w:rPr>
                <w:rFonts w:ascii="Lato" w:hAnsi="Lato"/>
                <w:color w:val="1F497D"/>
                <w:sz w:val="20"/>
                <w:szCs w:val="20"/>
              </w:rPr>
              <w:t>3</w:t>
            </w:r>
          </w:p>
        </w:tc>
        <w:tc>
          <w:tcPr>
            <w:tcW w:w="1170" w:type="pct"/>
            <w:tcBorders>
              <w:top w:val="nil"/>
              <w:left w:val="nil"/>
              <w:bottom w:val="single" w:sz="4" w:space="0" w:color="4F81BD"/>
              <w:right w:val="single" w:sz="4" w:space="0" w:color="4F81BD"/>
            </w:tcBorders>
            <w:shd w:val="clear" w:color="auto" w:fill="auto"/>
            <w:vAlign w:val="center"/>
            <w:hideMark/>
          </w:tcPr>
          <w:p w:rsidR="000D3AD0" w:rsidRPr="0082746D" w:rsidRDefault="000D3AD0" w:rsidP="00ED0A21">
            <w:pPr>
              <w:spacing w:line="240" w:lineRule="auto"/>
              <w:ind w:firstLine="0"/>
              <w:rPr>
                <w:rFonts w:ascii="Lato" w:hAnsi="Lato"/>
                <w:color w:val="1F497D"/>
                <w:sz w:val="20"/>
                <w:szCs w:val="20"/>
              </w:rPr>
            </w:pPr>
            <w:r w:rsidRPr="0082746D">
              <w:rPr>
                <w:rFonts w:ascii="Lato" w:hAnsi="Lato"/>
                <w:color w:val="1F497D"/>
                <w:sz w:val="20"/>
                <w:szCs w:val="20"/>
              </w:rPr>
              <w:t xml:space="preserve">Handel, usługi, przedsiębiorstwa </w:t>
            </w:r>
          </w:p>
        </w:tc>
        <w:tc>
          <w:tcPr>
            <w:tcW w:w="745"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57 343</w:t>
            </w:r>
          </w:p>
        </w:tc>
        <w:tc>
          <w:tcPr>
            <w:tcW w:w="597"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14 537</w:t>
            </w:r>
          </w:p>
        </w:tc>
        <w:tc>
          <w:tcPr>
            <w:tcW w:w="521"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3 634</w:t>
            </w:r>
          </w:p>
        </w:tc>
        <w:tc>
          <w:tcPr>
            <w:tcW w:w="52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1 147</w:t>
            </w:r>
          </w:p>
        </w:tc>
        <w:tc>
          <w:tcPr>
            <w:tcW w:w="602"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3 650</w:t>
            </w:r>
          </w:p>
        </w:tc>
        <w:tc>
          <w:tcPr>
            <w:tcW w:w="596"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color w:val="1F497D"/>
                <w:sz w:val="20"/>
                <w:szCs w:val="20"/>
              </w:rPr>
            </w:pPr>
            <w:r w:rsidRPr="000D3AD0">
              <w:rPr>
                <w:rFonts w:ascii="Lato" w:hAnsi="Lato"/>
                <w:color w:val="1F497D"/>
                <w:sz w:val="20"/>
                <w:szCs w:val="20"/>
              </w:rPr>
              <w:t>19 318</w:t>
            </w:r>
          </w:p>
        </w:tc>
      </w:tr>
      <w:tr w:rsidR="000A40CE" w:rsidRPr="0082746D" w:rsidTr="000D3AD0">
        <w:trPr>
          <w:trHeight w:val="420"/>
        </w:trPr>
        <w:tc>
          <w:tcPr>
            <w:tcW w:w="245" w:type="pct"/>
            <w:tcBorders>
              <w:top w:val="nil"/>
              <w:left w:val="single" w:sz="4" w:space="0" w:color="4F81BD"/>
              <w:bottom w:val="single" w:sz="4" w:space="0" w:color="4F81BD"/>
              <w:right w:val="single" w:sz="4" w:space="0" w:color="4F81BD"/>
            </w:tcBorders>
            <w:shd w:val="clear" w:color="auto" w:fill="auto"/>
            <w:noWrap/>
            <w:vAlign w:val="center"/>
            <w:hideMark/>
          </w:tcPr>
          <w:p w:rsidR="000A40CE" w:rsidRPr="0082746D" w:rsidRDefault="00E3709D" w:rsidP="00ED0A21">
            <w:pPr>
              <w:spacing w:line="240" w:lineRule="auto"/>
              <w:ind w:firstLine="0"/>
              <w:jc w:val="center"/>
              <w:rPr>
                <w:rFonts w:ascii="Lato" w:hAnsi="Lato"/>
                <w:color w:val="1F497D"/>
                <w:sz w:val="20"/>
                <w:szCs w:val="20"/>
              </w:rPr>
            </w:pPr>
            <w:r w:rsidRPr="0082746D">
              <w:rPr>
                <w:rFonts w:ascii="Lato" w:hAnsi="Lato"/>
                <w:color w:val="1F497D"/>
                <w:sz w:val="20"/>
                <w:szCs w:val="20"/>
              </w:rPr>
              <w:t>4</w:t>
            </w:r>
          </w:p>
        </w:tc>
        <w:tc>
          <w:tcPr>
            <w:tcW w:w="1170" w:type="pct"/>
            <w:tcBorders>
              <w:top w:val="nil"/>
              <w:left w:val="nil"/>
              <w:bottom w:val="single" w:sz="4" w:space="0" w:color="4F81BD"/>
              <w:right w:val="single" w:sz="4" w:space="0" w:color="4F81BD"/>
            </w:tcBorders>
            <w:shd w:val="clear" w:color="auto" w:fill="auto"/>
            <w:vAlign w:val="center"/>
            <w:hideMark/>
          </w:tcPr>
          <w:p w:rsidR="000A40CE" w:rsidRPr="0082746D" w:rsidRDefault="000A40CE" w:rsidP="00ED0A21">
            <w:pPr>
              <w:spacing w:line="240" w:lineRule="auto"/>
              <w:ind w:firstLine="0"/>
              <w:rPr>
                <w:rFonts w:ascii="Lato" w:hAnsi="Lato"/>
                <w:color w:val="1F497D"/>
                <w:sz w:val="20"/>
                <w:szCs w:val="20"/>
              </w:rPr>
            </w:pPr>
            <w:r w:rsidRPr="0082746D">
              <w:rPr>
                <w:rFonts w:ascii="Lato" w:hAnsi="Lato"/>
                <w:color w:val="1F497D"/>
                <w:sz w:val="20"/>
                <w:szCs w:val="20"/>
              </w:rPr>
              <w:t>Oświetlenie ulic</w:t>
            </w:r>
          </w:p>
        </w:tc>
        <w:tc>
          <w:tcPr>
            <w:tcW w:w="745" w:type="pct"/>
            <w:tcBorders>
              <w:top w:val="nil"/>
              <w:left w:val="nil"/>
              <w:bottom w:val="single" w:sz="4" w:space="0" w:color="4F81BD"/>
              <w:right w:val="single" w:sz="4" w:space="0" w:color="4F81BD"/>
            </w:tcBorders>
            <w:shd w:val="clear" w:color="000000" w:fill="C0C0C0"/>
            <w:noWrap/>
            <w:vAlign w:val="center"/>
          </w:tcPr>
          <w:p w:rsidR="000A40CE" w:rsidRPr="0082746D" w:rsidRDefault="000A40CE" w:rsidP="001E771F">
            <w:pPr>
              <w:spacing w:line="240" w:lineRule="auto"/>
              <w:ind w:firstLine="0"/>
              <w:jc w:val="center"/>
              <w:rPr>
                <w:rFonts w:ascii="Lato" w:hAnsi="Lato"/>
                <w:color w:val="1F497D"/>
                <w:sz w:val="20"/>
                <w:szCs w:val="20"/>
              </w:rPr>
            </w:pPr>
          </w:p>
        </w:tc>
        <w:tc>
          <w:tcPr>
            <w:tcW w:w="1642" w:type="pct"/>
            <w:gridSpan w:val="3"/>
            <w:tcBorders>
              <w:top w:val="single" w:sz="4" w:space="0" w:color="4F81BD"/>
              <w:left w:val="nil"/>
              <w:bottom w:val="single" w:sz="4" w:space="0" w:color="4F81BD"/>
              <w:right w:val="single" w:sz="4" w:space="0" w:color="4F81BD"/>
            </w:tcBorders>
            <w:shd w:val="clear" w:color="000000" w:fill="C0C0C0"/>
            <w:noWrap/>
            <w:vAlign w:val="center"/>
          </w:tcPr>
          <w:p w:rsidR="000A40CE" w:rsidRPr="0082746D" w:rsidRDefault="000A40CE" w:rsidP="001E771F">
            <w:pPr>
              <w:spacing w:line="240" w:lineRule="auto"/>
              <w:ind w:firstLine="0"/>
              <w:jc w:val="center"/>
              <w:rPr>
                <w:rFonts w:ascii="Lato" w:hAnsi="Lato"/>
                <w:color w:val="1F497D"/>
                <w:sz w:val="20"/>
                <w:szCs w:val="20"/>
              </w:rPr>
            </w:pPr>
          </w:p>
        </w:tc>
        <w:tc>
          <w:tcPr>
            <w:tcW w:w="602" w:type="pct"/>
            <w:tcBorders>
              <w:top w:val="nil"/>
              <w:left w:val="nil"/>
              <w:bottom w:val="single" w:sz="4" w:space="0" w:color="4F81BD"/>
              <w:right w:val="single" w:sz="4" w:space="0" w:color="4F81BD"/>
            </w:tcBorders>
            <w:shd w:val="clear" w:color="auto" w:fill="auto"/>
            <w:noWrap/>
            <w:vAlign w:val="center"/>
          </w:tcPr>
          <w:p w:rsidR="000A40CE" w:rsidRPr="0082746D" w:rsidRDefault="000D3AD0" w:rsidP="001E771F">
            <w:pPr>
              <w:spacing w:line="240" w:lineRule="auto"/>
              <w:ind w:firstLine="0"/>
              <w:jc w:val="center"/>
              <w:rPr>
                <w:rFonts w:ascii="Lato" w:hAnsi="Lato"/>
                <w:color w:val="1F497D"/>
                <w:sz w:val="20"/>
                <w:szCs w:val="20"/>
              </w:rPr>
            </w:pPr>
            <w:r>
              <w:rPr>
                <w:rFonts w:ascii="Lato" w:hAnsi="Lato"/>
                <w:color w:val="1F497D"/>
                <w:sz w:val="20"/>
                <w:szCs w:val="20"/>
              </w:rPr>
              <w:t>387</w:t>
            </w:r>
          </w:p>
        </w:tc>
        <w:tc>
          <w:tcPr>
            <w:tcW w:w="596" w:type="pct"/>
            <w:tcBorders>
              <w:top w:val="nil"/>
              <w:left w:val="nil"/>
              <w:bottom w:val="single" w:sz="4" w:space="0" w:color="4F81BD"/>
              <w:right w:val="single" w:sz="4" w:space="0" w:color="4F81BD"/>
            </w:tcBorders>
            <w:shd w:val="clear" w:color="000000" w:fill="C0C0C0"/>
            <w:noWrap/>
            <w:vAlign w:val="center"/>
          </w:tcPr>
          <w:p w:rsidR="000A40CE" w:rsidRPr="0082746D" w:rsidRDefault="000A40CE" w:rsidP="001E771F">
            <w:pPr>
              <w:spacing w:line="240" w:lineRule="auto"/>
              <w:ind w:firstLine="0"/>
              <w:jc w:val="center"/>
              <w:rPr>
                <w:rFonts w:ascii="Lato" w:hAnsi="Lato"/>
                <w:color w:val="1F497D"/>
                <w:sz w:val="20"/>
                <w:szCs w:val="20"/>
              </w:rPr>
            </w:pPr>
          </w:p>
        </w:tc>
      </w:tr>
      <w:tr w:rsidR="000D3AD0" w:rsidRPr="0082746D" w:rsidTr="000D3AD0">
        <w:trPr>
          <w:trHeight w:val="435"/>
        </w:trPr>
        <w:tc>
          <w:tcPr>
            <w:tcW w:w="1415" w:type="pct"/>
            <w:gridSpan w:val="2"/>
            <w:tcBorders>
              <w:top w:val="single" w:sz="4" w:space="0" w:color="4F81BD"/>
              <w:left w:val="single" w:sz="4" w:space="0" w:color="4F81BD"/>
              <w:bottom w:val="single" w:sz="4" w:space="0" w:color="4F81BD"/>
              <w:right w:val="single" w:sz="4" w:space="0" w:color="4F81BD"/>
            </w:tcBorders>
            <w:shd w:val="clear" w:color="auto" w:fill="auto"/>
            <w:vAlign w:val="center"/>
            <w:hideMark/>
          </w:tcPr>
          <w:p w:rsidR="000D3AD0" w:rsidRPr="0082746D" w:rsidRDefault="000D3AD0" w:rsidP="00ED0A21">
            <w:pPr>
              <w:spacing w:line="240" w:lineRule="auto"/>
              <w:ind w:firstLine="0"/>
              <w:jc w:val="center"/>
              <w:rPr>
                <w:rFonts w:ascii="Lato" w:hAnsi="Lato"/>
                <w:b/>
                <w:bCs/>
                <w:color w:val="1F497D"/>
                <w:sz w:val="20"/>
                <w:szCs w:val="20"/>
              </w:rPr>
            </w:pPr>
            <w:r w:rsidRPr="0082746D">
              <w:rPr>
                <w:rFonts w:ascii="Lato" w:hAnsi="Lato"/>
                <w:b/>
                <w:bCs/>
                <w:color w:val="1F497D"/>
                <w:sz w:val="20"/>
                <w:szCs w:val="20"/>
              </w:rPr>
              <w:t>SUMA</w:t>
            </w:r>
          </w:p>
        </w:tc>
        <w:tc>
          <w:tcPr>
            <w:tcW w:w="745"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312 580</w:t>
            </w:r>
          </w:p>
        </w:tc>
        <w:tc>
          <w:tcPr>
            <w:tcW w:w="597"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116 135</w:t>
            </w:r>
          </w:p>
        </w:tc>
        <w:tc>
          <w:tcPr>
            <w:tcW w:w="521"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28 702</w:t>
            </w:r>
          </w:p>
        </w:tc>
        <w:tc>
          <w:tcPr>
            <w:tcW w:w="524"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8 606</w:t>
            </w:r>
          </w:p>
        </w:tc>
        <w:tc>
          <w:tcPr>
            <w:tcW w:w="602"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11 201</w:t>
            </w:r>
          </w:p>
        </w:tc>
        <w:tc>
          <w:tcPr>
            <w:tcW w:w="596" w:type="pct"/>
            <w:tcBorders>
              <w:top w:val="nil"/>
              <w:left w:val="nil"/>
              <w:bottom w:val="single" w:sz="4" w:space="0" w:color="4F81BD"/>
              <w:right w:val="single" w:sz="4" w:space="0" w:color="4F81BD"/>
            </w:tcBorders>
            <w:shd w:val="clear" w:color="auto" w:fill="auto"/>
            <w:noWrap/>
            <w:vAlign w:val="center"/>
          </w:tcPr>
          <w:p w:rsidR="000D3AD0" w:rsidRPr="000D3AD0" w:rsidRDefault="000D3AD0" w:rsidP="000D3AD0">
            <w:pPr>
              <w:spacing w:line="240" w:lineRule="auto"/>
              <w:ind w:firstLine="0"/>
              <w:jc w:val="center"/>
              <w:rPr>
                <w:rFonts w:ascii="Lato" w:hAnsi="Lato"/>
                <w:b/>
                <w:color w:val="1F497D"/>
                <w:sz w:val="20"/>
                <w:szCs w:val="20"/>
              </w:rPr>
            </w:pPr>
            <w:r w:rsidRPr="000D3AD0">
              <w:rPr>
                <w:rFonts w:ascii="Lato" w:hAnsi="Lato"/>
                <w:b/>
                <w:color w:val="1F497D"/>
                <w:sz w:val="20"/>
                <w:szCs w:val="20"/>
              </w:rPr>
              <w:t>153 444</w:t>
            </w:r>
          </w:p>
        </w:tc>
      </w:tr>
    </w:tbl>
    <w:p w:rsidR="00D033B2" w:rsidRPr="0082746D" w:rsidRDefault="00D033B2" w:rsidP="00D033B2">
      <w:pPr>
        <w:ind w:firstLine="0"/>
        <w:jc w:val="center"/>
        <w:rPr>
          <w:rFonts w:ascii="Lato" w:hAnsi="Lato"/>
          <w:i/>
          <w:sz w:val="20"/>
          <w:lang w:eastAsia="x-none"/>
        </w:rPr>
      </w:pPr>
      <w:bookmarkStart w:id="122" w:name="OLE_LINK4"/>
      <w:bookmarkStart w:id="123" w:name="OLE_LINK11"/>
      <w:bookmarkStart w:id="124" w:name="_Toc336943619"/>
      <w:r w:rsidRPr="0082746D">
        <w:rPr>
          <w:rFonts w:ascii="Lato" w:hAnsi="Lato"/>
          <w:i/>
          <w:sz w:val="20"/>
          <w:lang w:eastAsia="x-none"/>
        </w:rPr>
        <w:t>Źródło: Obliczenia własne</w:t>
      </w:r>
    </w:p>
    <w:p w:rsidR="00F80846" w:rsidRPr="0082746D" w:rsidRDefault="00F80846" w:rsidP="00D033B2">
      <w:pPr>
        <w:ind w:firstLine="0"/>
        <w:jc w:val="center"/>
        <w:rPr>
          <w:rFonts w:ascii="Lato" w:hAnsi="Lato"/>
          <w:i/>
          <w:sz w:val="20"/>
          <w:lang w:eastAsia="x-none"/>
        </w:rPr>
      </w:pPr>
    </w:p>
    <w:p w:rsidR="005B2758" w:rsidRPr="0082746D" w:rsidRDefault="005B2758" w:rsidP="00C54B26">
      <w:pPr>
        <w:pStyle w:val="Legenda"/>
        <w:rPr>
          <w:rFonts w:ascii="Lato" w:hAnsi="Lato"/>
          <w:color w:val="365F91"/>
          <w:sz w:val="20"/>
          <w:szCs w:val="20"/>
          <w:lang w:val="pl-PL"/>
        </w:rPr>
      </w:pPr>
      <w:bookmarkStart w:id="125" w:name="_Toc20219169"/>
      <w:r w:rsidRPr="0082746D">
        <w:rPr>
          <w:rFonts w:ascii="Lato" w:hAnsi="Lato"/>
          <w:color w:val="365F91"/>
          <w:sz w:val="20"/>
          <w:szCs w:val="20"/>
        </w:rPr>
        <w:t xml:space="preserve">Tabela </w:t>
      </w:r>
      <w:r w:rsidR="004042AE" w:rsidRPr="0082746D">
        <w:rPr>
          <w:rFonts w:ascii="Lato" w:hAnsi="Lato"/>
          <w:color w:val="365F91"/>
          <w:sz w:val="20"/>
          <w:szCs w:val="20"/>
        </w:rPr>
        <w:fldChar w:fldCharType="begin"/>
      </w:r>
      <w:r w:rsidR="005430ED" w:rsidRPr="0082746D">
        <w:rPr>
          <w:rFonts w:ascii="Lato" w:hAnsi="Lato"/>
          <w:color w:val="365F91"/>
          <w:sz w:val="20"/>
          <w:szCs w:val="20"/>
        </w:rPr>
        <w:instrText xml:space="preserve"> STYLEREF 1 \s </w:instrText>
      </w:r>
      <w:r w:rsidR="004042AE" w:rsidRPr="0082746D">
        <w:rPr>
          <w:rFonts w:ascii="Lato" w:hAnsi="Lato"/>
          <w:color w:val="365F91"/>
          <w:sz w:val="20"/>
          <w:szCs w:val="20"/>
        </w:rPr>
        <w:fldChar w:fldCharType="separate"/>
      </w:r>
      <w:r w:rsidR="0040205B">
        <w:rPr>
          <w:rFonts w:ascii="Lato" w:hAnsi="Lato"/>
          <w:noProof/>
          <w:color w:val="365F91"/>
          <w:sz w:val="20"/>
          <w:szCs w:val="20"/>
        </w:rPr>
        <w:t>2</w:t>
      </w:r>
      <w:r w:rsidR="004042AE" w:rsidRPr="0082746D">
        <w:rPr>
          <w:rFonts w:ascii="Lato" w:hAnsi="Lato"/>
          <w:color w:val="365F91"/>
          <w:sz w:val="20"/>
          <w:szCs w:val="20"/>
        </w:rPr>
        <w:fldChar w:fldCharType="end"/>
      </w:r>
      <w:r w:rsidR="005430ED" w:rsidRPr="0082746D">
        <w:rPr>
          <w:rFonts w:ascii="Lato" w:hAnsi="Lato"/>
          <w:color w:val="365F91"/>
          <w:sz w:val="20"/>
          <w:szCs w:val="20"/>
        </w:rPr>
        <w:noBreakHyphen/>
      </w:r>
      <w:r w:rsidR="004042AE" w:rsidRPr="0082746D">
        <w:rPr>
          <w:rFonts w:ascii="Lato" w:hAnsi="Lato"/>
          <w:color w:val="365F91"/>
          <w:sz w:val="20"/>
          <w:szCs w:val="20"/>
        </w:rPr>
        <w:fldChar w:fldCharType="begin"/>
      </w:r>
      <w:r w:rsidR="005430ED" w:rsidRPr="0082746D">
        <w:rPr>
          <w:rFonts w:ascii="Lato" w:hAnsi="Lato"/>
          <w:color w:val="365F91"/>
          <w:sz w:val="20"/>
          <w:szCs w:val="20"/>
        </w:rPr>
        <w:instrText xml:space="preserve"> SEQ Tabela \* ARABIC \s 1 </w:instrText>
      </w:r>
      <w:r w:rsidR="004042AE" w:rsidRPr="0082746D">
        <w:rPr>
          <w:rFonts w:ascii="Lato" w:hAnsi="Lato"/>
          <w:color w:val="365F91"/>
          <w:sz w:val="20"/>
          <w:szCs w:val="20"/>
        </w:rPr>
        <w:fldChar w:fldCharType="separate"/>
      </w:r>
      <w:r w:rsidR="0040205B">
        <w:rPr>
          <w:rFonts w:ascii="Lato" w:hAnsi="Lato"/>
          <w:noProof/>
          <w:color w:val="365F91"/>
          <w:sz w:val="20"/>
          <w:szCs w:val="20"/>
        </w:rPr>
        <w:t>3</w:t>
      </w:r>
      <w:r w:rsidR="004042AE" w:rsidRPr="0082746D">
        <w:rPr>
          <w:rFonts w:ascii="Lato" w:hAnsi="Lato"/>
          <w:color w:val="365F91"/>
          <w:sz w:val="20"/>
          <w:szCs w:val="20"/>
        </w:rPr>
        <w:fldChar w:fldCharType="end"/>
      </w:r>
      <w:bookmarkEnd w:id="122"/>
      <w:bookmarkEnd w:id="123"/>
      <w:r w:rsidR="00336094" w:rsidRPr="0082746D">
        <w:rPr>
          <w:rFonts w:ascii="Lato" w:hAnsi="Lato"/>
          <w:color w:val="365F91"/>
          <w:sz w:val="20"/>
          <w:szCs w:val="20"/>
        </w:rPr>
        <w:t xml:space="preserve"> </w:t>
      </w:r>
      <w:r w:rsidRPr="0082746D">
        <w:rPr>
          <w:rFonts w:ascii="Lato" w:hAnsi="Lato"/>
          <w:color w:val="365F91"/>
          <w:sz w:val="20"/>
          <w:szCs w:val="20"/>
        </w:rPr>
        <w:t xml:space="preserve">Bilans paliw i energii dla </w:t>
      </w:r>
      <w:r w:rsidR="00B71E13" w:rsidRPr="0082746D">
        <w:rPr>
          <w:rFonts w:ascii="Lato" w:hAnsi="Lato"/>
          <w:color w:val="365F91"/>
          <w:sz w:val="20"/>
          <w:szCs w:val="20"/>
        </w:rPr>
        <w:t xml:space="preserve">Gminy </w:t>
      </w:r>
      <w:r w:rsidR="0082746D">
        <w:rPr>
          <w:rFonts w:ascii="Lato" w:hAnsi="Lato"/>
          <w:color w:val="365F91"/>
          <w:sz w:val="20"/>
          <w:szCs w:val="20"/>
          <w:lang w:val="pl-PL"/>
        </w:rPr>
        <w:t>Pabianice</w:t>
      </w:r>
      <w:r w:rsidRPr="0082746D">
        <w:rPr>
          <w:rFonts w:ascii="Lato" w:hAnsi="Lato"/>
          <w:color w:val="365F91"/>
          <w:sz w:val="20"/>
          <w:szCs w:val="20"/>
        </w:rPr>
        <w:t xml:space="preserve"> za rok 20</w:t>
      </w:r>
      <w:bookmarkEnd w:id="120"/>
      <w:bookmarkEnd w:id="121"/>
      <w:r w:rsidRPr="0082746D">
        <w:rPr>
          <w:rFonts w:ascii="Lato" w:hAnsi="Lato"/>
          <w:color w:val="365F91"/>
          <w:sz w:val="20"/>
          <w:szCs w:val="20"/>
        </w:rPr>
        <w:t>1</w:t>
      </w:r>
      <w:bookmarkEnd w:id="124"/>
      <w:r w:rsidR="00E3709D" w:rsidRPr="0082746D">
        <w:rPr>
          <w:rFonts w:ascii="Lato" w:hAnsi="Lato"/>
          <w:color w:val="365F91"/>
          <w:sz w:val="20"/>
          <w:szCs w:val="20"/>
          <w:lang w:val="pl-PL"/>
        </w:rPr>
        <w:t>8</w:t>
      </w:r>
      <w:bookmarkEnd w:id="125"/>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000" w:firstRow="0" w:lastRow="0" w:firstColumn="0" w:lastColumn="0" w:noHBand="0" w:noVBand="0"/>
      </w:tblPr>
      <w:tblGrid>
        <w:gridCol w:w="805"/>
        <w:gridCol w:w="4140"/>
        <w:gridCol w:w="2002"/>
        <w:gridCol w:w="2606"/>
      </w:tblGrid>
      <w:tr w:rsidR="00654EC7" w:rsidRPr="0082746D" w:rsidTr="00654EC7">
        <w:trPr>
          <w:trHeight w:val="785"/>
          <w:jc w:val="center"/>
        </w:trPr>
        <w:tc>
          <w:tcPr>
            <w:tcW w:w="421" w:type="pct"/>
            <w:shd w:val="clear" w:color="auto" w:fill="DBE5F1"/>
            <w:noWrap/>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L.p.</w:t>
            </w:r>
          </w:p>
        </w:tc>
        <w:tc>
          <w:tcPr>
            <w:tcW w:w="2167" w:type="pct"/>
            <w:shd w:val="clear" w:color="auto" w:fill="DBE5F1"/>
            <w:noWrap/>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Rodzaj paliwa</w:t>
            </w:r>
          </w:p>
        </w:tc>
        <w:tc>
          <w:tcPr>
            <w:tcW w:w="1048" w:type="pct"/>
            <w:shd w:val="clear" w:color="auto" w:fill="DBE5F1"/>
            <w:noWrap/>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Jednostka</w:t>
            </w:r>
          </w:p>
        </w:tc>
        <w:tc>
          <w:tcPr>
            <w:tcW w:w="1364" w:type="pct"/>
            <w:shd w:val="clear" w:color="auto" w:fill="DBE5F1"/>
            <w:noWrap/>
            <w:vAlign w:val="center"/>
          </w:tcPr>
          <w:p w:rsidR="00654EC7" w:rsidRPr="0082746D" w:rsidRDefault="00654EC7" w:rsidP="00BB6523">
            <w:pPr>
              <w:spacing w:line="240" w:lineRule="auto"/>
              <w:ind w:firstLine="0"/>
              <w:jc w:val="center"/>
              <w:rPr>
                <w:rFonts w:ascii="Lato" w:hAnsi="Lato"/>
                <w:color w:val="365F91"/>
                <w:sz w:val="20"/>
                <w:szCs w:val="20"/>
              </w:rPr>
            </w:pPr>
            <w:r w:rsidRPr="0082746D">
              <w:rPr>
                <w:rFonts w:ascii="Lato" w:hAnsi="Lato"/>
                <w:color w:val="365F91"/>
                <w:sz w:val="20"/>
                <w:szCs w:val="20"/>
              </w:rPr>
              <w:t>Roczne zużycie</w:t>
            </w:r>
          </w:p>
        </w:tc>
      </w:tr>
      <w:tr w:rsidR="00654EC7" w:rsidRPr="0082746D" w:rsidTr="00654EC7">
        <w:trPr>
          <w:trHeight w:val="255"/>
          <w:jc w:val="center"/>
        </w:trPr>
        <w:tc>
          <w:tcPr>
            <w:tcW w:w="421"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1</w:t>
            </w:r>
          </w:p>
        </w:tc>
        <w:tc>
          <w:tcPr>
            <w:tcW w:w="2167" w:type="pct"/>
            <w:vAlign w:val="center"/>
          </w:tcPr>
          <w:p w:rsidR="00654EC7" w:rsidRPr="0082746D" w:rsidRDefault="00654EC7">
            <w:pPr>
              <w:spacing w:line="240" w:lineRule="auto"/>
              <w:ind w:firstLine="0"/>
              <w:rPr>
                <w:rFonts w:ascii="Lato" w:hAnsi="Lato"/>
                <w:color w:val="365F91"/>
                <w:sz w:val="20"/>
                <w:szCs w:val="20"/>
              </w:rPr>
            </w:pPr>
            <w:r w:rsidRPr="0082746D">
              <w:rPr>
                <w:rFonts w:ascii="Lato" w:hAnsi="Lato"/>
                <w:color w:val="365F91"/>
                <w:sz w:val="20"/>
                <w:szCs w:val="20"/>
              </w:rPr>
              <w:t>Propan - butan</w:t>
            </w:r>
          </w:p>
        </w:tc>
        <w:tc>
          <w:tcPr>
            <w:tcW w:w="1048"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Mg/rok</w:t>
            </w:r>
          </w:p>
        </w:tc>
        <w:tc>
          <w:tcPr>
            <w:tcW w:w="1364" w:type="pct"/>
            <w:vAlign w:val="center"/>
          </w:tcPr>
          <w:p w:rsidR="00654EC7" w:rsidRPr="00D2052B" w:rsidRDefault="00654EC7" w:rsidP="00654EC7">
            <w:pPr>
              <w:spacing w:line="240" w:lineRule="auto"/>
              <w:ind w:firstLine="0"/>
              <w:jc w:val="center"/>
              <w:rPr>
                <w:rFonts w:ascii="Tahoma" w:hAnsi="Tahoma" w:cs="Tahoma"/>
                <w:bCs/>
                <w:color w:val="1F497D"/>
                <w:sz w:val="20"/>
                <w:szCs w:val="20"/>
              </w:rPr>
            </w:pPr>
            <w:r w:rsidRPr="00D2052B">
              <w:rPr>
                <w:rFonts w:ascii="Tahoma" w:hAnsi="Tahoma" w:cs="Tahoma"/>
                <w:bCs/>
                <w:color w:val="1F497D"/>
                <w:sz w:val="20"/>
                <w:szCs w:val="20"/>
              </w:rPr>
              <w:t>70,6</w:t>
            </w:r>
          </w:p>
        </w:tc>
      </w:tr>
      <w:tr w:rsidR="00654EC7" w:rsidRPr="0082746D" w:rsidTr="00654EC7">
        <w:trPr>
          <w:trHeight w:val="255"/>
          <w:jc w:val="center"/>
        </w:trPr>
        <w:tc>
          <w:tcPr>
            <w:tcW w:w="421"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2</w:t>
            </w:r>
          </w:p>
        </w:tc>
        <w:tc>
          <w:tcPr>
            <w:tcW w:w="2167" w:type="pct"/>
            <w:vAlign w:val="center"/>
          </w:tcPr>
          <w:p w:rsidR="00654EC7" w:rsidRPr="0082746D" w:rsidRDefault="00654EC7">
            <w:pPr>
              <w:spacing w:line="240" w:lineRule="auto"/>
              <w:ind w:firstLine="0"/>
              <w:rPr>
                <w:rFonts w:ascii="Lato" w:hAnsi="Lato"/>
                <w:color w:val="365F91"/>
                <w:sz w:val="20"/>
                <w:szCs w:val="20"/>
              </w:rPr>
            </w:pPr>
            <w:r w:rsidRPr="0082746D">
              <w:rPr>
                <w:rFonts w:ascii="Lato" w:hAnsi="Lato"/>
                <w:color w:val="365F91"/>
                <w:sz w:val="20"/>
                <w:szCs w:val="20"/>
              </w:rPr>
              <w:t>Węgiel kamienny</w:t>
            </w:r>
          </w:p>
        </w:tc>
        <w:tc>
          <w:tcPr>
            <w:tcW w:w="1048"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Mg/rok</w:t>
            </w:r>
          </w:p>
        </w:tc>
        <w:tc>
          <w:tcPr>
            <w:tcW w:w="1364" w:type="pct"/>
            <w:vAlign w:val="center"/>
          </w:tcPr>
          <w:p w:rsidR="00654EC7" w:rsidRPr="00D2052B" w:rsidRDefault="00654EC7" w:rsidP="00654EC7">
            <w:pPr>
              <w:spacing w:line="240" w:lineRule="auto"/>
              <w:ind w:firstLine="0"/>
              <w:jc w:val="center"/>
              <w:rPr>
                <w:rFonts w:ascii="Tahoma" w:hAnsi="Tahoma" w:cs="Tahoma"/>
                <w:bCs/>
                <w:color w:val="1F497D"/>
                <w:sz w:val="20"/>
                <w:szCs w:val="20"/>
              </w:rPr>
            </w:pPr>
            <w:r w:rsidRPr="00D2052B">
              <w:rPr>
                <w:rFonts w:ascii="Tahoma" w:hAnsi="Tahoma" w:cs="Tahoma"/>
                <w:bCs/>
                <w:color w:val="1F497D"/>
                <w:sz w:val="20"/>
                <w:szCs w:val="20"/>
              </w:rPr>
              <w:t>6 316</w:t>
            </w:r>
          </w:p>
        </w:tc>
      </w:tr>
      <w:tr w:rsidR="00654EC7" w:rsidRPr="0082746D" w:rsidTr="00654EC7">
        <w:trPr>
          <w:trHeight w:val="255"/>
          <w:jc w:val="center"/>
        </w:trPr>
        <w:tc>
          <w:tcPr>
            <w:tcW w:w="421"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3</w:t>
            </w:r>
          </w:p>
        </w:tc>
        <w:tc>
          <w:tcPr>
            <w:tcW w:w="2167" w:type="pct"/>
            <w:vAlign w:val="center"/>
          </w:tcPr>
          <w:p w:rsidR="00654EC7" w:rsidRPr="0082746D" w:rsidRDefault="00654EC7" w:rsidP="007C072D">
            <w:pPr>
              <w:spacing w:line="240" w:lineRule="auto"/>
              <w:ind w:firstLine="0"/>
              <w:rPr>
                <w:rFonts w:ascii="Lato" w:hAnsi="Lato"/>
                <w:color w:val="365F91"/>
                <w:sz w:val="20"/>
                <w:szCs w:val="20"/>
              </w:rPr>
            </w:pPr>
            <w:r w:rsidRPr="0082746D">
              <w:rPr>
                <w:rFonts w:ascii="Lato" w:hAnsi="Lato"/>
                <w:color w:val="365F91"/>
                <w:sz w:val="20"/>
                <w:szCs w:val="20"/>
              </w:rPr>
              <w:t>Drewno</w:t>
            </w:r>
          </w:p>
        </w:tc>
        <w:tc>
          <w:tcPr>
            <w:tcW w:w="1048"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Mg/rok</w:t>
            </w:r>
          </w:p>
        </w:tc>
        <w:tc>
          <w:tcPr>
            <w:tcW w:w="1364" w:type="pct"/>
            <w:vAlign w:val="center"/>
          </w:tcPr>
          <w:p w:rsidR="00654EC7" w:rsidRPr="00D2052B" w:rsidRDefault="00654EC7" w:rsidP="00654EC7">
            <w:pPr>
              <w:spacing w:line="240" w:lineRule="auto"/>
              <w:ind w:firstLine="0"/>
              <w:jc w:val="center"/>
              <w:rPr>
                <w:rFonts w:ascii="Tahoma" w:hAnsi="Tahoma" w:cs="Tahoma"/>
                <w:bCs/>
                <w:color w:val="1F497D"/>
                <w:sz w:val="20"/>
                <w:szCs w:val="20"/>
              </w:rPr>
            </w:pPr>
            <w:r w:rsidRPr="00D2052B">
              <w:rPr>
                <w:rFonts w:ascii="Tahoma" w:hAnsi="Tahoma" w:cs="Tahoma"/>
                <w:bCs/>
                <w:color w:val="1F497D"/>
                <w:sz w:val="20"/>
                <w:szCs w:val="20"/>
              </w:rPr>
              <w:t>1 457</w:t>
            </w:r>
          </w:p>
        </w:tc>
      </w:tr>
      <w:tr w:rsidR="00654EC7" w:rsidRPr="0082746D" w:rsidTr="00654EC7">
        <w:trPr>
          <w:trHeight w:val="285"/>
          <w:jc w:val="center"/>
        </w:trPr>
        <w:tc>
          <w:tcPr>
            <w:tcW w:w="421"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4</w:t>
            </w:r>
          </w:p>
        </w:tc>
        <w:tc>
          <w:tcPr>
            <w:tcW w:w="2167" w:type="pct"/>
            <w:vAlign w:val="center"/>
          </w:tcPr>
          <w:p w:rsidR="00654EC7" w:rsidRPr="0082746D" w:rsidRDefault="00654EC7">
            <w:pPr>
              <w:spacing w:line="240" w:lineRule="auto"/>
              <w:ind w:firstLine="0"/>
              <w:rPr>
                <w:rFonts w:ascii="Lato" w:hAnsi="Lato"/>
                <w:color w:val="365F91"/>
                <w:sz w:val="20"/>
                <w:szCs w:val="20"/>
              </w:rPr>
            </w:pPr>
            <w:r w:rsidRPr="0082746D">
              <w:rPr>
                <w:rFonts w:ascii="Lato" w:hAnsi="Lato"/>
                <w:color w:val="365F91"/>
                <w:sz w:val="20"/>
                <w:szCs w:val="20"/>
              </w:rPr>
              <w:t>Olej opałowy</w:t>
            </w:r>
          </w:p>
        </w:tc>
        <w:tc>
          <w:tcPr>
            <w:tcW w:w="1048"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m</w:t>
            </w:r>
            <w:r w:rsidRPr="0082746D">
              <w:rPr>
                <w:rFonts w:ascii="Lato" w:hAnsi="Lato"/>
                <w:color w:val="365F91"/>
                <w:sz w:val="20"/>
                <w:szCs w:val="20"/>
                <w:vertAlign w:val="superscript"/>
              </w:rPr>
              <w:t>3</w:t>
            </w:r>
            <w:r w:rsidRPr="0082746D">
              <w:rPr>
                <w:rFonts w:ascii="Lato" w:hAnsi="Lato"/>
                <w:color w:val="365F91"/>
                <w:sz w:val="20"/>
                <w:szCs w:val="20"/>
              </w:rPr>
              <w:t>/rok</w:t>
            </w:r>
          </w:p>
        </w:tc>
        <w:tc>
          <w:tcPr>
            <w:tcW w:w="1364" w:type="pct"/>
            <w:vAlign w:val="center"/>
          </w:tcPr>
          <w:p w:rsidR="00654EC7" w:rsidRPr="00D2052B" w:rsidRDefault="00654EC7" w:rsidP="00654EC7">
            <w:pPr>
              <w:spacing w:line="240" w:lineRule="auto"/>
              <w:ind w:firstLine="0"/>
              <w:jc w:val="center"/>
              <w:rPr>
                <w:rFonts w:ascii="Tahoma" w:hAnsi="Tahoma" w:cs="Tahoma"/>
                <w:bCs/>
                <w:color w:val="1F497D"/>
                <w:sz w:val="20"/>
                <w:szCs w:val="20"/>
              </w:rPr>
            </w:pPr>
            <w:r w:rsidRPr="00D2052B">
              <w:rPr>
                <w:rFonts w:ascii="Tahoma" w:hAnsi="Tahoma" w:cs="Tahoma"/>
                <w:bCs/>
                <w:color w:val="1F497D"/>
                <w:sz w:val="20"/>
                <w:szCs w:val="20"/>
              </w:rPr>
              <w:t>637,5</w:t>
            </w:r>
          </w:p>
        </w:tc>
      </w:tr>
      <w:tr w:rsidR="00654EC7" w:rsidRPr="0082746D" w:rsidTr="00654EC7">
        <w:trPr>
          <w:trHeight w:val="285"/>
          <w:jc w:val="center"/>
        </w:trPr>
        <w:tc>
          <w:tcPr>
            <w:tcW w:w="421"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5</w:t>
            </w:r>
          </w:p>
        </w:tc>
        <w:tc>
          <w:tcPr>
            <w:tcW w:w="2167" w:type="pct"/>
            <w:vAlign w:val="center"/>
          </w:tcPr>
          <w:p w:rsidR="00654EC7" w:rsidRPr="0082746D" w:rsidRDefault="00654EC7">
            <w:pPr>
              <w:spacing w:line="240" w:lineRule="auto"/>
              <w:ind w:firstLine="0"/>
              <w:rPr>
                <w:rFonts w:ascii="Lato" w:hAnsi="Lato"/>
                <w:color w:val="365F91"/>
                <w:sz w:val="20"/>
                <w:szCs w:val="20"/>
              </w:rPr>
            </w:pPr>
            <w:r w:rsidRPr="0082746D">
              <w:rPr>
                <w:rFonts w:ascii="Lato" w:hAnsi="Lato"/>
                <w:color w:val="365F91"/>
                <w:sz w:val="20"/>
                <w:szCs w:val="20"/>
              </w:rPr>
              <w:t>OZE</w:t>
            </w:r>
          </w:p>
        </w:tc>
        <w:tc>
          <w:tcPr>
            <w:tcW w:w="1048"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GJ/rok</w:t>
            </w:r>
          </w:p>
        </w:tc>
        <w:tc>
          <w:tcPr>
            <w:tcW w:w="1364" w:type="pct"/>
            <w:vAlign w:val="center"/>
          </w:tcPr>
          <w:p w:rsidR="00654EC7" w:rsidRPr="00D2052B" w:rsidRDefault="00654EC7" w:rsidP="00654EC7">
            <w:pPr>
              <w:spacing w:line="240" w:lineRule="auto"/>
              <w:ind w:firstLine="0"/>
              <w:jc w:val="center"/>
              <w:rPr>
                <w:rFonts w:ascii="Tahoma" w:hAnsi="Tahoma" w:cs="Tahoma"/>
                <w:bCs/>
                <w:color w:val="1F497D"/>
                <w:sz w:val="20"/>
                <w:szCs w:val="20"/>
              </w:rPr>
            </w:pPr>
            <w:r w:rsidRPr="00D2052B">
              <w:rPr>
                <w:rFonts w:ascii="Tahoma" w:hAnsi="Tahoma" w:cs="Tahoma"/>
                <w:bCs/>
                <w:color w:val="1F497D"/>
                <w:sz w:val="20"/>
                <w:szCs w:val="20"/>
              </w:rPr>
              <w:t>1 538</w:t>
            </w:r>
          </w:p>
        </w:tc>
      </w:tr>
      <w:tr w:rsidR="00654EC7" w:rsidRPr="0082746D" w:rsidTr="00654EC7">
        <w:trPr>
          <w:trHeight w:val="285"/>
          <w:jc w:val="center"/>
        </w:trPr>
        <w:tc>
          <w:tcPr>
            <w:tcW w:w="421"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6</w:t>
            </w:r>
          </w:p>
        </w:tc>
        <w:tc>
          <w:tcPr>
            <w:tcW w:w="2167" w:type="pct"/>
            <w:vAlign w:val="center"/>
          </w:tcPr>
          <w:p w:rsidR="00654EC7" w:rsidRPr="0082746D" w:rsidRDefault="00654EC7">
            <w:pPr>
              <w:spacing w:line="240" w:lineRule="auto"/>
              <w:ind w:firstLine="0"/>
              <w:rPr>
                <w:rFonts w:ascii="Lato" w:hAnsi="Lato"/>
                <w:color w:val="365F91"/>
                <w:sz w:val="20"/>
                <w:szCs w:val="20"/>
              </w:rPr>
            </w:pPr>
            <w:r w:rsidRPr="0082746D">
              <w:rPr>
                <w:rFonts w:ascii="Lato" w:hAnsi="Lato"/>
                <w:color w:val="365F91"/>
                <w:sz w:val="20"/>
                <w:szCs w:val="20"/>
              </w:rPr>
              <w:t>Gaz ziemny</w:t>
            </w:r>
          </w:p>
        </w:tc>
        <w:tc>
          <w:tcPr>
            <w:tcW w:w="1048"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tys. m</w:t>
            </w:r>
            <w:r w:rsidRPr="0082746D">
              <w:rPr>
                <w:rFonts w:ascii="Lato" w:hAnsi="Lato"/>
                <w:color w:val="365F91"/>
                <w:sz w:val="20"/>
                <w:szCs w:val="20"/>
                <w:vertAlign w:val="superscript"/>
              </w:rPr>
              <w:t>3</w:t>
            </w:r>
            <w:r w:rsidRPr="0082746D">
              <w:rPr>
                <w:rFonts w:ascii="Lato" w:hAnsi="Lato"/>
                <w:color w:val="365F91"/>
                <w:sz w:val="20"/>
                <w:szCs w:val="20"/>
              </w:rPr>
              <w:t>/rok</w:t>
            </w:r>
          </w:p>
        </w:tc>
        <w:tc>
          <w:tcPr>
            <w:tcW w:w="1364" w:type="pct"/>
            <w:vAlign w:val="center"/>
          </w:tcPr>
          <w:p w:rsidR="00654EC7" w:rsidRPr="00D2052B" w:rsidRDefault="00654EC7" w:rsidP="00654EC7">
            <w:pPr>
              <w:spacing w:line="240" w:lineRule="auto"/>
              <w:ind w:firstLine="0"/>
              <w:jc w:val="center"/>
              <w:rPr>
                <w:rFonts w:ascii="Tahoma" w:hAnsi="Tahoma" w:cs="Tahoma"/>
                <w:bCs/>
                <w:color w:val="1F497D"/>
                <w:sz w:val="20"/>
                <w:szCs w:val="20"/>
              </w:rPr>
            </w:pPr>
            <w:r w:rsidRPr="00D2052B">
              <w:rPr>
                <w:rFonts w:ascii="Tahoma" w:hAnsi="Tahoma" w:cs="Tahoma"/>
                <w:bCs/>
                <w:color w:val="1F497D"/>
                <w:sz w:val="20"/>
                <w:szCs w:val="20"/>
              </w:rPr>
              <w:t>127</w:t>
            </w:r>
          </w:p>
        </w:tc>
      </w:tr>
      <w:tr w:rsidR="00654EC7" w:rsidRPr="0082746D" w:rsidTr="00654EC7">
        <w:trPr>
          <w:trHeight w:val="270"/>
          <w:jc w:val="center"/>
        </w:trPr>
        <w:tc>
          <w:tcPr>
            <w:tcW w:w="421"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7</w:t>
            </w:r>
          </w:p>
        </w:tc>
        <w:tc>
          <w:tcPr>
            <w:tcW w:w="2167" w:type="pct"/>
            <w:vAlign w:val="center"/>
          </w:tcPr>
          <w:p w:rsidR="00654EC7" w:rsidRPr="0082746D" w:rsidRDefault="00654EC7">
            <w:pPr>
              <w:spacing w:line="240" w:lineRule="auto"/>
              <w:ind w:firstLine="0"/>
              <w:rPr>
                <w:rFonts w:ascii="Lato" w:hAnsi="Lato"/>
                <w:color w:val="365F91"/>
                <w:sz w:val="20"/>
                <w:szCs w:val="20"/>
              </w:rPr>
            </w:pPr>
            <w:r w:rsidRPr="0082746D">
              <w:rPr>
                <w:rFonts w:ascii="Lato" w:hAnsi="Lato"/>
                <w:color w:val="365F91"/>
                <w:sz w:val="20"/>
                <w:szCs w:val="20"/>
              </w:rPr>
              <w:t>Energia elektryczna</w:t>
            </w:r>
          </w:p>
        </w:tc>
        <w:tc>
          <w:tcPr>
            <w:tcW w:w="1048" w:type="pct"/>
            <w:vAlign w:val="center"/>
          </w:tcPr>
          <w:p w:rsidR="00654EC7" w:rsidRPr="0082746D" w:rsidRDefault="00654EC7">
            <w:pPr>
              <w:spacing w:line="240" w:lineRule="auto"/>
              <w:ind w:firstLine="0"/>
              <w:jc w:val="center"/>
              <w:rPr>
                <w:rFonts w:ascii="Lato" w:hAnsi="Lato"/>
                <w:color w:val="365F91"/>
                <w:sz w:val="20"/>
                <w:szCs w:val="20"/>
              </w:rPr>
            </w:pPr>
            <w:r w:rsidRPr="0082746D">
              <w:rPr>
                <w:rFonts w:ascii="Lato" w:hAnsi="Lato"/>
                <w:color w:val="365F91"/>
                <w:sz w:val="20"/>
                <w:szCs w:val="20"/>
              </w:rPr>
              <w:t>MWh/rok</w:t>
            </w:r>
          </w:p>
        </w:tc>
        <w:tc>
          <w:tcPr>
            <w:tcW w:w="1364" w:type="pct"/>
            <w:vAlign w:val="center"/>
          </w:tcPr>
          <w:p w:rsidR="00654EC7" w:rsidRPr="00D2052B" w:rsidRDefault="00654EC7" w:rsidP="00E3709D">
            <w:pPr>
              <w:spacing w:line="240" w:lineRule="auto"/>
              <w:ind w:firstLine="0"/>
              <w:jc w:val="center"/>
              <w:rPr>
                <w:rFonts w:ascii="Lato" w:hAnsi="Lato"/>
                <w:color w:val="365F91"/>
                <w:sz w:val="20"/>
                <w:szCs w:val="20"/>
              </w:rPr>
            </w:pPr>
            <w:r w:rsidRPr="00D2052B">
              <w:rPr>
                <w:rFonts w:ascii="Tahoma" w:hAnsi="Tahoma" w:cs="Tahoma"/>
                <w:bCs/>
                <w:color w:val="1F497D"/>
                <w:sz w:val="20"/>
                <w:szCs w:val="20"/>
              </w:rPr>
              <w:t>11 201</w:t>
            </w:r>
          </w:p>
        </w:tc>
      </w:tr>
    </w:tbl>
    <w:p w:rsidR="00D033B2" w:rsidRPr="0082746D" w:rsidRDefault="00D033B2" w:rsidP="00D033B2">
      <w:pPr>
        <w:ind w:firstLine="0"/>
        <w:jc w:val="center"/>
        <w:rPr>
          <w:rFonts w:ascii="Lato" w:hAnsi="Lato"/>
          <w:i/>
          <w:sz w:val="20"/>
          <w:lang w:eastAsia="x-none"/>
        </w:rPr>
      </w:pPr>
      <w:r w:rsidRPr="0082746D">
        <w:rPr>
          <w:rFonts w:ascii="Lato" w:hAnsi="Lato"/>
          <w:i/>
          <w:sz w:val="20"/>
          <w:lang w:eastAsia="x-none"/>
        </w:rPr>
        <w:t>Źródło: Obliczenia własne</w:t>
      </w:r>
    </w:p>
    <w:p w:rsidR="005B2758" w:rsidRPr="00D352C4" w:rsidRDefault="005B2758">
      <w:pPr>
        <w:jc w:val="both"/>
        <w:rPr>
          <w:rFonts w:ascii="Lato" w:hAnsi="Lato"/>
          <w:highlight w:val="yellow"/>
        </w:rPr>
      </w:pPr>
    </w:p>
    <w:p w:rsidR="00C82FF8" w:rsidRPr="005F0B01" w:rsidRDefault="00C82FF8" w:rsidP="00AB431C">
      <w:pPr>
        <w:pStyle w:val="Akapitzlist"/>
        <w:keepNext/>
        <w:numPr>
          <w:ilvl w:val="2"/>
          <w:numId w:val="38"/>
        </w:numPr>
        <w:tabs>
          <w:tab w:val="left" w:pos="709"/>
        </w:tabs>
        <w:spacing w:before="180" w:after="180" w:line="288" w:lineRule="auto"/>
        <w:ind w:left="709" w:hanging="709"/>
        <w:jc w:val="both"/>
        <w:outlineLvl w:val="2"/>
        <w:rPr>
          <w:rFonts w:ascii="Lato" w:hAnsi="Lato"/>
          <w:bCs/>
          <w:color w:val="365F91"/>
          <w:lang w:eastAsia="en-US"/>
        </w:rPr>
      </w:pPr>
      <w:bookmarkStart w:id="126" w:name="_Toc20218509"/>
      <w:bookmarkStart w:id="127" w:name="_Toc336943563"/>
      <w:r w:rsidRPr="005F0B01">
        <w:rPr>
          <w:rFonts w:ascii="Lato" w:hAnsi="Lato"/>
          <w:bCs/>
          <w:color w:val="365F91"/>
          <w:lang w:eastAsia="en-US"/>
        </w:rPr>
        <w:t>System ciepłowniczy</w:t>
      </w:r>
      <w:bookmarkEnd w:id="126"/>
    </w:p>
    <w:bookmarkEnd w:id="127"/>
    <w:p w:rsidR="00713438" w:rsidRDefault="00A803AA" w:rsidP="00617C1D">
      <w:pPr>
        <w:ind w:firstLine="709"/>
        <w:jc w:val="both"/>
        <w:rPr>
          <w:rFonts w:ascii="Lato" w:hAnsi="Lato"/>
        </w:rPr>
      </w:pPr>
      <w:r w:rsidRPr="00DB4AAD">
        <w:rPr>
          <w:rFonts w:ascii="Lato" w:hAnsi="Lato"/>
        </w:rPr>
        <w:t xml:space="preserve">Na terenie Gminy </w:t>
      </w:r>
      <w:r w:rsidR="00806A76" w:rsidRPr="00DB4AAD">
        <w:rPr>
          <w:rFonts w:ascii="Lato" w:hAnsi="Lato"/>
        </w:rPr>
        <w:t xml:space="preserve">Pabianice </w:t>
      </w:r>
      <w:r w:rsidRPr="00DB4AAD">
        <w:rPr>
          <w:rFonts w:ascii="Lato" w:hAnsi="Lato"/>
        </w:rPr>
        <w:t>obecnie nie funkcjonuje system ciepłowniczy. Odbiorcy ciepła zasilani są poprzez źródła indywidualne</w:t>
      </w:r>
      <w:r w:rsidR="00951FBC" w:rsidRPr="00DB4AAD">
        <w:rPr>
          <w:rFonts w:ascii="Lato" w:hAnsi="Lato"/>
        </w:rPr>
        <w:t xml:space="preserve">. </w:t>
      </w:r>
      <w:r w:rsidR="00C21A3B" w:rsidRPr="00DB4AAD">
        <w:rPr>
          <w:rFonts w:ascii="Lato" w:hAnsi="Lato"/>
        </w:rPr>
        <w:t>Na terenie M</w:t>
      </w:r>
      <w:r w:rsidR="00D03562">
        <w:rPr>
          <w:rFonts w:ascii="Lato" w:hAnsi="Lato"/>
        </w:rPr>
        <w:t>iasta Pabianice sąsiadującego z </w:t>
      </w:r>
      <w:r w:rsidR="00C21A3B" w:rsidRPr="00DB4AAD">
        <w:rPr>
          <w:rFonts w:ascii="Lato" w:hAnsi="Lato"/>
        </w:rPr>
        <w:t>Gminą Pabianice</w:t>
      </w:r>
      <w:r w:rsidR="00DB4AAD">
        <w:rPr>
          <w:rFonts w:ascii="Lato" w:hAnsi="Lato"/>
        </w:rPr>
        <w:t>,</w:t>
      </w:r>
      <w:r w:rsidR="00C21A3B" w:rsidRPr="00DB4AAD">
        <w:rPr>
          <w:rFonts w:ascii="Lato" w:hAnsi="Lato"/>
        </w:rPr>
        <w:t xml:space="preserve"> zlokalizowany jest system ciepłowniczy</w:t>
      </w:r>
      <w:r w:rsidR="00DB4AAD">
        <w:rPr>
          <w:rFonts w:ascii="Lato" w:hAnsi="Lato"/>
        </w:rPr>
        <w:t>,</w:t>
      </w:r>
      <w:r w:rsidR="00C21A3B" w:rsidRPr="00DB4AAD">
        <w:t xml:space="preserve"> </w:t>
      </w:r>
      <w:r w:rsidR="00DB4AAD" w:rsidRPr="00DB4AAD">
        <w:rPr>
          <w:rFonts w:ascii="Lato" w:hAnsi="Lato"/>
        </w:rPr>
        <w:t xml:space="preserve">zarządzany przez </w:t>
      </w:r>
      <w:r w:rsidR="00C21A3B" w:rsidRPr="00DB4AAD">
        <w:rPr>
          <w:rFonts w:ascii="Lato" w:hAnsi="Lato"/>
        </w:rPr>
        <w:t xml:space="preserve">Zakład Energetyki Cieplnej Sp. z o.o., </w:t>
      </w:r>
      <w:r w:rsidR="00951FBC" w:rsidRPr="00DB4AAD">
        <w:rPr>
          <w:rFonts w:ascii="Lato" w:hAnsi="Lato"/>
        </w:rPr>
        <w:t>który jednak obsługuje jedynie część miejską.</w:t>
      </w:r>
    </w:p>
    <w:p w:rsidR="00D461E0" w:rsidRPr="00951FBC" w:rsidRDefault="00D461E0" w:rsidP="00A803AA">
      <w:pPr>
        <w:ind w:firstLine="709"/>
        <w:rPr>
          <w:rFonts w:ascii="Lato" w:hAnsi="Lato"/>
        </w:rPr>
      </w:pPr>
    </w:p>
    <w:p w:rsidR="0093133B" w:rsidRPr="00713438" w:rsidRDefault="0093133B" w:rsidP="00AB431C">
      <w:pPr>
        <w:pStyle w:val="Akapitzlist"/>
        <w:keepNext/>
        <w:numPr>
          <w:ilvl w:val="2"/>
          <w:numId w:val="38"/>
        </w:numPr>
        <w:tabs>
          <w:tab w:val="left" w:pos="709"/>
        </w:tabs>
        <w:spacing w:before="180" w:after="180" w:line="288" w:lineRule="auto"/>
        <w:ind w:left="709" w:hanging="709"/>
        <w:jc w:val="both"/>
        <w:outlineLvl w:val="2"/>
        <w:rPr>
          <w:rFonts w:ascii="Lato" w:hAnsi="Lato"/>
          <w:bCs/>
          <w:color w:val="365F91"/>
          <w:lang w:eastAsia="en-US"/>
        </w:rPr>
      </w:pPr>
      <w:bookmarkStart w:id="128" w:name="_Toc20218510"/>
      <w:r w:rsidRPr="00713438">
        <w:rPr>
          <w:rFonts w:ascii="Lato" w:hAnsi="Lato"/>
          <w:bCs/>
          <w:color w:val="365F91"/>
          <w:lang w:eastAsia="en-US"/>
        </w:rPr>
        <w:t>System gazowniczy</w:t>
      </w:r>
      <w:bookmarkEnd w:id="128"/>
    </w:p>
    <w:p w:rsidR="005B2758" w:rsidRPr="00713438" w:rsidRDefault="005B2758" w:rsidP="00AB431C">
      <w:pPr>
        <w:pStyle w:val="Nagwek4"/>
        <w:numPr>
          <w:ilvl w:val="3"/>
          <w:numId w:val="38"/>
        </w:numPr>
        <w:ind w:left="993" w:right="52" w:hanging="993"/>
        <w:jc w:val="both"/>
        <w:rPr>
          <w:rFonts w:ascii="Lato" w:hAnsi="Lato"/>
          <w:b w:val="0"/>
          <w:i w:val="0"/>
          <w:color w:val="365F91"/>
          <w:sz w:val="22"/>
          <w:szCs w:val="22"/>
        </w:rPr>
      </w:pPr>
      <w:r w:rsidRPr="00713438">
        <w:rPr>
          <w:rFonts w:ascii="Lato" w:hAnsi="Lato"/>
          <w:b w:val="0"/>
          <w:i w:val="0"/>
          <w:color w:val="365F91"/>
          <w:sz w:val="22"/>
          <w:szCs w:val="22"/>
        </w:rPr>
        <w:t>Informacje ogólne</w:t>
      </w:r>
    </w:p>
    <w:p w:rsidR="00F73385" w:rsidRPr="00D352C4" w:rsidRDefault="00C0398D" w:rsidP="00C0398D">
      <w:pPr>
        <w:ind w:firstLine="709"/>
        <w:jc w:val="both"/>
        <w:rPr>
          <w:rFonts w:ascii="Lato" w:hAnsi="Lato"/>
          <w:iCs/>
          <w:highlight w:val="yellow"/>
        </w:rPr>
      </w:pPr>
      <w:r w:rsidRPr="00C0398D">
        <w:rPr>
          <w:rFonts w:ascii="Lato" w:hAnsi="Lato"/>
          <w:iCs/>
        </w:rPr>
        <w:t xml:space="preserve">Operatorem oraz właścicielem infrastruktury gazowej średniego </w:t>
      </w:r>
      <w:r w:rsidR="007D3A82" w:rsidRPr="00C0398D">
        <w:rPr>
          <w:rFonts w:ascii="Lato" w:hAnsi="Lato"/>
          <w:iCs/>
        </w:rPr>
        <w:t xml:space="preserve">oraz </w:t>
      </w:r>
      <w:r w:rsidR="007D3A82">
        <w:rPr>
          <w:rFonts w:ascii="Lato" w:hAnsi="Lato"/>
          <w:iCs/>
        </w:rPr>
        <w:t xml:space="preserve">wysokiego </w:t>
      </w:r>
      <w:r w:rsidRPr="00C0398D">
        <w:rPr>
          <w:rFonts w:ascii="Lato" w:hAnsi="Lato"/>
          <w:iCs/>
        </w:rPr>
        <w:t xml:space="preserve">ciśnienia na terenie Gminy Pabianice jest Polska Spółka Gazownictwa </w:t>
      </w:r>
      <w:r>
        <w:rPr>
          <w:rFonts w:ascii="Lato" w:hAnsi="Lato"/>
          <w:iCs/>
        </w:rPr>
        <w:t>S</w:t>
      </w:r>
      <w:r w:rsidRPr="00C0398D">
        <w:rPr>
          <w:rFonts w:ascii="Lato" w:hAnsi="Lato"/>
          <w:iCs/>
        </w:rPr>
        <w:t xml:space="preserve">p. z o.o. oddział w Warszawie. </w:t>
      </w:r>
      <w:r w:rsidR="004846EF">
        <w:rPr>
          <w:rFonts w:ascii="Lato" w:hAnsi="Lato"/>
          <w:iCs/>
        </w:rPr>
        <w:t>Na </w:t>
      </w:r>
      <w:r w:rsidR="004846EF" w:rsidRPr="004846EF">
        <w:rPr>
          <w:rFonts w:ascii="Lato" w:hAnsi="Lato"/>
          <w:iCs/>
        </w:rPr>
        <w:t xml:space="preserve">terenie gminy nie występują gazociągi wysokiego ciśnienia </w:t>
      </w:r>
      <w:r w:rsidR="00052C99">
        <w:rPr>
          <w:rFonts w:ascii="Lato" w:hAnsi="Lato"/>
          <w:iCs/>
        </w:rPr>
        <w:t xml:space="preserve">ani urządzenia </w:t>
      </w:r>
      <w:r w:rsidR="004846EF" w:rsidRPr="004846EF">
        <w:rPr>
          <w:rFonts w:ascii="Lato" w:hAnsi="Lato"/>
          <w:iCs/>
        </w:rPr>
        <w:t>eksploatowane przez Gaz-System S.A.</w:t>
      </w:r>
    </w:p>
    <w:p w:rsidR="00F27357" w:rsidRPr="00C0398D" w:rsidRDefault="00F27357" w:rsidP="00F73385">
      <w:pPr>
        <w:ind w:firstLine="360"/>
        <w:jc w:val="both"/>
        <w:rPr>
          <w:rFonts w:ascii="Lato" w:hAnsi="Lato"/>
          <w:iCs/>
        </w:rPr>
      </w:pPr>
    </w:p>
    <w:p w:rsidR="00F73385" w:rsidRPr="00C0398D" w:rsidRDefault="0006260E" w:rsidP="00F73385">
      <w:pPr>
        <w:jc w:val="center"/>
        <w:rPr>
          <w:rFonts w:ascii="Lato" w:hAnsi="Lato"/>
          <w:iCs/>
        </w:rPr>
      </w:pPr>
      <w:r>
        <w:rPr>
          <w:rFonts w:ascii="Lato" w:hAnsi="Lato"/>
          <w:noProof/>
        </w:rPr>
        <w:lastRenderedPageBreak/>
        <w:drawing>
          <wp:inline distT="0" distB="0" distL="0" distR="0" wp14:anchorId="0DCE13AA" wp14:editId="35D51C2D">
            <wp:extent cx="3072130" cy="2691130"/>
            <wp:effectExtent l="0" t="0" r="0" b="0"/>
            <wp:docPr id="20" name="Obraz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32"/>
                    <pic:cNvPicPr>
                      <a:picLocks noChangeAspect="1" noChangeArrowheads="1"/>
                    </pic:cNvPicPr>
                  </pic:nvPicPr>
                  <pic:blipFill>
                    <a:blip r:embed="rId33">
                      <a:extLst>
                        <a:ext uri="{28A0092B-C50C-407E-A947-70E740481C1C}">
                          <a14:useLocalDpi xmlns:a14="http://schemas.microsoft.com/office/drawing/2010/main" val="0"/>
                        </a:ext>
                      </a:extLst>
                    </a:blip>
                    <a:srcRect l="17384" t="17862" r="49123" b="35185"/>
                    <a:stretch>
                      <a:fillRect/>
                    </a:stretch>
                  </pic:blipFill>
                  <pic:spPr bwMode="auto">
                    <a:xfrm>
                      <a:off x="0" y="0"/>
                      <a:ext cx="3072130" cy="2691130"/>
                    </a:xfrm>
                    <a:prstGeom prst="rect">
                      <a:avLst/>
                    </a:prstGeom>
                    <a:noFill/>
                    <a:ln>
                      <a:noFill/>
                    </a:ln>
                  </pic:spPr>
                </pic:pic>
              </a:graphicData>
            </a:graphic>
          </wp:inline>
        </w:drawing>
      </w:r>
    </w:p>
    <w:p w:rsidR="00F73385" w:rsidRPr="00C0398D" w:rsidRDefault="00F73385" w:rsidP="00F73385">
      <w:pPr>
        <w:spacing w:line="240" w:lineRule="auto"/>
        <w:jc w:val="center"/>
        <w:rPr>
          <w:rFonts w:ascii="Lato" w:hAnsi="Lato"/>
          <w:b/>
          <w:color w:val="1F497D"/>
          <w:sz w:val="20"/>
          <w:szCs w:val="20"/>
        </w:rPr>
      </w:pPr>
      <w:bookmarkStart w:id="129" w:name="_Toc20219226"/>
      <w:r w:rsidRPr="00C0398D">
        <w:rPr>
          <w:rFonts w:ascii="Lato" w:hAnsi="Lato"/>
          <w:b/>
          <w:color w:val="1F497D"/>
          <w:sz w:val="20"/>
          <w:szCs w:val="20"/>
        </w:rPr>
        <w:t xml:space="preserve">Rysunek </w:t>
      </w:r>
      <w:r w:rsidR="004042AE" w:rsidRPr="00C0398D">
        <w:rPr>
          <w:rFonts w:ascii="Lato" w:hAnsi="Lato"/>
          <w:b/>
          <w:color w:val="1F497D"/>
          <w:sz w:val="20"/>
          <w:szCs w:val="20"/>
        </w:rPr>
        <w:fldChar w:fldCharType="begin"/>
      </w:r>
      <w:r w:rsidR="005430ED" w:rsidRPr="00C0398D">
        <w:rPr>
          <w:rFonts w:ascii="Lato" w:hAnsi="Lato"/>
          <w:b/>
          <w:color w:val="1F497D"/>
          <w:sz w:val="20"/>
          <w:szCs w:val="20"/>
        </w:rPr>
        <w:instrText xml:space="preserve"> STYLEREF 1 \s </w:instrText>
      </w:r>
      <w:r w:rsidR="004042AE" w:rsidRPr="00C0398D">
        <w:rPr>
          <w:rFonts w:ascii="Lato" w:hAnsi="Lato"/>
          <w:b/>
          <w:color w:val="1F497D"/>
          <w:sz w:val="20"/>
          <w:szCs w:val="20"/>
        </w:rPr>
        <w:fldChar w:fldCharType="separate"/>
      </w:r>
      <w:r w:rsidR="0040205B">
        <w:rPr>
          <w:rFonts w:ascii="Lato" w:hAnsi="Lato"/>
          <w:b/>
          <w:noProof/>
          <w:color w:val="1F497D"/>
          <w:sz w:val="20"/>
          <w:szCs w:val="20"/>
        </w:rPr>
        <w:t>2</w:t>
      </w:r>
      <w:r w:rsidR="004042AE" w:rsidRPr="00C0398D">
        <w:rPr>
          <w:rFonts w:ascii="Lato" w:hAnsi="Lato"/>
          <w:b/>
          <w:color w:val="1F497D"/>
          <w:sz w:val="20"/>
          <w:szCs w:val="20"/>
        </w:rPr>
        <w:fldChar w:fldCharType="end"/>
      </w:r>
      <w:r w:rsidR="005430ED" w:rsidRPr="00C0398D">
        <w:rPr>
          <w:rFonts w:ascii="Lato" w:hAnsi="Lato"/>
          <w:b/>
          <w:color w:val="1F497D"/>
          <w:sz w:val="20"/>
          <w:szCs w:val="20"/>
        </w:rPr>
        <w:noBreakHyphen/>
      </w:r>
      <w:r w:rsidR="004042AE" w:rsidRPr="00C0398D">
        <w:rPr>
          <w:rFonts w:ascii="Lato" w:hAnsi="Lato"/>
          <w:b/>
          <w:color w:val="1F497D"/>
          <w:sz w:val="20"/>
          <w:szCs w:val="20"/>
        </w:rPr>
        <w:fldChar w:fldCharType="begin"/>
      </w:r>
      <w:r w:rsidR="005430ED" w:rsidRPr="00C0398D">
        <w:rPr>
          <w:rFonts w:ascii="Lato" w:hAnsi="Lato"/>
          <w:b/>
          <w:color w:val="1F497D"/>
          <w:sz w:val="20"/>
          <w:szCs w:val="20"/>
        </w:rPr>
        <w:instrText xml:space="preserve"> SEQ Rysunek \* ARABIC \s 1 </w:instrText>
      </w:r>
      <w:r w:rsidR="004042AE" w:rsidRPr="00C0398D">
        <w:rPr>
          <w:rFonts w:ascii="Lato" w:hAnsi="Lato"/>
          <w:b/>
          <w:color w:val="1F497D"/>
          <w:sz w:val="20"/>
          <w:szCs w:val="20"/>
        </w:rPr>
        <w:fldChar w:fldCharType="separate"/>
      </w:r>
      <w:r w:rsidR="0040205B">
        <w:rPr>
          <w:rFonts w:ascii="Lato" w:hAnsi="Lato"/>
          <w:b/>
          <w:noProof/>
          <w:color w:val="1F497D"/>
          <w:sz w:val="20"/>
          <w:szCs w:val="20"/>
        </w:rPr>
        <w:t>7</w:t>
      </w:r>
      <w:r w:rsidR="004042AE" w:rsidRPr="00C0398D">
        <w:rPr>
          <w:rFonts w:ascii="Lato" w:hAnsi="Lato"/>
          <w:b/>
          <w:color w:val="1F497D"/>
          <w:sz w:val="20"/>
          <w:szCs w:val="20"/>
        </w:rPr>
        <w:fldChar w:fldCharType="end"/>
      </w:r>
      <w:r w:rsidRPr="00C0398D">
        <w:rPr>
          <w:rFonts w:ascii="Lato" w:hAnsi="Lato"/>
          <w:b/>
          <w:color w:val="1F497D"/>
          <w:sz w:val="20"/>
          <w:szCs w:val="20"/>
        </w:rPr>
        <w:t xml:space="preserve"> Schemat funkcjonowania oddziałów PSG w Polsce</w:t>
      </w:r>
      <w:bookmarkEnd w:id="129"/>
    </w:p>
    <w:p w:rsidR="00F73385" w:rsidRPr="00C0398D" w:rsidRDefault="00F73385" w:rsidP="0073689C">
      <w:pPr>
        <w:pStyle w:val="Tekstpodstawowy"/>
        <w:jc w:val="center"/>
        <w:rPr>
          <w:rFonts w:ascii="Lato" w:hAnsi="Lato" w:cs="Times New Roman"/>
          <w:i/>
          <w:sz w:val="18"/>
          <w:szCs w:val="20"/>
          <w:highlight w:val="yellow"/>
        </w:rPr>
      </w:pPr>
      <w:r w:rsidRPr="00C0398D">
        <w:rPr>
          <w:rFonts w:ascii="Lato" w:hAnsi="Lato" w:cs="Times New Roman"/>
          <w:i/>
          <w:sz w:val="18"/>
          <w:szCs w:val="20"/>
        </w:rPr>
        <w:t>Źródło: PSG</w:t>
      </w:r>
    </w:p>
    <w:p w:rsidR="00C0398D" w:rsidRDefault="00C0398D" w:rsidP="00F73385">
      <w:pPr>
        <w:ind w:firstLine="360"/>
        <w:jc w:val="both"/>
        <w:rPr>
          <w:rFonts w:ascii="Lato" w:hAnsi="Lato"/>
          <w:iCs/>
        </w:rPr>
      </w:pPr>
    </w:p>
    <w:p w:rsidR="00D774F3" w:rsidRPr="00CF3C3B" w:rsidRDefault="00D774F3" w:rsidP="00CF3C3B">
      <w:pPr>
        <w:ind w:firstLine="709"/>
        <w:jc w:val="both"/>
        <w:rPr>
          <w:rFonts w:ascii="Lato" w:hAnsi="Lato"/>
          <w:iCs/>
        </w:rPr>
      </w:pPr>
      <w:r w:rsidRPr="00CF3C3B">
        <w:rPr>
          <w:rFonts w:ascii="Lato" w:hAnsi="Lato"/>
          <w:iCs/>
        </w:rPr>
        <w:t xml:space="preserve">W poniższej tabeli zamieszczono informacje dotyczące </w:t>
      </w:r>
      <w:r w:rsidR="007D3A82">
        <w:rPr>
          <w:rFonts w:ascii="Lato" w:hAnsi="Lato"/>
          <w:iCs/>
        </w:rPr>
        <w:t>długości sieci</w:t>
      </w:r>
      <w:r w:rsidRPr="00CF3C3B">
        <w:rPr>
          <w:rFonts w:ascii="Lato" w:hAnsi="Lato"/>
          <w:iCs/>
        </w:rPr>
        <w:t xml:space="preserve"> gazowej na terenie Gminy </w:t>
      </w:r>
      <w:r w:rsidR="008F182C" w:rsidRPr="00CF3C3B">
        <w:rPr>
          <w:rFonts w:ascii="Lato" w:hAnsi="Lato"/>
          <w:iCs/>
        </w:rPr>
        <w:t>Pabianice</w:t>
      </w:r>
      <w:r w:rsidRPr="00CF3C3B">
        <w:rPr>
          <w:rFonts w:ascii="Lato" w:hAnsi="Lato"/>
          <w:iCs/>
        </w:rPr>
        <w:t xml:space="preserve"> w latach 201</w:t>
      </w:r>
      <w:r w:rsidR="007D1623" w:rsidRPr="00CF3C3B">
        <w:rPr>
          <w:rFonts w:ascii="Lato" w:hAnsi="Lato"/>
          <w:iCs/>
        </w:rPr>
        <w:t>6</w:t>
      </w:r>
      <w:r w:rsidR="000F2422">
        <w:rPr>
          <w:rFonts w:ascii="Lato" w:hAnsi="Lato"/>
          <w:iCs/>
        </w:rPr>
        <w:t>-</w:t>
      </w:r>
      <w:r w:rsidRPr="00CF3C3B">
        <w:rPr>
          <w:rFonts w:ascii="Lato" w:hAnsi="Lato"/>
          <w:iCs/>
        </w:rPr>
        <w:t>201</w:t>
      </w:r>
      <w:r w:rsidR="007D1623" w:rsidRPr="00CF3C3B">
        <w:rPr>
          <w:rFonts w:ascii="Lato" w:hAnsi="Lato"/>
          <w:iCs/>
        </w:rPr>
        <w:t>8</w:t>
      </w:r>
      <w:r w:rsidRPr="00CF3C3B">
        <w:rPr>
          <w:rFonts w:ascii="Lato" w:hAnsi="Lato"/>
          <w:iCs/>
        </w:rPr>
        <w:t>.</w:t>
      </w:r>
    </w:p>
    <w:p w:rsidR="00CF3C3B" w:rsidRPr="00CF3C3B" w:rsidRDefault="00CF3C3B" w:rsidP="00CF3C3B">
      <w:pPr>
        <w:ind w:firstLine="709"/>
        <w:jc w:val="both"/>
        <w:rPr>
          <w:rFonts w:ascii="Lato" w:hAnsi="Lato"/>
          <w:iCs/>
        </w:rPr>
      </w:pPr>
    </w:p>
    <w:p w:rsidR="00F27357" w:rsidRPr="00CF3C3B" w:rsidRDefault="008F182C" w:rsidP="008F182C">
      <w:pPr>
        <w:spacing w:before="120" w:after="120" w:line="240" w:lineRule="auto"/>
        <w:ind w:firstLine="0"/>
        <w:jc w:val="both"/>
        <w:rPr>
          <w:rFonts w:ascii="Lato" w:hAnsi="Lato"/>
          <w:b/>
          <w:color w:val="1F497D"/>
          <w:sz w:val="20"/>
          <w:szCs w:val="20"/>
        </w:rPr>
      </w:pPr>
      <w:bookmarkStart w:id="130" w:name="_Toc20219170"/>
      <w:r w:rsidRPr="00CF3C3B">
        <w:rPr>
          <w:rFonts w:ascii="Lato" w:hAnsi="Lato"/>
          <w:b/>
          <w:color w:val="1F497D"/>
          <w:sz w:val="20"/>
          <w:szCs w:val="20"/>
        </w:rPr>
        <w:t xml:space="preserve">Tabela </w:t>
      </w:r>
      <w:r w:rsidRPr="00CF3C3B">
        <w:rPr>
          <w:rFonts w:ascii="Lato" w:hAnsi="Lato"/>
          <w:b/>
          <w:color w:val="1F497D"/>
          <w:sz w:val="20"/>
          <w:szCs w:val="20"/>
        </w:rPr>
        <w:fldChar w:fldCharType="begin"/>
      </w:r>
      <w:r w:rsidRPr="00CF3C3B">
        <w:rPr>
          <w:rFonts w:ascii="Lato" w:hAnsi="Lato"/>
          <w:b/>
          <w:color w:val="1F497D"/>
          <w:sz w:val="20"/>
          <w:szCs w:val="20"/>
        </w:rPr>
        <w:instrText xml:space="preserve"> STYLEREF 1 \s </w:instrText>
      </w:r>
      <w:r w:rsidRPr="00CF3C3B">
        <w:rPr>
          <w:rFonts w:ascii="Lato" w:hAnsi="Lato"/>
          <w:b/>
          <w:color w:val="1F497D"/>
          <w:sz w:val="20"/>
          <w:szCs w:val="20"/>
        </w:rPr>
        <w:fldChar w:fldCharType="separate"/>
      </w:r>
      <w:r w:rsidR="0040205B">
        <w:rPr>
          <w:rFonts w:ascii="Lato" w:hAnsi="Lato"/>
          <w:b/>
          <w:noProof/>
          <w:color w:val="1F497D"/>
          <w:sz w:val="20"/>
          <w:szCs w:val="20"/>
        </w:rPr>
        <w:t>2</w:t>
      </w:r>
      <w:r w:rsidRPr="00CF3C3B">
        <w:rPr>
          <w:rFonts w:ascii="Lato" w:hAnsi="Lato"/>
          <w:b/>
          <w:color w:val="1F497D"/>
          <w:sz w:val="20"/>
          <w:szCs w:val="20"/>
        </w:rPr>
        <w:fldChar w:fldCharType="end"/>
      </w:r>
      <w:r w:rsidRPr="00CF3C3B">
        <w:rPr>
          <w:rFonts w:ascii="Lato" w:hAnsi="Lato"/>
          <w:b/>
          <w:color w:val="1F497D"/>
          <w:sz w:val="20"/>
          <w:szCs w:val="20"/>
        </w:rPr>
        <w:noBreakHyphen/>
      </w:r>
      <w:r w:rsidRPr="00CF3C3B">
        <w:rPr>
          <w:rFonts w:ascii="Lato" w:hAnsi="Lato"/>
          <w:b/>
          <w:color w:val="1F497D"/>
          <w:sz w:val="20"/>
          <w:szCs w:val="20"/>
        </w:rPr>
        <w:fldChar w:fldCharType="begin"/>
      </w:r>
      <w:r w:rsidRPr="00CF3C3B">
        <w:rPr>
          <w:rFonts w:ascii="Lato" w:hAnsi="Lato"/>
          <w:b/>
          <w:color w:val="1F497D"/>
          <w:sz w:val="20"/>
          <w:szCs w:val="20"/>
        </w:rPr>
        <w:instrText xml:space="preserve"> SEQ Tabela \* ARABIC \s 1 </w:instrText>
      </w:r>
      <w:r w:rsidRPr="00CF3C3B">
        <w:rPr>
          <w:rFonts w:ascii="Lato" w:hAnsi="Lato"/>
          <w:b/>
          <w:color w:val="1F497D"/>
          <w:sz w:val="20"/>
          <w:szCs w:val="20"/>
        </w:rPr>
        <w:fldChar w:fldCharType="separate"/>
      </w:r>
      <w:r w:rsidR="0040205B">
        <w:rPr>
          <w:rFonts w:ascii="Lato" w:hAnsi="Lato"/>
          <w:b/>
          <w:noProof/>
          <w:color w:val="1F497D"/>
          <w:sz w:val="20"/>
          <w:szCs w:val="20"/>
        </w:rPr>
        <w:t>4</w:t>
      </w:r>
      <w:r w:rsidRPr="00CF3C3B">
        <w:rPr>
          <w:rFonts w:ascii="Lato" w:hAnsi="Lato"/>
          <w:b/>
          <w:color w:val="1F497D"/>
          <w:sz w:val="20"/>
          <w:szCs w:val="20"/>
        </w:rPr>
        <w:fldChar w:fldCharType="end"/>
      </w:r>
      <w:r w:rsidRPr="00CF3C3B">
        <w:rPr>
          <w:rFonts w:ascii="Lato" w:hAnsi="Lato"/>
          <w:b/>
          <w:color w:val="1F497D"/>
          <w:sz w:val="20"/>
          <w:szCs w:val="20"/>
        </w:rPr>
        <w:t xml:space="preserve"> Długość sieci gazowej </w:t>
      </w:r>
      <w:r w:rsidR="00CF3C3B" w:rsidRPr="00CF3C3B">
        <w:rPr>
          <w:rFonts w:ascii="Lato" w:hAnsi="Lato"/>
          <w:b/>
          <w:color w:val="1F497D"/>
          <w:sz w:val="20"/>
          <w:szCs w:val="20"/>
        </w:rPr>
        <w:t xml:space="preserve">na terenie </w:t>
      </w:r>
      <w:r w:rsidR="007103D0">
        <w:rPr>
          <w:rFonts w:ascii="Lato" w:hAnsi="Lato"/>
          <w:b/>
          <w:color w:val="1F497D"/>
          <w:sz w:val="20"/>
          <w:szCs w:val="20"/>
        </w:rPr>
        <w:t>G</w:t>
      </w:r>
      <w:r w:rsidR="00CF3C3B" w:rsidRPr="00CF3C3B">
        <w:rPr>
          <w:rFonts w:ascii="Lato" w:hAnsi="Lato"/>
          <w:b/>
          <w:color w:val="1F497D"/>
          <w:sz w:val="20"/>
          <w:szCs w:val="20"/>
        </w:rPr>
        <w:t>miny</w:t>
      </w:r>
      <w:r w:rsidR="007103D0">
        <w:rPr>
          <w:rFonts w:ascii="Lato" w:hAnsi="Lato"/>
          <w:b/>
          <w:color w:val="1F497D"/>
          <w:sz w:val="20"/>
          <w:szCs w:val="20"/>
        </w:rPr>
        <w:t xml:space="preserve"> Pabianice</w:t>
      </w:r>
      <w:bookmarkEnd w:id="130"/>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3937"/>
        <w:gridCol w:w="2975"/>
        <w:gridCol w:w="2717"/>
      </w:tblGrid>
      <w:tr w:rsidR="008F182C" w:rsidRPr="00CF3C3B" w:rsidTr="00CF3C3B">
        <w:trPr>
          <w:cantSplit/>
          <w:trHeight w:val="493"/>
          <w:tblHeader/>
          <w:jc w:val="center"/>
        </w:trPr>
        <w:tc>
          <w:tcPr>
            <w:tcW w:w="2044" w:type="pct"/>
            <w:vMerge w:val="restart"/>
            <w:tcBorders>
              <w:top w:val="single" w:sz="4" w:space="0" w:color="4F81BD"/>
              <w:left w:val="single" w:sz="4" w:space="0" w:color="4F81BD"/>
              <w:right w:val="single" w:sz="4" w:space="0" w:color="4F81BD"/>
            </w:tcBorders>
            <w:shd w:val="clear" w:color="auto" w:fill="DBE5F1"/>
            <w:vAlign w:val="center"/>
          </w:tcPr>
          <w:p w:rsidR="008F182C" w:rsidRPr="00CF3C3B" w:rsidRDefault="008F182C" w:rsidP="00CF3C3B">
            <w:pPr>
              <w:spacing w:line="240" w:lineRule="auto"/>
              <w:ind w:firstLine="0"/>
              <w:jc w:val="center"/>
              <w:rPr>
                <w:rFonts w:ascii="Lato" w:hAnsi="Lato"/>
                <w:b/>
                <w:iCs/>
                <w:color w:val="1F497D"/>
                <w:sz w:val="20"/>
                <w:szCs w:val="20"/>
              </w:rPr>
            </w:pPr>
            <w:r w:rsidRPr="00CF3C3B">
              <w:rPr>
                <w:rFonts w:ascii="Lato" w:hAnsi="Lato"/>
                <w:b/>
                <w:iCs/>
                <w:color w:val="1F497D"/>
                <w:sz w:val="20"/>
                <w:szCs w:val="20"/>
              </w:rPr>
              <w:t>Stan na dzień 31 grudnia</w:t>
            </w:r>
          </w:p>
        </w:tc>
        <w:tc>
          <w:tcPr>
            <w:tcW w:w="2956" w:type="pct"/>
            <w:gridSpan w:val="2"/>
            <w:tcBorders>
              <w:top w:val="single" w:sz="4" w:space="0" w:color="4F81BD"/>
              <w:left w:val="single" w:sz="4" w:space="0" w:color="4F81BD"/>
              <w:bottom w:val="single" w:sz="4" w:space="0" w:color="4F81BD"/>
              <w:right w:val="single" w:sz="4" w:space="0" w:color="4F81BD"/>
            </w:tcBorders>
            <w:shd w:val="clear" w:color="auto" w:fill="DBE5F1"/>
            <w:vAlign w:val="center"/>
          </w:tcPr>
          <w:p w:rsidR="008F182C" w:rsidRPr="00CF3C3B" w:rsidRDefault="008F182C" w:rsidP="00CF3C3B">
            <w:pPr>
              <w:spacing w:line="240" w:lineRule="auto"/>
              <w:ind w:firstLine="0"/>
              <w:jc w:val="center"/>
              <w:rPr>
                <w:rFonts w:ascii="Lato" w:hAnsi="Lato"/>
                <w:b/>
                <w:iCs/>
                <w:color w:val="1F497D"/>
                <w:sz w:val="20"/>
                <w:szCs w:val="20"/>
              </w:rPr>
            </w:pPr>
            <w:r w:rsidRPr="00CF3C3B">
              <w:rPr>
                <w:rFonts w:ascii="Lato" w:hAnsi="Lato"/>
                <w:b/>
                <w:iCs/>
                <w:color w:val="1F497D"/>
                <w:sz w:val="20"/>
                <w:szCs w:val="20"/>
              </w:rPr>
              <w:t>Długość sieci rozdzielczej, m</w:t>
            </w:r>
          </w:p>
        </w:tc>
      </w:tr>
      <w:tr w:rsidR="008F182C" w:rsidRPr="00CF3C3B" w:rsidTr="00CF3C3B">
        <w:trPr>
          <w:cantSplit/>
          <w:trHeight w:val="493"/>
          <w:tblHeader/>
          <w:jc w:val="center"/>
        </w:trPr>
        <w:tc>
          <w:tcPr>
            <w:tcW w:w="2044" w:type="pct"/>
            <w:vMerge/>
            <w:tcBorders>
              <w:left w:val="single" w:sz="4" w:space="0" w:color="4F81BD"/>
              <w:bottom w:val="single" w:sz="4" w:space="0" w:color="4F81BD"/>
              <w:right w:val="single" w:sz="4" w:space="0" w:color="4F81BD"/>
            </w:tcBorders>
            <w:shd w:val="clear" w:color="auto" w:fill="DBE5F1"/>
            <w:vAlign w:val="center"/>
          </w:tcPr>
          <w:p w:rsidR="008F182C" w:rsidRPr="00CF3C3B" w:rsidRDefault="008F182C" w:rsidP="00CF3C3B">
            <w:pPr>
              <w:spacing w:line="240" w:lineRule="auto"/>
              <w:ind w:firstLine="0"/>
              <w:jc w:val="center"/>
              <w:rPr>
                <w:rFonts w:ascii="Lato" w:hAnsi="Lato"/>
                <w:b/>
                <w:iCs/>
                <w:color w:val="1F497D"/>
                <w:sz w:val="20"/>
                <w:szCs w:val="20"/>
              </w:rPr>
            </w:pPr>
          </w:p>
        </w:tc>
        <w:tc>
          <w:tcPr>
            <w:tcW w:w="1545" w:type="pct"/>
            <w:tcBorders>
              <w:top w:val="single" w:sz="4" w:space="0" w:color="4F81BD"/>
              <w:left w:val="single" w:sz="4" w:space="0" w:color="4F81BD"/>
              <w:bottom w:val="single" w:sz="4" w:space="0" w:color="4F81BD"/>
              <w:right w:val="single" w:sz="4" w:space="0" w:color="4F81BD"/>
            </w:tcBorders>
            <w:shd w:val="clear" w:color="auto" w:fill="DBE5F1"/>
            <w:vAlign w:val="center"/>
          </w:tcPr>
          <w:p w:rsidR="008F182C" w:rsidRPr="00CF3C3B" w:rsidRDefault="008F182C" w:rsidP="00CF3C3B">
            <w:pPr>
              <w:spacing w:line="240" w:lineRule="auto"/>
              <w:ind w:firstLine="0"/>
              <w:jc w:val="center"/>
              <w:rPr>
                <w:rFonts w:ascii="Lato" w:hAnsi="Lato"/>
                <w:b/>
                <w:iCs/>
                <w:color w:val="1F497D"/>
                <w:sz w:val="20"/>
                <w:szCs w:val="20"/>
              </w:rPr>
            </w:pPr>
            <w:r w:rsidRPr="00CF3C3B">
              <w:rPr>
                <w:rFonts w:ascii="Lato" w:hAnsi="Lato"/>
                <w:b/>
                <w:iCs/>
                <w:color w:val="1F497D"/>
                <w:sz w:val="20"/>
                <w:szCs w:val="20"/>
              </w:rPr>
              <w:t>Ogółem</w:t>
            </w:r>
          </w:p>
        </w:tc>
        <w:tc>
          <w:tcPr>
            <w:tcW w:w="1411" w:type="pct"/>
            <w:tcBorders>
              <w:top w:val="single" w:sz="4" w:space="0" w:color="4F81BD"/>
              <w:left w:val="single" w:sz="4" w:space="0" w:color="4F81BD"/>
              <w:bottom w:val="single" w:sz="4" w:space="0" w:color="4F81BD"/>
              <w:right w:val="single" w:sz="4" w:space="0" w:color="4F81BD"/>
            </w:tcBorders>
            <w:shd w:val="clear" w:color="auto" w:fill="DBE5F1"/>
            <w:vAlign w:val="center"/>
          </w:tcPr>
          <w:p w:rsidR="008F182C" w:rsidRPr="00CF3C3B" w:rsidRDefault="008F182C" w:rsidP="00CF3C3B">
            <w:pPr>
              <w:spacing w:line="240" w:lineRule="auto"/>
              <w:ind w:firstLine="0"/>
              <w:jc w:val="center"/>
              <w:rPr>
                <w:rFonts w:ascii="Lato" w:hAnsi="Lato"/>
                <w:b/>
                <w:iCs/>
                <w:color w:val="1F497D"/>
                <w:sz w:val="20"/>
                <w:szCs w:val="20"/>
              </w:rPr>
            </w:pPr>
            <w:r w:rsidRPr="00CF3C3B">
              <w:rPr>
                <w:rFonts w:ascii="Lato" w:hAnsi="Lato"/>
                <w:b/>
                <w:iCs/>
                <w:color w:val="1F497D"/>
                <w:sz w:val="20"/>
                <w:szCs w:val="20"/>
              </w:rPr>
              <w:t>Średniego ciśnienia</w:t>
            </w:r>
          </w:p>
        </w:tc>
      </w:tr>
      <w:tr w:rsidR="008F182C" w:rsidRPr="00CF3C3B" w:rsidTr="00CF3C3B">
        <w:trPr>
          <w:trHeight w:val="70"/>
          <w:jc w:val="center"/>
        </w:trPr>
        <w:tc>
          <w:tcPr>
            <w:tcW w:w="2044" w:type="pct"/>
            <w:tcBorders>
              <w:top w:val="single" w:sz="4" w:space="0" w:color="4F81BD"/>
              <w:left w:val="single" w:sz="4" w:space="0" w:color="4F81BD"/>
              <w:bottom w:val="single" w:sz="4" w:space="0" w:color="4F81BD"/>
              <w:right w:val="single" w:sz="4" w:space="0" w:color="4F81BD"/>
            </w:tcBorders>
          </w:tcPr>
          <w:p w:rsidR="008F182C" w:rsidRPr="00CF3C3B" w:rsidRDefault="008F182C" w:rsidP="00CF3C3B">
            <w:pPr>
              <w:ind w:firstLine="0"/>
              <w:jc w:val="center"/>
              <w:rPr>
                <w:rFonts w:ascii="Lato" w:hAnsi="Lato"/>
                <w:color w:val="1F497D"/>
                <w:sz w:val="20"/>
                <w:szCs w:val="20"/>
              </w:rPr>
            </w:pPr>
            <w:r w:rsidRPr="00CF3C3B">
              <w:rPr>
                <w:rFonts w:ascii="Lato" w:hAnsi="Lato"/>
                <w:color w:val="1F497D"/>
                <w:sz w:val="20"/>
                <w:szCs w:val="20"/>
              </w:rPr>
              <w:t>2016</w:t>
            </w:r>
          </w:p>
        </w:tc>
        <w:tc>
          <w:tcPr>
            <w:tcW w:w="1545" w:type="pct"/>
            <w:tcBorders>
              <w:top w:val="single" w:sz="4" w:space="0" w:color="4F81BD"/>
              <w:left w:val="single" w:sz="4" w:space="0" w:color="4F81BD"/>
              <w:bottom w:val="single" w:sz="4" w:space="0" w:color="4F81BD"/>
              <w:right w:val="single" w:sz="4" w:space="0" w:color="4F81BD"/>
            </w:tcBorders>
            <w:vAlign w:val="center"/>
          </w:tcPr>
          <w:p w:rsidR="008F182C" w:rsidRPr="00CF3C3B" w:rsidRDefault="00CF3C3B" w:rsidP="00CF3C3B">
            <w:pPr>
              <w:ind w:firstLine="0"/>
              <w:jc w:val="center"/>
              <w:rPr>
                <w:rFonts w:ascii="Lato" w:hAnsi="Lato"/>
                <w:color w:val="1F497D"/>
                <w:sz w:val="20"/>
                <w:szCs w:val="20"/>
              </w:rPr>
            </w:pPr>
            <w:r w:rsidRPr="00CF3C3B">
              <w:rPr>
                <w:rFonts w:ascii="Lato" w:hAnsi="Lato"/>
                <w:color w:val="1F497D"/>
                <w:sz w:val="20"/>
                <w:szCs w:val="20"/>
              </w:rPr>
              <w:t>15 143</w:t>
            </w:r>
          </w:p>
        </w:tc>
        <w:tc>
          <w:tcPr>
            <w:tcW w:w="1411" w:type="pct"/>
            <w:tcBorders>
              <w:top w:val="single" w:sz="4" w:space="0" w:color="4F81BD"/>
              <w:left w:val="single" w:sz="4" w:space="0" w:color="4F81BD"/>
              <w:bottom w:val="single" w:sz="4" w:space="0" w:color="4F81BD"/>
              <w:right w:val="single" w:sz="4" w:space="0" w:color="4F81BD"/>
            </w:tcBorders>
            <w:vAlign w:val="center"/>
          </w:tcPr>
          <w:p w:rsidR="008F182C" w:rsidRPr="00CF3C3B" w:rsidRDefault="00CF3C3B" w:rsidP="00CF3C3B">
            <w:pPr>
              <w:ind w:firstLine="0"/>
              <w:jc w:val="center"/>
              <w:rPr>
                <w:rFonts w:ascii="Lato" w:hAnsi="Lato"/>
                <w:color w:val="1F497D"/>
                <w:sz w:val="20"/>
                <w:szCs w:val="20"/>
              </w:rPr>
            </w:pPr>
            <w:r w:rsidRPr="00CF3C3B">
              <w:rPr>
                <w:rFonts w:ascii="Lato" w:hAnsi="Lato"/>
                <w:color w:val="1F497D"/>
                <w:sz w:val="20"/>
                <w:szCs w:val="20"/>
              </w:rPr>
              <w:t>4 275</w:t>
            </w:r>
          </w:p>
        </w:tc>
      </w:tr>
      <w:tr w:rsidR="008F182C" w:rsidRPr="00CF3C3B" w:rsidTr="00CF3C3B">
        <w:trPr>
          <w:jc w:val="center"/>
        </w:trPr>
        <w:tc>
          <w:tcPr>
            <w:tcW w:w="2044" w:type="pct"/>
            <w:tcBorders>
              <w:top w:val="single" w:sz="4" w:space="0" w:color="4F81BD"/>
              <w:left w:val="single" w:sz="4" w:space="0" w:color="4F81BD"/>
              <w:bottom w:val="single" w:sz="4" w:space="0" w:color="4F81BD"/>
              <w:right w:val="single" w:sz="4" w:space="0" w:color="4F81BD"/>
            </w:tcBorders>
          </w:tcPr>
          <w:p w:rsidR="008F182C" w:rsidRPr="00CF3C3B" w:rsidRDefault="008F182C" w:rsidP="00CF3C3B">
            <w:pPr>
              <w:ind w:firstLine="0"/>
              <w:jc w:val="center"/>
              <w:rPr>
                <w:rFonts w:ascii="Lato" w:hAnsi="Lato"/>
                <w:color w:val="1F497D"/>
                <w:sz w:val="20"/>
                <w:szCs w:val="20"/>
              </w:rPr>
            </w:pPr>
            <w:r w:rsidRPr="00CF3C3B">
              <w:rPr>
                <w:rFonts w:ascii="Lato" w:hAnsi="Lato"/>
                <w:color w:val="1F497D"/>
                <w:sz w:val="20"/>
                <w:szCs w:val="20"/>
              </w:rPr>
              <w:t>2017</w:t>
            </w:r>
          </w:p>
        </w:tc>
        <w:tc>
          <w:tcPr>
            <w:tcW w:w="1545" w:type="pct"/>
            <w:tcBorders>
              <w:top w:val="single" w:sz="4" w:space="0" w:color="4F81BD"/>
              <w:left w:val="single" w:sz="4" w:space="0" w:color="4F81BD"/>
              <w:bottom w:val="single" w:sz="4" w:space="0" w:color="4F81BD"/>
              <w:right w:val="single" w:sz="4" w:space="0" w:color="4F81BD"/>
            </w:tcBorders>
            <w:vAlign w:val="center"/>
          </w:tcPr>
          <w:p w:rsidR="008F182C" w:rsidRPr="00CF3C3B" w:rsidRDefault="00CF3C3B" w:rsidP="00CF3C3B">
            <w:pPr>
              <w:ind w:firstLine="0"/>
              <w:jc w:val="center"/>
              <w:rPr>
                <w:rFonts w:ascii="Lato" w:hAnsi="Lato"/>
                <w:color w:val="1F497D"/>
                <w:sz w:val="20"/>
                <w:szCs w:val="20"/>
              </w:rPr>
            </w:pPr>
            <w:r w:rsidRPr="00CF3C3B">
              <w:rPr>
                <w:rFonts w:ascii="Lato" w:hAnsi="Lato"/>
                <w:color w:val="1F497D"/>
                <w:sz w:val="20"/>
                <w:szCs w:val="20"/>
              </w:rPr>
              <w:t>15 366</w:t>
            </w:r>
          </w:p>
        </w:tc>
        <w:tc>
          <w:tcPr>
            <w:tcW w:w="1411" w:type="pct"/>
            <w:tcBorders>
              <w:top w:val="single" w:sz="4" w:space="0" w:color="4F81BD"/>
              <w:left w:val="single" w:sz="4" w:space="0" w:color="4F81BD"/>
              <w:bottom w:val="single" w:sz="4" w:space="0" w:color="4F81BD"/>
              <w:right w:val="single" w:sz="4" w:space="0" w:color="4F81BD"/>
            </w:tcBorders>
            <w:vAlign w:val="center"/>
          </w:tcPr>
          <w:p w:rsidR="008F182C" w:rsidRPr="00CF3C3B" w:rsidRDefault="00CF3C3B" w:rsidP="00CF3C3B">
            <w:pPr>
              <w:ind w:firstLine="0"/>
              <w:jc w:val="center"/>
              <w:rPr>
                <w:rFonts w:ascii="Lato" w:hAnsi="Lato"/>
                <w:color w:val="1F497D"/>
                <w:sz w:val="20"/>
                <w:szCs w:val="20"/>
              </w:rPr>
            </w:pPr>
            <w:r w:rsidRPr="00CF3C3B">
              <w:rPr>
                <w:rFonts w:ascii="Lato" w:hAnsi="Lato"/>
                <w:color w:val="1F497D"/>
                <w:sz w:val="20"/>
                <w:szCs w:val="20"/>
              </w:rPr>
              <w:t>4 498</w:t>
            </w:r>
          </w:p>
        </w:tc>
      </w:tr>
      <w:tr w:rsidR="008F182C" w:rsidRPr="00CF3C3B" w:rsidTr="00CF3C3B">
        <w:trPr>
          <w:jc w:val="center"/>
        </w:trPr>
        <w:tc>
          <w:tcPr>
            <w:tcW w:w="2044" w:type="pct"/>
            <w:tcBorders>
              <w:top w:val="single" w:sz="4" w:space="0" w:color="4F81BD"/>
              <w:left w:val="single" w:sz="4" w:space="0" w:color="4F81BD"/>
              <w:bottom w:val="single" w:sz="4" w:space="0" w:color="4F81BD"/>
              <w:right w:val="single" w:sz="4" w:space="0" w:color="4F81BD"/>
            </w:tcBorders>
          </w:tcPr>
          <w:p w:rsidR="008F182C" w:rsidRPr="00CF3C3B" w:rsidRDefault="008F182C" w:rsidP="00CF3C3B">
            <w:pPr>
              <w:ind w:firstLine="0"/>
              <w:jc w:val="center"/>
              <w:rPr>
                <w:rFonts w:ascii="Lato" w:hAnsi="Lato"/>
                <w:color w:val="1F497D"/>
                <w:sz w:val="20"/>
                <w:szCs w:val="20"/>
              </w:rPr>
            </w:pPr>
            <w:r w:rsidRPr="00CF3C3B">
              <w:rPr>
                <w:rFonts w:ascii="Lato" w:hAnsi="Lato"/>
                <w:color w:val="1F497D"/>
                <w:sz w:val="20"/>
                <w:szCs w:val="20"/>
              </w:rPr>
              <w:t>2018</w:t>
            </w:r>
          </w:p>
        </w:tc>
        <w:tc>
          <w:tcPr>
            <w:tcW w:w="1545" w:type="pct"/>
            <w:tcBorders>
              <w:top w:val="single" w:sz="4" w:space="0" w:color="4F81BD"/>
              <w:left w:val="single" w:sz="4" w:space="0" w:color="4F81BD"/>
              <w:bottom w:val="single" w:sz="4" w:space="0" w:color="4F81BD"/>
              <w:right w:val="single" w:sz="4" w:space="0" w:color="4F81BD"/>
            </w:tcBorders>
            <w:vAlign w:val="center"/>
          </w:tcPr>
          <w:p w:rsidR="008F182C" w:rsidRPr="00CF3C3B" w:rsidRDefault="00CF3C3B" w:rsidP="00CF3C3B">
            <w:pPr>
              <w:ind w:firstLine="0"/>
              <w:jc w:val="center"/>
              <w:rPr>
                <w:rFonts w:ascii="Lato" w:hAnsi="Lato"/>
                <w:color w:val="1F497D"/>
                <w:sz w:val="20"/>
                <w:szCs w:val="20"/>
              </w:rPr>
            </w:pPr>
            <w:r w:rsidRPr="00CF3C3B">
              <w:rPr>
                <w:rFonts w:ascii="Lato" w:hAnsi="Lato"/>
                <w:color w:val="1F497D"/>
                <w:sz w:val="20"/>
                <w:szCs w:val="20"/>
              </w:rPr>
              <w:t>15 928</w:t>
            </w:r>
          </w:p>
        </w:tc>
        <w:tc>
          <w:tcPr>
            <w:tcW w:w="1411" w:type="pct"/>
            <w:tcBorders>
              <w:top w:val="single" w:sz="4" w:space="0" w:color="4F81BD"/>
              <w:left w:val="single" w:sz="4" w:space="0" w:color="4F81BD"/>
              <w:bottom w:val="single" w:sz="4" w:space="0" w:color="4F81BD"/>
              <w:right w:val="single" w:sz="4" w:space="0" w:color="4F81BD"/>
            </w:tcBorders>
            <w:vAlign w:val="center"/>
          </w:tcPr>
          <w:p w:rsidR="008F182C" w:rsidRPr="00CF3C3B" w:rsidRDefault="00CF3C3B" w:rsidP="00CF3C3B">
            <w:pPr>
              <w:ind w:firstLine="0"/>
              <w:jc w:val="center"/>
              <w:rPr>
                <w:rFonts w:ascii="Lato" w:hAnsi="Lato"/>
                <w:color w:val="1F497D"/>
                <w:sz w:val="20"/>
                <w:szCs w:val="20"/>
              </w:rPr>
            </w:pPr>
            <w:r w:rsidRPr="00CF3C3B">
              <w:rPr>
                <w:rFonts w:ascii="Lato" w:hAnsi="Lato"/>
                <w:color w:val="1F497D"/>
                <w:sz w:val="20"/>
                <w:szCs w:val="20"/>
              </w:rPr>
              <w:t>4 746</w:t>
            </w:r>
          </w:p>
        </w:tc>
      </w:tr>
    </w:tbl>
    <w:p w:rsidR="007103D0" w:rsidRPr="007D3A82" w:rsidRDefault="007103D0" w:rsidP="007103D0">
      <w:pPr>
        <w:pStyle w:val="Tekstpodstawowy"/>
        <w:jc w:val="center"/>
        <w:rPr>
          <w:rFonts w:ascii="Lato" w:hAnsi="Lato" w:cs="Times New Roman"/>
          <w:i/>
          <w:sz w:val="18"/>
          <w:szCs w:val="20"/>
        </w:rPr>
      </w:pPr>
      <w:r w:rsidRPr="007D3A82">
        <w:rPr>
          <w:rFonts w:ascii="Lato" w:hAnsi="Lato" w:cs="Times New Roman"/>
          <w:i/>
          <w:sz w:val="18"/>
          <w:szCs w:val="20"/>
        </w:rPr>
        <w:t>Źródło: PSG</w:t>
      </w:r>
    </w:p>
    <w:p w:rsidR="008F182C" w:rsidRDefault="008F182C" w:rsidP="00F73385">
      <w:pPr>
        <w:ind w:firstLine="360"/>
        <w:jc w:val="both"/>
        <w:rPr>
          <w:rFonts w:ascii="Lato" w:hAnsi="Lato"/>
          <w:iCs/>
        </w:rPr>
      </w:pPr>
    </w:p>
    <w:p w:rsidR="008F182C" w:rsidRPr="008F182C" w:rsidRDefault="008F182C" w:rsidP="00617C1D">
      <w:pPr>
        <w:ind w:firstLine="709"/>
        <w:jc w:val="both"/>
        <w:rPr>
          <w:rFonts w:ascii="Lato" w:hAnsi="Lato"/>
          <w:iCs/>
        </w:rPr>
      </w:pPr>
      <w:r w:rsidRPr="008F182C">
        <w:rPr>
          <w:rFonts w:ascii="Lato" w:hAnsi="Lato"/>
          <w:iCs/>
        </w:rPr>
        <w:t xml:space="preserve">Z danych </w:t>
      </w:r>
      <w:r w:rsidR="005468EB">
        <w:rPr>
          <w:rFonts w:ascii="Lato" w:hAnsi="Lato"/>
          <w:iCs/>
        </w:rPr>
        <w:t xml:space="preserve">przesłanych przez </w:t>
      </w:r>
      <w:r w:rsidR="007103D0">
        <w:rPr>
          <w:rFonts w:ascii="Lato" w:hAnsi="Lato"/>
          <w:iCs/>
        </w:rPr>
        <w:t>PSG</w:t>
      </w:r>
      <w:r w:rsidRPr="008F182C">
        <w:rPr>
          <w:rFonts w:ascii="Lato" w:hAnsi="Lato"/>
          <w:iCs/>
        </w:rPr>
        <w:t xml:space="preserve"> wynika, że </w:t>
      </w:r>
      <w:r w:rsidR="007103D0" w:rsidRPr="008F182C">
        <w:rPr>
          <w:rFonts w:ascii="Lato" w:hAnsi="Lato"/>
          <w:iCs/>
        </w:rPr>
        <w:t>zgazyfikowan</w:t>
      </w:r>
      <w:r w:rsidR="007103D0">
        <w:rPr>
          <w:rFonts w:ascii="Lato" w:hAnsi="Lato"/>
          <w:iCs/>
        </w:rPr>
        <w:t>a</w:t>
      </w:r>
      <w:r w:rsidR="007103D0" w:rsidRPr="008F182C">
        <w:rPr>
          <w:rFonts w:ascii="Lato" w:hAnsi="Lato"/>
          <w:iCs/>
        </w:rPr>
        <w:t xml:space="preserve"> jest </w:t>
      </w:r>
      <w:r w:rsidR="007103D0" w:rsidRPr="0003431E">
        <w:rPr>
          <w:rFonts w:ascii="Lato" w:hAnsi="Lato"/>
          <w:iCs/>
        </w:rPr>
        <w:t>niewielka część gminy</w:t>
      </w:r>
      <w:r w:rsidRPr="0003431E">
        <w:rPr>
          <w:rFonts w:ascii="Lato" w:hAnsi="Lato"/>
          <w:iCs/>
        </w:rPr>
        <w:t xml:space="preserve"> </w:t>
      </w:r>
      <w:r w:rsidR="007103D0" w:rsidRPr="0003431E">
        <w:rPr>
          <w:rFonts w:ascii="Lato" w:hAnsi="Lato"/>
          <w:iCs/>
        </w:rPr>
        <w:t>(</w:t>
      </w:r>
      <w:r w:rsidRPr="0003431E">
        <w:rPr>
          <w:rFonts w:ascii="Lato" w:hAnsi="Lato"/>
          <w:iCs/>
        </w:rPr>
        <w:t>sołectw</w:t>
      </w:r>
      <w:r w:rsidR="007103D0" w:rsidRPr="0003431E">
        <w:rPr>
          <w:rFonts w:ascii="Lato" w:hAnsi="Lato"/>
          <w:iCs/>
        </w:rPr>
        <w:t>a</w:t>
      </w:r>
      <w:r w:rsidRPr="0003431E">
        <w:rPr>
          <w:rFonts w:ascii="Lato" w:hAnsi="Lato"/>
          <w:iCs/>
        </w:rPr>
        <w:t xml:space="preserve"> Piątkowisko</w:t>
      </w:r>
      <w:r w:rsidR="007103D0" w:rsidRPr="0003431E">
        <w:rPr>
          <w:rFonts w:ascii="Lato" w:hAnsi="Lato"/>
          <w:iCs/>
        </w:rPr>
        <w:t>, Szynkielew</w:t>
      </w:r>
      <w:r w:rsidR="00EF76D8" w:rsidRPr="0003431E">
        <w:rPr>
          <w:rFonts w:ascii="Lato" w:hAnsi="Lato"/>
          <w:iCs/>
        </w:rPr>
        <w:t>; mapa w zał</w:t>
      </w:r>
      <w:r w:rsidR="0017217E" w:rsidRPr="0003431E">
        <w:rPr>
          <w:rFonts w:ascii="Lato" w:hAnsi="Lato"/>
          <w:iCs/>
        </w:rPr>
        <w:t>ą</w:t>
      </w:r>
      <w:r w:rsidR="00EF76D8" w:rsidRPr="0003431E">
        <w:rPr>
          <w:rFonts w:ascii="Lato" w:hAnsi="Lato"/>
          <w:iCs/>
        </w:rPr>
        <w:t>czniku</w:t>
      </w:r>
      <w:r w:rsidR="0017217E" w:rsidRPr="0003431E">
        <w:rPr>
          <w:rFonts w:ascii="Lato" w:hAnsi="Lato"/>
          <w:iCs/>
        </w:rPr>
        <w:t xml:space="preserve"> nr </w:t>
      </w:r>
      <w:r w:rsidR="008D7DA8">
        <w:rPr>
          <w:rFonts w:ascii="Lato" w:hAnsi="Lato"/>
          <w:iCs/>
        </w:rPr>
        <w:t>4</w:t>
      </w:r>
      <w:r w:rsidR="007103D0" w:rsidRPr="0003431E">
        <w:rPr>
          <w:rFonts w:ascii="Lato" w:hAnsi="Lato"/>
          <w:iCs/>
        </w:rPr>
        <w:t>)</w:t>
      </w:r>
      <w:r w:rsidR="005468EB" w:rsidRPr="0003431E">
        <w:rPr>
          <w:rFonts w:ascii="Lato" w:hAnsi="Lato"/>
          <w:iCs/>
        </w:rPr>
        <w:t xml:space="preserve">, </w:t>
      </w:r>
      <w:r w:rsidRPr="0003431E">
        <w:rPr>
          <w:rFonts w:ascii="Lato" w:hAnsi="Lato"/>
          <w:iCs/>
        </w:rPr>
        <w:t>jednak dłu</w:t>
      </w:r>
      <w:r w:rsidRPr="008F182C">
        <w:rPr>
          <w:rFonts w:ascii="Lato" w:hAnsi="Lato"/>
          <w:iCs/>
        </w:rPr>
        <w:t xml:space="preserve">gość sieci </w:t>
      </w:r>
      <w:r w:rsidR="005468EB">
        <w:rPr>
          <w:rFonts w:ascii="Lato" w:hAnsi="Lato"/>
          <w:iCs/>
        </w:rPr>
        <w:t>rozdzielczej</w:t>
      </w:r>
      <w:r w:rsidRPr="008F182C">
        <w:rPr>
          <w:rFonts w:ascii="Lato" w:hAnsi="Lato"/>
          <w:iCs/>
        </w:rPr>
        <w:t xml:space="preserve"> wzrasta</w:t>
      </w:r>
      <w:r w:rsidR="005468EB">
        <w:rPr>
          <w:rFonts w:ascii="Lato" w:hAnsi="Lato"/>
          <w:iCs/>
        </w:rPr>
        <w:t>,</w:t>
      </w:r>
      <w:r w:rsidRPr="008F182C">
        <w:rPr>
          <w:rFonts w:ascii="Lato" w:hAnsi="Lato"/>
          <w:iCs/>
        </w:rPr>
        <w:t xml:space="preserve"> co wskazywałoby na sukcesywny rozwój systemu gazowniczego na terenie gminy.</w:t>
      </w:r>
    </w:p>
    <w:p w:rsidR="008F182C" w:rsidRDefault="008F182C" w:rsidP="00617C1D">
      <w:pPr>
        <w:ind w:firstLine="851"/>
        <w:jc w:val="both"/>
        <w:rPr>
          <w:rFonts w:ascii="Lato" w:hAnsi="Lato"/>
          <w:iCs/>
        </w:rPr>
      </w:pPr>
      <w:r w:rsidRPr="008F182C">
        <w:rPr>
          <w:rFonts w:ascii="Lato" w:hAnsi="Lato"/>
          <w:iCs/>
        </w:rPr>
        <w:t>Na terenie gminy znajduje si</w:t>
      </w:r>
      <w:r w:rsidR="005468EB">
        <w:rPr>
          <w:rFonts w:ascii="Lato" w:hAnsi="Lato"/>
          <w:iCs/>
        </w:rPr>
        <w:t>ę</w:t>
      </w:r>
      <w:r w:rsidR="007D3A82">
        <w:rPr>
          <w:rFonts w:ascii="Lato" w:hAnsi="Lato"/>
          <w:iCs/>
        </w:rPr>
        <w:t xml:space="preserve"> również</w:t>
      </w:r>
      <w:r w:rsidR="005468EB">
        <w:rPr>
          <w:rFonts w:ascii="Lato" w:hAnsi="Lato"/>
          <w:iCs/>
        </w:rPr>
        <w:t xml:space="preserve"> jedna stacja gazowa I stopnia - </w:t>
      </w:r>
      <w:r w:rsidRPr="008F182C">
        <w:rPr>
          <w:rFonts w:ascii="Lato" w:hAnsi="Lato"/>
          <w:iCs/>
        </w:rPr>
        <w:t>SRP I</w:t>
      </w:r>
      <w:r w:rsidRPr="005468EB">
        <w:rPr>
          <w:rFonts w:ascii="Lato" w:hAnsi="Lato"/>
          <w:iCs/>
          <w:vertAlign w:val="superscript"/>
        </w:rPr>
        <w:t>o</w:t>
      </w:r>
      <w:r w:rsidR="007D3A82">
        <w:rPr>
          <w:rFonts w:ascii="Lato" w:hAnsi="Lato"/>
          <w:iCs/>
        </w:rPr>
        <w:t xml:space="preserve"> Szynkielew o </w:t>
      </w:r>
      <w:r w:rsidRPr="008F182C">
        <w:rPr>
          <w:rFonts w:ascii="Lato" w:hAnsi="Lato"/>
          <w:iCs/>
        </w:rPr>
        <w:t xml:space="preserve">wydajności Q=9000 m3/h </w:t>
      </w:r>
      <w:r w:rsidRPr="007D3A82">
        <w:rPr>
          <w:rFonts w:ascii="Lato" w:hAnsi="Lato"/>
          <w:iCs/>
        </w:rPr>
        <w:t>gazu</w:t>
      </w:r>
      <w:r w:rsidR="007D3A82" w:rsidRPr="007D3A82">
        <w:rPr>
          <w:rFonts w:ascii="Lato" w:hAnsi="Lato"/>
          <w:iCs/>
        </w:rPr>
        <w:t>,</w:t>
      </w:r>
      <w:r w:rsidR="007D3A82" w:rsidRPr="007D3A82">
        <w:rPr>
          <w:rFonts w:ascii="Lato" w:hAnsi="Lato"/>
        </w:rPr>
        <w:t xml:space="preserve"> w dobrym stanie technicznym</w:t>
      </w:r>
      <w:r w:rsidRPr="007D3A82">
        <w:rPr>
          <w:rFonts w:ascii="Lato" w:hAnsi="Lato"/>
          <w:iCs/>
        </w:rPr>
        <w:t>.</w:t>
      </w:r>
    </w:p>
    <w:p w:rsidR="008F182C" w:rsidRPr="00D352C4" w:rsidRDefault="008F182C" w:rsidP="00F73385">
      <w:pPr>
        <w:ind w:firstLine="360"/>
        <w:jc w:val="both"/>
        <w:rPr>
          <w:rFonts w:ascii="Lato" w:hAnsi="Lato"/>
          <w:iCs/>
          <w:highlight w:val="yellow"/>
        </w:rPr>
      </w:pPr>
    </w:p>
    <w:p w:rsidR="00276020" w:rsidRPr="007D3A82" w:rsidRDefault="00276020" w:rsidP="00AB431C">
      <w:pPr>
        <w:pStyle w:val="Nagwek4"/>
        <w:numPr>
          <w:ilvl w:val="3"/>
          <w:numId w:val="59"/>
        </w:numPr>
        <w:ind w:left="993" w:right="52" w:hanging="993"/>
        <w:jc w:val="both"/>
        <w:rPr>
          <w:rFonts w:ascii="Lato" w:hAnsi="Lato"/>
          <w:b w:val="0"/>
          <w:i w:val="0"/>
          <w:color w:val="365F91"/>
        </w:rPr>
      </w:pPr>
      <w:r w:rsidRPr="007D3A82">
        <w:rPr>
          <w:rFonts w:ascii="Lato" w:hAnsi="Lato"/>
          <w:b w:val="0"/>
          <w:i w:val="0"/>
          <w:color w:val="365F91"/>
        </w:rPr>
        <w:t xml:space="preserve">Odbiorcy i zużycie gazu </w:t>
      </w:r>
    </w:p>
    <w:p w:rsidR="00F73385" w:rsidRPr="009E77EE" w:rsidRDefault="00F73385" w:rsidP="00617C1D">
      <w:pPr>
        <w:ind w:firstLine="709"/>
        <w:jc w:val="both"/>
        <w:rPr>
          <w:rFonts w:ascii="Lato" w:hAnsi="Lato"/>
        </w:rPr>
      </w:pPr>
      <w:r w:rsidRPr="009E77EE">
        <w:rPr>
          <w:rFonts w:ascii="Lato" w:hAnsi="Lato"/>
        </w:rPr>
        <w:t xml:space="preserve">W poniższych tabelach przedstawiono liczbę użytkowników oraz </w:t>
      </w:r>
      <w:r w:rsidR="009E77EE" w:rsidRPr="009E77EE">
        <w:rPr>
          <w:rFonts w:ascii="Lato" w:hAnsi="Lato"/>
        </w:rPr>
        <w:t xml:space="preserve">zużycie </w:t>
      </w:r>
      <w:r w:rsidRPr="009E77EE">
        <w:rPr>
          <w:rFonts w:ascii="Lato" w:hAnsi="Lato"/>
        </w:rPr>
        <w:t>gazu ziemnego w podziale na poszczególne grupy</w:t>
      </w:r>
      <w:r w:rsidR="009E77EE" w:rsidRPr="009E77EE">
        <w:rPr>
          <w:rFonts w:ascii="Lato" w:hAnsi="Lato"/>
        </w:rPr>
        <w:t xml:space="preserve"> odbiorów oraz grupy taryfowe</w:t>
      </w:r>
      <w:r w:rsidRPr="009E77EE">
        <w:rPr>
          <w:rFonts w:ascii="Lato" w:hAnsi="Lato"/>
        </w:rPr>
        <w:t xml:space="preserve"> na obszarze </w:t>
      </w:r>
      <w:r w:rsidR="003F2240" w:rsidRPr="009E77EE">
        <w:rPr>
          <w:rFonts w:ascii="Lato" w:hAnsi="Lato"/>
        </w:rPr>
        <w:t xml:space="preserve">Gminy </w:t>
      </w:r>
      <w:r w:rsidR="00FC51E1" w:rsidRPr="009E77EE">
        <w:rPr>
          <w:rFonts w:ascii="Lato" w:hAnsi="Lato"/>
        </w:rPr>
        <w:t>Pabianice</w:t>
      </w:r>
      <w:r w:rsidR="009E77EE" w:rsidRPr="009E77EE">
        <w:rPr>
          <w:rFonts w:ascii="Lato" w:hAnsi="Lato"/>
        </w:rPr>
        <w:t xml:space="preserve"> Z </w:t>
      </w:r>
      <w:r w:rsidRPr="009E77EE">
        <w:rPr>
          <w:rFonts w:ascii="Lato" w:hAnsi="Lato"/>
        </w:rPr>
        <w:t xml:space="preserve">przedstawionych danych wynika, że największym odbiorcą w zakresie zużycia gazu ziemnego </w:t>
      </w:r>
      <w:r w:rsidR="00D03562">
        <w:rPr>
          <w:rFonts w:ascii="Lato" w:hAnsi="Lato"/>
        </w:rPr>
        <w:t>są </w:t>
      </w:r>
      <w:r w:rsidR="009E77EE" w:rsidRPr="009E77EE">
        <w:rPr>
          <w:rFonts w:ascii="Lato" w:hAnsi="Lato"/>
        </w:rPr>
        <w:t xml:space="preserve">gospodarstwa domowe wykorzystujące gaz do ogrzewania. </w:t>
      </w:r>
    </w:p>
    <w:p w:rsidR="00F27357" w:rsidRPr="00D352C4" w:rsidRDefault="00F27357" w:rsidP="00F73385">
      <w:pPr>
        <w:jc w:val="both"/>
        <w:rPr>
          <w:rFonts w:ascii="Lato" w:hAnsi="Lato"/>
          <w:highlight w:val="yellow"/>
        </w:rPr>
      </w:pPr>
    </w:p>
    <w:p w:rsidR="00F73385" w:rsidRPr="00D652AB" w:rsidRDefault="00F73385" w:rsidP="00F27357">
      <w:pPr>
        <w:spacing w:before="120" w:after="120" w:line="240" w:lineRule="auto"/>
        <w:ind w:firstLine="0"/>
        <w:jc w:val="both"/>
        <w:rPr>
          <w:rFonts w:ascii="Lato" w:hAnsi="Lato"/>
          <w:b/>
          <w:color w:val="1F497D"/>
          <w:sz w:val="20"/>
          <w:szCs w:val="20"/>
        </w:rPr>
      </w:pPr>
      <w:bookmarkStart w:id="131" w:name="_Toc20219171"/>
      <w:r w:rsidRPr="00D652AB">
        <w:rPr>
          <w:rFonts w:ascii="Lato" w:hAnsi="Lato"/>
          <w:b/>
          <w:color w:val="1F497D"/>
          <w:sz w:val="20"/>
          <w:szCs w:val="20"/>
        </w:rPr>
        <w:lastRenderedPageBreak/>
        <w:t xml:space="preserve">Tabela </w:t>
      </w:r>
      <w:r w:rsidR="004042AE" w:rsidRPr="00D652AB">
        <w:rPr>
          <w:rFonts w:ascii="Lato" w:hAnsi="Lato"/>
          <w:b/>
          <w:color w:val="1F497D"/>
          <w:sz w:val="20"/>
          <w:szCs w:val="20"/>
        </w:rPr>
        <w:fldChar w:fldCharType="begin"/>
      </w:r>
      <w:r w:rsidR="005430ED" w:rsidRPr="00D652AB">
        <w:rPr>
          <w:rFonts w:ascii="Lato" w:hAnsi="Lato"/>
          <w:b/>
          <w:color w:val="1F497D"/>
          <w:sz w:val="20"/>
          <w:szCs w:val="20"/>
        </w:rPr>
        <w:instrText xml:space="preserve"> STYLEREF 1 \s </w:instrText>
      </w:r>
      <w:r w:rsidR="004042AE" w:rsidRPr="00D652AB">
        <w:rPr>
          <w:rFonts w:ascii="Lato" w:hAnsi="Lato"/>
          <w:b/>
          <w:color w:val="1F497D"/>
          <w:sz w:val="20"/>
          <w:szCs w:val="20"/>
        </w:rPr>
        <w:fldChar w:fldCharType="separate"/>
      </w:r>
      <w:r w:rsidR="0040205B">
        <w:rPr>
          <w:rFonts w:ascii="Lato" w:hAnsi="Lato"/>
          <w:b/>
          <w:noProof/>
          <w:color w:val="1F497D"/>
          <w:sz w:val="20"/>
          <w:szCs w:val="20"/>
        </w:rPr>
        <w:t>2</w:t>
      </w:r>
      <w:r w:rsidR="004042AE" w:rsidRPr="00D652AB">
        <w:rPr>
          <w:rFonts w:ascii="Lato" w:hAnsi="Lato"/>
          <w:b/>
          <w:color w:val="1F497D"/>
          <w:sz w:val="20"/>
          <w:szCs w:val="20"/>
        </w:rPr>
        <w:fldChar w:fldCharType="end"/>
      </w:r>
      <w:r w:rsidR="005430ED" w:rsidRPr="00D652AB">
        <w:rPr>
          <w:rFonts w:ascii="Lato" w:hAnsi="Lato"/>
          <w:b/>
          <w:color w:val="1F497D"/>
          <w:sz w:val="20"/>
          <w:szCs w:val="20"/>
        </w:rPr>
        <w:noBreakHyphen/>
      </w:r>
      <w:r w:rsidR="004042AE" w:rsidRPr="00D652AB">
        <w:rPr>
          <w:rFonts w:ascii="Lato" w:hAnsi="Lato"/>
          <w:b/>
          <w:color w:val="1F497D"/>
          <w:sz w:val="20"/>
          <w:szCs w:val="20"/>
        </w:rPr>
        <w:fldChar w:fldCharType="begin"/>
      </w:r>
      <w:r w:rsidR="005430ED" w:rsidRPr="00D652AB">
        <w:rPr>
          <w:rFonts w:ascii="Lato" w:hAnsi="Lato"/>
          <w:b/>
          <w:color w:val="1F497D"/>
          <w:sz w:val="20"/>
          <w:szCs w:val="20"/>
        </w:rPr>
        <w:instrText xml:space="preserve"> SEQ Tabela \* ARABIC \s 1 </w:instrText>
      </w:r>
      <w:r w:rsidR="004042AE" w:rsidRPr="00D652AB">
        <w:rPr>
          <w:rFonts w:ascii="Lato" w:hAnsi="Lato"/>
          <w:b/>
          <w:color w:val="1F497D"/>
          <w:sz w:val="20"/>
          <w:szCs w:val="20"/>
        </w:rPr>
        <w:fldChar w:fldCharType="separate"/>
      </w:r>
      <w:r w:rsidR="0040205B">
        <w:rPr>
          <w:rFonts w:ascii="Lato" w:hAnsi="Lato"/>
          <w:b/>
          <w:noProof/>
          <w:color w:val="1F497D"/>
          <w:sz w:val="20"/>
          <w:szCs w:val="20"/>
        </w:rPr>
        <w:t>5</w:t>
      </w:r>
      <w:r w:rsidR="004042AE" w:rsidRPr="00D652AB">
        <w:rPr>
          <w:rFonts w:ascii="Lato" w:hAnsi="Lato"/>
          <w:b/>
          <w:color w:val="1F497D"/>
          <w:sz w:val="20"/>
          <w:szCs w:val="20"/>
        </w:rPr>
        <w:fldChar w:fldCharType="end"/>
      </w:r>
      <w:r w:rsidRPr="00D652AB">
        <w:rPr>
          <w:rFonts w:ascii="Lato" w:hAnsi="Lato"/>
          <w:b/>
          <w:color w:val="1F497D"/>
          <w:sz w:val="20"/>
          <w:szCs w:val="20"/>
        </w:rPr>
        <w:t xml:space="preserve"> Liczba odbiorców oraz zużycie gazu ziemnego w poszczególnych grupach </w:t>
      </w:r>
      <w:r w:rsidR="00FC51E1">
        <w:rPr>
          <w:rFonts w:ascii="Lato" w:hAnsi="Lato"/>
          <w:b/>
          <w:color w:val="1F497D"/>
          <w:sz w:val="20"/>
          <w:szCs w:val="20"/>
        </w:rPr>
        <w:t>odbiorców</w:t>
      </w:r>
      <w:r w:rsidRPr="00D652AB">
        <w:rPr>
          <w:rFonts w:ascii="Lato" w:hAnsi="Lato"/>
          <w:b/>
          <w:color w:val="1F497D"/>
          <w:sz w:val="20"/>
          <w:szCs w:val="20"/>
        </w:rPr>
        <w:t xml:space="preserve"> na terenie </w:t>
      </w:r>
      <w:r w:rsidR="00B71E13" w:rsidRPr="00D652AB">
        <w:rPr>
          <w:rFonts w:ascii="Lato" w:hAnsi="Lato"/>
          <w:b/>
          <w:color w:val="1F497D"/>
          <w:sz w:val="20"/>
          <w:szCs w:val="20"/>
        </w:rPr>
        <w:t xml:space="preserve">Gminy </w:t>
      </w:r>
      <w:r w:rsidR="00FC51E1">
        <w:rPr>
          <w:rFonts w:ascii="Lato" w:hAnsi="Lato"/>
          <w:b/>
          <w:color w:val="1F497D"/>
          <w:sz w:val="20"/>
          <w:szCs w:val="20"/>
        </w:rPr>
        <w:t>Pabianice</w:t>
      </w:r>
      <w:r w:rsidR="00B71E13" w:rsidRPr="00D652AB">
        <w:rPr>
          <w:rFonts w:ascii="Lato" w:hAnsi="Lato"/>
          <w:b/>
          <w:color w:val="1F497D"/>
          <w:sz w:val="20"/>
          <w:szCs w:val="20"/>
        </w:rPr>
        <w:t xml:space="preserve"> </w:t>
      </w:r>
      <w:r w:rsidRPr="00D652AB">
        <w:rPr>
          <w:rFonts w:ascii="Lato" w:hAnsi="Lato"/>
          <w:b/>
          <w:color w:val="1F497D"/>
          <w:sz w:val="20"/>
          <w:szCs w:val="20"/>
        </w:rPr>
        <w:t>w latach 201</w:t>
      </w:r>
      <w:r w:rsidR="007D1623" w:rsidRPr="00D652AB">
        <w:rPr>
          <w:rFonts w:ascii="Lato" w:hAnsi="Lato"/>
          <w:b/>
          <w:color w:val="1F497D"/>
          <w:sz w:val="20"/>
          <w:szCs w:val="20"/>
        </w:rPr>
        <w:t>6</w:t>
      </w:r>
      <w:r w:rsidRPr="00D652AB">
        <w:rPr>
          <w:rFonts w:ascii="Lato" w:hAnsi="Lato"/>
          <w:b/>
          <w:color w:val="1F497D"/>
          <w:sz w:val="20"/>
          <w:szCs w:val="20"/>
        </w:rPr>
        <w:t>-201</w:t>
      </w:r>
      <w:r w:rsidR="007D1623" w:rsidRPr="00D652AB">
        <w:rPr>
          <w:rFonts w:ascii="Lato" w:hAnsi="Lato"/>
          <w:b/>
          <w:color w:val="1F497D"/>
          <w:sz w:val="20"/>
          <w:szCs w:val="20"/>
        </w:rPr>
        <w:t>8</w:t>
      </w:r>
      <w:bookmarkEnd w:id="131"/>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623"/>
        <w:gridCol w:w="870"/>
        <w:gridCol w:w="870"/>
        <w:gridCol w:w="1265"/>
        <w:gridCol w:w="964"/>
        <w:gridCol w:w="534"/>
        <w:gridCol w:w="870"/>
        <w:gridCol w:w="870"/>
        <w:gridCol w:w="1265"/>
        <w:gridCol w:w="964"/>
        <w:gridCol w:w="534"/>
      </w:tblGrid>
      <w:tr w:rsidR="004A6F6F" w:rsidRPr="004A6F6F" w:rsidTr="00072181">
        <w:trPr>
          <w:cantSplit/>
          <w:trHeight w:val="491"/>
          <w:tblHeader/>
          <w:jc w:val="center"/>
        </w:trPr>
        <w:tc>
          <w:tcPr>
            <w:tcW w:w="0" w:type="auto"/>
            <w:vMerge w:val="restart"/>
            <w:tcBorders>
              <w:top w:val="single" w:sz="4" w:space="0" w:color="4F81BD"/>
              <w:left w:val="single" w:sz="4" w:space="0" w:color="4F81BD"/>
              <w:right w:val="single" w:sz="4" w:space="0" w:color="4F81BD"/>
            </w:tcBorders>
            <w:shd w:val="clear" w:color="auto" w:fill="DBE5F1"/>
            <w:vAlign w:val="center"/>
          </w:tcPr>
          <w:p w:rsidR="00B70D70" w:rsidRPr="00D374F0" w:rsidRDefault="00B70D70"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Rok</w:t>
            </w:r>
          </w:p>
        </w:tc>
        <w:tc>
          <w:tcPr>
            <w:tcW w:w="0" w:type="auto"/>
            <w:gridSpan w:val="5"/>
            <w:tcBorders>
              <w:top w:val="single" w:sz="4" w:space="0" w:color="4F81BD"/>
              <w:left w:val="single" w:sz="4" w:space="0" w:color="4F81BD"/>
              <w:right w:val="single" w:sz="4" w:space="0" w:color="4F81BD"/>
            </w:tcBorders>
            <w:shd w:val="clear" w:color="auto" w:fill="DBE5F1"/>
            <w:vAlign w:val="center"/>
          </w:tcPr>
          <w:p w:rsidR="00B70D70" w:rsidRPr="00D374F0" w:rsidRDefault="00B70D70"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Liczba odbiorców gazu – stan na 31.12.2019 r.</w:t>
            </w:r>
          </w:p>
        </w:tc>
        <w:tc>
          <w:tcPr>
            <w:tcW w:w="0" w:type="auto"/>
            <w:gridSpan w:val="5"/>
            <w:tcBorders>
              <w:top w:val="single" w:sz="4" w:space="0" w:color="4F81BD"/>
              <w:left w:val="single" w:sz="4" w:space="0" w:color="4F81BD"/>
              <w:right w:val="single" w:sz="4" w:space="0" w:color="4F81BD"/>
            </w:tcBorders>
            <w:shd w:val="clear" w:color="auto" w:fill="DBE5F1"/>
            <w:vAlign w:val="center"/>
          </w:tcPr>
          <w:p w:rsidR="00B70D70" w:rsidRPr="00D374F0" w:rsidRDefault="00B70D70"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Zużycie gazu w ciągu roku, tys. m</w:t>
            </w:r>
            <w:r w:rsidRPr="00D374F0">
              <w:rPr>
                <w:rFonts w:ascii="Lato" w:hAnsi="Lato"/>
                <w:b/>
                <w:bCs/>
                <w:color w:val="1F497D"/>
                <w:sz w:val="20"/>
                <w:szCs w:val="20"/>
                <w:vertAlign w:val="superscript"/>
              </w:rPr>
              <w:t>3</w:t>
            </w:r>
          </w:p>
        </w:tc>
      </w:tr>
      <w:tr w:rsidR="004A6F6F" w:rsidRPr="004A6F6F" w:rsidTr="00072181">
        <w:trPr>
          <w:cantSplit/>
          <w:trHeight w:val="491"/>
          <w:tblHeader/>
          <w:jc w:val="center"/>
        </w:trPr>
        <w:tc>
          <w:tcPr>
            <w:tcW w:w="0" w:type="auto"/>
            <w:vMerge/>
            <w:tcBorders>
              <w:left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p>
        </w:tc>
        <w:tc>
          <w:tcPr>
            <w:tcW w:w="0" w:type="auto"/>
            <w:vMerge w:val="restart"/>
            <w:tcBorders>
              <w:left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Ogółem</w:t>
            </w:r>
          </w:p>
        </w:tc>
        <w:tc>
          <w:tcPr>
            <w:tcW w:w="0" w:type="auto"/>
            <w:gridSpan w:val="2"/>
            <w:tcBorders>
              <w:left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Gospodarstwa domowe</w:t>
            </w:r>
          </w:p>
        </w:tc>
        <w:tc>
          <w:tcPr>
            <w:tcW w:w="0" w:type="auto"/>
            <w:vMerge w:val="restart"/>
            <w:tcBorders>
              <w:top w:val="single" w:sz="4" w:space="0" w:color="4F81BD"/>
              <w:left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Przemysł</w:t>
            </w:r>
          </w:p>
        </w:tc>
        <w:tc>
          <w:tcPr>
            <w:tcW w:w="0" w:type="auto"/>
            <w:vMerge w:val="restart"/>
            <w:tcBorders>
              <w:top w:val="single" w:sz="4" w:space="0" w:color="4F81BD"/>
              <w:left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Inni</w:t>
            </w:r>
          </w:p>
        </w:tc>
        <w:tc>
          <w:tcPr>
            <w:tcW w:w="0" w:type="auto"/>
            <w:vMerge w:val="restart"/>
            <w:tcBorders>
              <w:top w:val="single" w:sz="4" w:space="0" w:color="4F81BD"/>
              <w:left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Ogółem</w:t>
            </w:r>
          </w:p>
        </w:tc>
        <w:tc>
          <w:tcPr>
            <w:tcW w:w="0" w:type="auto"/>
            <w:gridSpan w:val="2"/>
            <w:tcBorders>
              <w:top w:val="single" w:sz="4" w:space="0" w:color="4F81BD"/>
              <w:left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Gospodarstwa domowe</w:t>
            </w:r>
          </w:p>
        </w:tc>
        <w:tc>
          <w:tcPr>
            <w:tcW w:w="0" w:type="auto"/>
            <w:vMerge w:val="restart"/>
            <w:tcBorders>
              <w:top w:val="single" w:sz="4" w:space="0" w:color="4F81BD"/>
              <w:left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Przemysł</w:t>
            </w:r>
          </w:p>
        </w:tc>
        <w:tc>
          <w:tcPr>
            <w:tcW w:w="0" w:type="auto"/>
            <w:vMerge w:val="restart"/>
            <w:tcBorders>
              <w:top w:val="single" w:sz="4" w:space="0" w:color="4F81BD"/>
              <w:left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Inni</w:t>
            </w:r>
          </w:p>
        </w:tc>
      </w:tr>
      <w:tr w:rsidR="004A6F6F" w:rsidRPr="004A6F6F" w:rsidTr="00072181">
        <w:trPr>
          <w:trHeight w:val="340"/>
          <w:jc w:val="center"/>
        </w:trPr>
        <w:tc>
          <w:tcPr>
            <w:tcW w:w="0" w:type="auto"/>
            <w:vMerge/>
            <w:tcBorders>
              <w:left w:val="single" w:sz="4" w:space="0" w:color="4F81BD"/>
              <w:bottom w:val="single" w:sz="4" w:space="0" w:color="4F81BD"/>
              <w:right w:val="single" w:sz="4" w:space="0" w:color="4F81BD"/>
            </w:tcBorders>
            <w:shd w:val="clear" w:color="auto" w:fill="DBE5F1"/>
            <w:vAlign w:val="center"/>
          </w:tcPr>
          <w:p w:rsidR="00DB4AAD" w:rsidRPr="00D374F0" w:rsidRDefault="00DB4AAD" w:rsidP="00C209CD">
            <w:pPr>
              <w:spacing w:line="240" w:lineRule="auto"/>
              <w:ind w:firstLine="0"/>
              <w:jc w:val="center"/>
              <w:rPr>
                <w:rFonts w:ascii="Lato" w:hAnsi="Lato"/>
                <w:bCs/>
                <w:color w:val="1F497D"/>
                <w:sz w:val="20"/>
                <w:szCs w:val="20"/>
              </w:rPr>
            </w:pPr>
          </w:p>
        </w:tc>
        <w:tc>
          <w:tcPr>
            <w:tcW w:w="0" w:type="auto"/>
            <w:vMerge/>
            <w:tcBorders>
              <w:left w:val="single" w:sz="4" w:space="0" w:color="4F81BD"/>
              <w:bottom w:val="single" w:sz="4" w:space="0" w:color="4F81BD"/>
              <w:right w:val="single" w:sz="4" w:space="0" w:color="4F81BD"/>
            </w:tcBorders>
            <w:shd w:val="clear" w:color="auto" w:fill="DBE5F1"/>
            <w:vAlign w:val="center"/>
          </w:tcPr>
          <w:p w:rsidR="00DB4AAD" w:rsidRPr="00D374F0" w:rsidRDefault="00DB4AAD" w:rsidP="00C209CD">
            <w:pPr>
              <w:spacing w:line="240" w:lineRule="auto"/>
              <w:ind w:firstLine="0"/>
              <w:jc w:val="center"/>
              <w:rPr>
                <w:rFonts w:ascii="Lato" w:hAnsi="Lato"/>
                <w:bCs/>
                <w:color w:val="1F497D"/>
                <w:sz w:val="20"/>
                <w:szCs w:val="20"/>
              </w:rPr>
            </w:pPr>
          </w:p>
        </w:tc>
        <w:tc>
          <w:tcPr>
            <w:tcW w:w="0" w:type="auto"/>
            <w:tcBorders>
              <w:top w:val="single" w:sz="4" w:space="0" w:color="4F81BD"/>
              <w:left w:val="single" w:sz="4" w:space="0" w:color="4F81BD"/>
              <w:bottom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Ogółem</w:t>
            </w:r>
          </w:p>
        </w:tc>
        <w:tc>
          <w:tcPr>
            <w:tcW w:w="0" w:type="auto"/>
            <w:tcBorders>
              <w:top w:val="single" w:sz="4" w:space="0" w:color="4F81BD"/>
              <w:left w:val="single" w:sz="4" w:space="0" w:color="4F81BD"/>
              <w:bottom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W tym ogrzew. miesz.</w:t>
            </w:r>
          </w:p>
        </w:tc>
        <w:tc>
          <w:tcPr>
            <w:tcW w:w="0" w:type="auto"/>
            <w:vMerge/>
            <w:tcBorders>
              <w:left w:val="single" w:sz="4" w:space="0" w:color="4F81BD"/>
              <w:bottom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p>
        </w:tc>
        <w:tc>
          <w:tcPr>
            <w:tcW w:w="0" w:type="auto"/>
            <w:vMerge/>
            <w:tcBorders>
              <w:left w:val="single" w:sz="4" w:space="0" w:color="4F81BD"/>
              <w:bottom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p>
        </w:tc>
        <w:tc>
          <w:tcPr>
            <w:tcW w:w="0" w:type="auto"/>
            <w:vMerge/>
            <w:tcBorders>
              <w:left w:val="single" w:sz="4" w:space="0" w:color="4F81BD"/>
              <w:bottom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p>
        </w:tc>
        <w:tc>
          <w:tcPr>
            <w:tcW w:w="0" w:type="auto"/>
            <w:tcBorders>
              <w:top w:val="single" w:sz="4" w:space="0" w:color="4F81BD"/>
              <w:left w:val="single" w:sz="4" w:space="0" w:color="4F81BD"/>
              <w:bottom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Ogółem</w:t>
            </w:r>
          </w:p>
        </w:tc>
        <w:tc>
          <w:tcPr>
            <w:tcW w:w="0" w:type="auto"/>
            <w:tcBorders>
              <w:top w:val="single" w:sz="4" w:space="0" w:color="4F81BD"/>
              <w:left w:val="single" w:sz="4" w:space="0" w:color="4F81BD"/>
              <w:bottom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r w:rsidRPr="00D374F0">
              <w:rPr>
                <w:rFonts w:ascii="Lato" w:hAnsi="Lato"/>
                <w:b/>
                <w:bCs/>
                <w:color w:val="1F497D"/>
                <w:sz w:val="20"/>
                <w:szCs w:val="20"/>
              </w:rPr>
              <w:t>W tym ogrzew. miesz.</w:t>
            </w:r>
          </w:p>
        </w:tc>
        <w:tc>
          <w:tcPr>
            <w:tcW w:w="0" w:type="auto"/>
            <w:vMerge/>
            <w:tcBorders>
              <w:left w:val="single" w:sz="4" w:space="0" w:color="4F81BD"/>
              <w:bottom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p>
        </w:tc>
        <w:tc>
          <w:tcPr>
            <w:tcW w:w="0" w:type="auto"/>
            <w:vMerge/>
            <w:tcBorders>
              <w:left w:val="single" w:sz="4" w:space="0" w:color="4F81BD"/>
              <w:bottom w:val="single" w:sz="4" w:space="0" w:color="4F81BD"/>
              <w:right w:val="single" w:sz="4" w:space="0" w:color="4F81BD"/>
            </w:tcBorders>
            <w:shd w:val="clear" w:color="auto" w:fill="DBE5F1"/>
            <w:vAlign w:val="center"/>
          </w:tcPr>
          <w:p w:rsidR="00DB4AAD" w:rsidRPr="00D374F0" w:rsidRDefault="00DB4AAD" w:rsidP="00C209CD">
            <w:pPr>
              <w:spacing w:after="120" w:line="240" w:lineRule="auto"/>
              <w:ind w:firstLine="0"/>
              <w:jc w:val="center"/>
              <w:rPr>
                <w:rFonts w:ascii="Lato" w:hAnsi="Lato"/>
                <w:b/>
                <w:bCs/>
                <w:color w:val="1F497D"/>
                <w:sz w:val="20"/>
                <w:szCs w:val="20"/>
              </w:rPr>
            </w:pPr>
          </w:p>
        </w:tc>
      </w:tr>
      <w:tr w:rsidR="004A6F6F" w:rsidRPr="004A6F6F" w:rsidTr="00C209CD">
        <w:trPr>
          <w:trHeight w:val="340"/>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DB4AAD"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2016</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DB4AAD"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80</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DB4AAD"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80</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63</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94,28</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94,28</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89,56</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r>
      <w:tr w:rsidR="004A6F6F" w:rsidRPr="004A6F6F" w:rsidTr="00C209CD">
        <w:trPr>
          <w:trHeight w:val="340"/>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DB4AAD"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2017</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DB4AAD"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92</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DB4AAD"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92</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71</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100,65</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100,65</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96,23</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r>
      <w:tr w:rsidR="004A6F6F" w:rsidRPr="004A6F6F" w:rsidTr="00C209CD">
        <w:trPr>
          <w:trHeight w:val="340"/>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DB4AAD"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2018</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DB4AAD"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104</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DB4AAD"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104</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74</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108,24</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108,24</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102</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c>
          <w:tcPr>
            <w:tcW w:w="0" w:type="auto"/>
            <w:tcBorders>
              <w:top w:val="single" w:sz="4" w:space="0" w:color="4F81BD"/>
              <w:left w:val="single" w:sz="4" w:space="0" w:color="4F81BD"/>
              <w:bottom w:val="single" w:sz="4" w:space="0" w:color="4F81BD"/>
              <w:right w:val="single" w:sz="4" w:space="0" w:color="4F81BD"/>
            </w:tcBorders>
            <w:vAlign w:val="center"/>
          </w:tcPr>
          <w:p w:rsidR="00DB4AAD" w:rsidRPr="00D374F0" w:rsidRDefault="004A6F6F" w:rsidP="00C209CD">
            <w:pPr>
              <w:spacing w:line="240" w:lineRule="auto"/>
              <w:ind w:firstLine="0"/>
              <w:jc w:val="center"/>
              <w:rPr>
                <w:rFonts w:ascii="Lato" w:hAnsi="Lato"/>
                <w:bCs/>
                <w:color w:val="1F497D"/>
                <w:sz w:val="20"/>
                <w:szCs w:val="20"/>
              </w:rPr>
            </w:pPr>
            <w:r w:rsidRPr="00D374F0">
              <w:rPr>
                <w:rFonts w:ascii="Lato" w:hAnsi="Lato"/>
                <w:bCs/>
                <w:color w:val="1F497D"/>
                <w:sz w:val="20"/>
                <w:szCs w:val="20"/>
              </w:rPr>
              <w:t>0</w:t>
            </w:r>
          </w:p>
        </w:tc>
      </w:tr>
    </w:tbl>
    <w:p w:rsidR="00F73385" w:rsidRPr="00D652AB" w:rsidRDefault="00F73385" w:rsidP="0073689C">
      <w:pPr>
        <w:pStyle w:val="Tekstpodstawowy"/>
        <w:jc w:val="center"/>
        <w:rPr>
          <w:rFonts w:ascii="Lato" w:hAnsi="Lato" w:cs="Times New Roman"/>
          <w:i/>
          <w:sz w:val="18"/>
          <w:szCs w:val="20"/>
        </w:rPr>
      </w:pPr>
      <w:r w:rsidRPr="00D652AB">
        <w:rPr>
          <w:rFonts w:ascii="Lato" w:hAnsi="Lato" w:cs="Times New Roman"/>
          <w:i/>
          <w:sz w:val="18"/>
          <w:szCs w:val="20"/>
        </w:rPr>
        <w:t>Źródło: PSG</w:t>
      </w:r>
    </w:p>
    <w:p w:rsidR="007D3A82" w:rsidRDefault="007D3A82" w:rsidP="0073689C">
      <w:pPr>
        <w:pStyle w:val="Tekstpodstawowy"/>
        <w:jc w:val="center"/>
        <w:rPr>
          <w:rFonts w:ascii="Lato" w:hAnsi="Lato" w:cs="Times New Roman"/>
          <w:i/>
          <w:sz w:val="18"/>
          <w:szCs w:val="20"/>
          <w:highlight w:val="yellow"/>
        </w:rPr>
      </w:pPr>
    </w:p>
    <w:p w:rsidR="007D3A82" w:rsidRPr="00FC51E1" w:rsidRDefault="007D3A82" w:rsidP="007D3A82">
      <w:pPr>
        <w:spacing w:before="120" w:after="120" w:line="240" w:lineRule="auto"/>
        <w:ind w:firstLine="0"/>
        <w:jc w:val="both"/>
        <w:rPr>
          <w:rFonts w:ascii="Lato" w:hAnsi="Lato"/>
          <w:b/>
          <w:color w:val="1F497D"/>
          <w:sz w:val="20"/>
          <w:szCs w:val="20"/>
        </w:rPr>
      </w:pPr>
      <w:bookmarkStart w:id="132" w:name="_Toc20219172"/>
      <w:r w:rsidRPr="00FC51E1">
        <w:rPr>
          <w:rFonts w:ascii="Lato" w:hAnsi="Lato"/>
          <w:b/>
          <w:color w:val="1F497D"/>
          <w:sz w:val="20"/>
          <w:szCs w:val="20"/>
        </w:rPr>
        <w:t xml:space="preserve">Tabela </w:t>
      </w:r>
      <w:r w:rsidRPr="00FC51E1">
        <w:rPr>
          <w:rFonts w:ascii="Lato" w:hAnsi="Lato"/>
          <w:b/>
          <w:color w:val="1F497D"/>
          <w:sz w:val="20"/>
          <w:szCs w:val="20"/>
        </w:rPr>
        <w:fldChar w:fldCharType="begin"/>
      </w:r>
      <w:r w:rsidRPr="00FC51E1">
        <w:rPr>
          <w:rFonts w:ascii="Lato" w:hAnsi="Lato"/>
          <w:b/>
          <w:color w:val="1F497D"/>
          <w:sz w:val="20"/>
          <w:szCs w:val="20"/>
        </w:rPr>
        <w:instrText xml:space="preserve"> STYLEREF 1 \s </w:instrText>
      </w:r>
      <w:r w:rsidRPr="00FC51E1">
        <w:rPr>
          <w:rFonts w:ascii="Lato" w:hAnsi="Lato"/>
          <w:b/>
          <w:color w:val="1F497D"/>
          <w:sz w:val="20"/>
          <w:szCs w:val="20"/>
        </w:rPr>
        <w:fldChar w:fldCharType="separate"/>
      </w:r>
      <w:r w:rsidR="0040205B">
        <w:rPr>
          <w:rFonts w:ascii="Lato" w:hAnsi="Lato"/>
          <w:b/>
          <w:noProof/>
          <w:color w:val="1F497D"/>
          <w:sz w:val="20"/>
          <w:szCs w:val="20"/>
        </w:rPr>
        <w:t>2</w:t>
      </w:r>
      <w:r w:rsidRPr="00FC51E1">
        <w:rPr>
          <w:rFonts w:ascii="Lato" w:hAnsi="Lato"/>
          <w:b/>
          <w:color w:val="1F497D"/>
          <w:sz w:val="20"/>
          <w:szCs w:val="20"/>
        </w:rPr>
        <w:fldChar w:fldCharType="end"/>
      </w:r>
      <w:r w:rsidRPr="00FC51E1">
        <w:rPr>
          <w:rFonts w:ascii="Lato" w:hAnsi="Lato"/>
          <w:b/>
          <w:color w:val="1F497D"/>
          <w:sz w:val="20"/>
          <w:szCs w:val="20"/>
        </w:rPr>
        <w:noBreakHyphen/>
      </w:r>
      <w:r w:rsidRPr="00FC51E1">
        <w:rPr>
          <w:rFonts w:ascii="Lato" w:hAnsi="Lato"/>
          <w:b/>
          <w:color w:val="1F497D"/>
          <w:sz w:val="20"/>
          <w:szCs w:val="20"/>
        </w:rPr>
        <w:fldChar w:fldCharType="begin"/>
      </w:r>
      <w:r w:rsidRPr="00FC51E1">
        <w:rPr>
          <w:rFonts w:ascii="Lato" w:hAnsi="Lato"/>
          <w:b/>
          <w:color w:val="1F497D"/>
          <w:sz w:val="20"/>
          <w:szCs w:val="20"/>
        </w:rPr>
        <w:instrText xml:space="preserve"> SEQ Tabela \* ARABIC \s 1 </w:instrText>
      </w:r>
      <w:r w:rsidRPr="00FC51E1">
        <w:rPr>
          <w:rFonts w:ascii="Lato" w:hAnsi="Lato"/>
          <w:b/>
          <w:color w:val="1F497D"/>
          <w:sz w:val="20"/>
          <w:szCs w:val="20"/>
        </w:rPr>
        <w:fldChar w:fldCharType="separate"/>
      </w:r>
      <w:r w:rsidR="0040205B">
        <w:rPr>
          <w:rFonts w:ascii="Lato" w:hAnsi="Lato"/>
          <w:b/>
          <w:noProof/>
          <w:color w:val="1F497D"/>
          <w:sz w:val="20"/>
          <w:szCs w:val="20"/>
        </w:rPr>
        <w:t>6</w:t>
      </w:r>
      <w:r w:rsidRPr="00FC51E1">
        <w:rPr>
          <w:rFonts w:ascii="Lato" w:hAnsi="Lato"/>
          <w:b/>
          <w:color w:val="1F497D"/>
          <w:sz w:val="20"/>
          <w:szCs w:val="20"/>
        </w:rPr>
        <w:fldChar w:fldCharType="end"/>
      </w:r>
      <w:r w:rsidRPr="00FC51E1">
        <w:rPr>
          <w:rFonts w:ascii="Lato" w:hAnsi="Lato"/>
          <w:b/>
          <w:color w:val="1F497D"/>
          <w:sz w:val="20"/>
          <w:szCs w:val="20"/>
        </w:rPr>
        <w:t xml:space="preserve"> Liczba odbiorców oraz zużycie gazu ziemnego w poszczególnych grupach taryfowych na terenie Gminy </w:t>
      </w:r>
      <w:r w:rsidR="00FC51E1" w:rsidRPr="00FC51E1">
        <w:rPr>
          <w:rFonts w:ascii="Lato" w:hAnsi="Lato"/>
          <w:b/>
          <w:color w:val="1F497D"/>
          <w:sz w:val="20"/>
          <w:szCs w:val="20"/>
        </w:rPr>
        <w:t>Pabianice</w:t>
      </w:r>
      <w:r w:rsidRPr="00FC51E1">
        <w:rPr>
          <w:rFonts w:ascii="Lato" w:hAnsi="Lato"/>
          <w:b/>
          <w:color w:val="1F497D"/>
          <w:sz w:val="20"/>
          <w:szCs w:val="20"/>
        </w:rPr>
        <w:t xml:space="preserve"> w latach 2016-2018</w:t>
      </w:r>
      <w:bookmarkEnd w:id="132"/>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2319"/>
        <w:gridCol w:w="1109"/>
        <w:gridCol w:w="1109"/>
        <w:gridCol w:w="1111"/>
        <w:gridCol w:w="1327"/>
        <w:gridCol w:w="1327"/>
        <w:gridCol w:w="1327"/>
      </w:tblGrid>
      <w:tr w:rsidR="007D3A82" w:rsidRPr="00FC51E1" w:rsidTr="00C209CD">
        <w:trPr>
          <w:cantSplit/>
          <w:trHeight w:val="491"/>
          <w:tblHeader/>
          <w:jc w:val="center"/>
        </w:trPr>
        <w:tc>
          <w:tcPr>
            <w:tcW w:w="1204" w:type="pct"/>
            <w:vMerge w:val="restart"/>
            <w:tcBorders>
              <w:top w:val="single" w:sz="4" w:space="0" w:color="4F81BD"/>
              <w:left w:val="single" w:sz="4" w:space="0" w:color="4F81BD"/>
              <w:right w:val="single" w:sz="4" w:space="0" w:color="4F81BD"/>
            </w:tcBorders>
            <w:shd w:val="clear" w:color="auto" w:fill="DBE5F1"/>
            <w:vAlign w:val="center"/>
          </w:tcPr>
          <w:p w:rsidR="007D3A82" w:rsidRPr="00FC51E1" w:rsidRDefault="007D3A82" w:rsidP="00C209CD">
            <w:pPr>
              <w:spacing w:after="120" w:line="240" w:lineRule="auto"/>
              <w:ind w:firstLine="0"/>
              <w:jc w:val="center"/>
              <w:rPr>
                <w:rFonts w:ascii="Lato" w:hAnsi="Lato"/>
                <w:b/>
                <w:bCs/>
                <w:color w:val="1F497D"/>
                <w:sz w:val="20"/>
                <w:szCs w:val="20"/>
              </w:rPr>
            </w:pPr>
            <w:r w:rsidRPr="00FC51E1">
              <w:rPr>
                <w:rFonts w:ascii="Lato" w:hAnsi="Lato"/>
                <w:b/>
                <w:bCs/>
                <w:color w:val="1F497D"/>
                <w:sz w:val="20"/>
                <w:szCs w:val="20"/>
              </w:rPr>
              <w:t>Grupa taryfowa</w:t>
            </w:r>
          </w:p>
        </w:tc>
        <w:tc>
          <w:tcPr>
            <w:tcW w:w="1729" w:type="pct"/>
            <w:gridSpan w:val="3"/>
            <w:tcBorders>
              <w:top w:val="single" w:sz="4" w:space="0" w:color="4F81BD"/>
              <w:left w:val="single" w:sz="4" w:space="0" w:color="4F81BD"/>
              <w:right w:val="single" w:sz="4" w:space="0" w:color="4F81BD"/>
            </w:tcBorders>
            <w:shd w:val="clear" w:color="auto" w:fill="DBE5F1"/>
            <w:vAlign w:val="center"/>
          </w:tcPr>
          <w:p w:rsidR="007D3A82" w:rsidRPr="00FC51E1" w:rsidRDefault="007D3A82" w:rsidP="00C209CD">
            <w:pPr>
              <w:spacing w:after="120" w:line="240" w:lineRule="auto"/>
              <w:ind w:firstLine="0"/>
              <w:jc w:val="center"/>
              <w:rPr>
                <w:rFonts w:ascii="Lato" w:hAnsi="Lato"/>
                <w:b/>
                <w:bCs/>
                <w:color w:val="1F497D"/>
                <w:sz w:val="20"/>
                <w:szCs w:val="20"/>
              </w:rPr>
            </w:pPr>
            <w:r w:rsidRPr="00FC51E1">
              <w:rPr>
                <w:rFonts w:ascii="Lato" w:hAnsi="Lato"/>
                <w:b/>
                <w:bCs/>
                <w:color w:val="1F497D"/>
                <w:sz w:val="20"/>
                <w:szCs w:val="20"/>
              </w:rPr>
              <w:t xml:space="preserve">Liczba </w:t>
            </w:r>
            <w:r w:rsidR="00D374F0">
              <w:rPr>
                <w:rFonts w:ascii="Lato" w:hAnsi="Lato"/>
                <w:b/>
                <w:bCs/>
                <w:color w:val="1F497D"/>
                <w:sz w:val="20"/>
                <w:szCs w:val="20"/>
              </w:rPr>
              <w:t>odbiorców</w:t>
            </w:r>
          </w:p>
        </w:tc>
        <w:tc>
          <w:tcPr>
            <w:tcW w:w="2067" w:type="pct"/>
            <w:gridSpan w:val="3"/>
            <w:tcBorders>
              <w:top w:val="single" w:sz="4" w:space="0" w:color="4F81BD"/>
              <w:left w:val="single" w:sz="4" w:space="0" w:color="4F81BD"/>
              <w:right w:val="single" w:sz="4" w:space="0" w:color="4F81BD"/>
            </w:tcBorders>
            <w:shd w:val="clear" w:color="auto" w:fill="DBE5F1"/>
            <w:vAlign w:val="center"/>
          </w:tcPr>
          <w:p w:rsidR="007D3A82" w:rsidRPr="00FC51E1" w:rsidRDefault="007D3A82" w:rsidP="00C209CD">
            <w:pPr>
              <w:spacing w:after="120" w:line="240" w:lineRule="auto"/>
              <w:ind w:firstLine="0"/>
              <w:jc w:val="center"/>
              <w:rPr>
                <w:rFonts w:ascii="Lato" w:hAnsi="Lato"/>
                <w:b/>
                <w:bCs/>
                <w:color w:val="1F497D"/>
                <w:sz w:val="20"/>
                <w:szCs w:val="20"/>
              </w:rPr>
            </w:pPr>
            <w:r w:rsidRPr="00FC51E1">
              <w:rPr>
                <w:rFonts w:ascii="Lato" w:hAnsi="Lato"/>
                <w:b/>
                <w:bCs/>
                <w:color w:val="1F497D"/>
                <w:sz w:val="20"/>
                <w:szCs w:val="20"/>
              </w:rPr>
              <w:t>Zużycie gazu, tys. m</w:t>
            </w:r>
            <w:r w:rsidRPr="00FC51E1">
              <w:rPr>
                <w:rFonts w:ascii="Lato" w:hAnsi="Lato"/>
                <w:b/>
                <w:bCs/>
                <w:color w:val="1F497D"/>
                <w:sz w:val="20"/>
                <w:szCs w:val="20"/>
                <w:vertAlign w:val="superscript"/>
              </w:rPr>
              <w:t>3</w:t>
            </w:r>
          </w:p>
        </w:tc>
      </w:tr>
      <w:tr w:rsidR="007D3A82" w:rsidRPr="00FC51E1" w:rsidTr="00C209CD">
        <w:trPr>
          <w:cantSplit/>
          <w:trHeight w:val="491"/>
          <w:tblHeader/>
          <w:jc w:val="center"/>
        </w:trPr>
        <w:tc>
          <w:tcPr>
            <w:tcW w:w="1204" w:type="pct"/>
            <w:vMerge/>
            <w:tcBorders>
              <w:left w:val="single" w:sz="4" w:space="0" w:color="4F81BD"/>
              <w:right w:val="single" w:sz="4" w:space="0" w:color="4F81BD"/>
            </w:tcBorders>
            <w:shd w:val="clear" w:color="auto" w:fill="DBE5F1"/>
            <w:vAlign w:val="center"/>
          </w:tcPr>
          <w:p w:rsidR="007D3A82" w:rsidRPr="00FC51E1" w:rsidRDefault="007D3A82" w:rsidP="00C209CD">
            <w:pPr>
              <w:spacing w:after="120" w:line="240" w:lineRule="auto"/>
              <w:ind w:firstLine="0"/>
              <w:jc w:val="center"/>
              <w:rPr>
                <w:rFonts w:ascii="Lato" w:hAnsi="Lato"/>
                <w:b/>
                <w:bCs/>
                <w:color w:val="1F497D"/>
                <w:sz w:val="20"/>
                <w:szCs w:val="20"/>
              </w:rPr>
            </w:pPr>
          </w:p>
        </w:tc>
        <w:tc>
          <w:tcPr>
            <w:tcW w:w="576" w:type="pct"/>
            <w:tcBorders>
              <w:top w:val="single" w:sz="4" w:space="0" w:color="4F81BD"/>
              <w:left w:val="single" w:sz="4" w:space="0" w:color="4F81BD"/>
              <w:right w:val="single" w:sz="4" w:space="0" w:color="4F81BD"/>
            </w:tcBorders>
            <w:shd w:val="clear" w:color="auto" w:fill="DBE5F1"/>
            <w:vAlign w:val="center"/>
          </w:tcPr>
          <w:p w:rsidR="007D3A82" w:rsidRPr="00FC51E1" w:rsidRDefault="007D3A82" w:rsidP="00C209CD">
            <w:pPr>
              <w:spacing w:after="120" w:line="240" w:lineRule="auto"/>
              <w:ind w:firstLine="0"/>
              <w:jc w:val="center"/>
              <w:rPr>
                <w:rFonts w:ascii="Lato" w:hAnsi="Lato"/>
                <w:b/>
                <w:bCs/>
                <w:color w:val="1F497D"/>
                <w:sz w:val="20"/>
                <w:szCs w:val="20"/>
              </w:rPr>
            </w:pPr>
            <w:r w:rsidRPr="00FC51E1">
              <w:rPr>
                <w:rFonts w:ascii="Lato" w:hAnsi="Lato"/>
                <w:b/>
                <w:bCs/>
                <w:color w:val="1F497D"/>
                <w:sz w:val="20"/>
                <w:szCs w:val="20"/>
              </w:rPr>
              <w:t>2016</w:t>
            </w:r>
          </w:p>
        </w:tc>
        <w:tc>
          <w:tcPr>
            <w:tcW w:w="576" w:type="pct"/>
            <w:tcBorders>
              <w:top w:val="single" w:sz="4" w:space="0" w:color="4F81BD"/>
              <w:left w:val="single" w:sz="4" w:space="0" w:color="4F81BD"/>
              <w:right w:val="single" w:sz="4" w:space="0" w:color="4F81BD"/>
            </w:tcBorders>
            <w:shd w:val="clear" w:color="auto" w:fill="DBE5F1"/>
            <w:vAlign w:val="center"/>
          </w:tcPr>
          <w:p w:rsidR="007D3A82" w:rsidRPr="00FC51E1" w:rsidRDefault="007D3A82" w:rsidP="00C209CD">
            <w:pPr>
              <w:spacing w:after="120" w:line="240" w:lineRule="auto"/>
              <w:ind w:firstLine="0"/>
              <w:jc w:val="center"/>
              <w:rPr>
                <w:rFonts w:ascii="Lato" w:hAnsi="Lato"/>
                <w:b/>
                <w:bCs/>
                <w:color w:val="1F497D"/>
                <w:sz w:val="20"/>
                <w:szCs w:val="20"/>
              </w:rPr>
            </w:pPr>
            <w:r w:rsidRPr="00FC51E1">
              <w:rPr>
                <w:rFonts w:ascii="Lato" w:hAnsi="Lato"/>
                <w:b/>
                <w:bCs/>
                <w:color w:val="1F497D"/>
                <w:sz w:val="20"/>
                <w:szCs w:val="20"/>
              </w:rPr>
              <w:t>2017</w:t>
            </w:r>
          </w:p>
        </w:tc>
        <w:tc>
          <w:tcPr>
            <w:tcW w:w="577" w:type="pct"/>
            <w:tcBorders>
              <w:top w:val="single" w:sz="4" w:space="0" w:color="4F81BD"/>
              <w:left w:val="single" w:sz="4" w:space="0" w:color="4F81BD"/>
              <w:right w:val="single" w:sz="4" w:space="0" w:color="4F81BD"/>
            </w:tcBorders>
            <w:shd w:val="clear" w:color="auto" w:fill="DBE5F1"/>
            <w:vAlign w:val="center"/>
          </w:tcPr>
          <w:p w:rsidR="007D3A82" w:rsidRPr="00FC51E1" w:rsidRDefault="007D3A82" w:rsidP="00C209CD">
            <w:pPr>
              <w:spacing w:after="120" w:line="240" w:lineRule="auto"/>
              <w:ind w:firstLine="0"/>
              <w:jc w:val="center"/>
              <w:rPr>
                <w:rFonts w:ascii="Lato" w:hAnsi="Lato"/>
                <w:b/>
                <w:bCs/>
                <w:color w:val="1F497D"/>
                <w:sz w:val="20"/>
                <w:szCs w:val="20"/>
              </w:rPr>
            </w:pPr>
            <w:r w:rsidRPr="00FC51E1">
              <w:rPr>
                <w:rFonts w:ascii="Lato" w:hAnsi="Lato"/>
                <w:b/>
                <w:bCs/>
                <w:color w:val="1F497D"/>
                <w:sz w:val="20"/>
                <w:szCs w:val="20"/>
              </w:rPr>
              <w:t>2018</w:t>
            </w:r>
          </w:p>
        </w:tc>
        <w:tc>
          <w:tcPr>
            <w:tcW w:w="689" w:type="pct"/>
            <w:tcBorders>
              <w:top w:val="single" w:sz="4" w:space="0" w:color="4F81BD"/>
              <w:left w:val="single" w:sz="4" w:space="0" w:color="4F81BD"/>
              <w:right w:val="single" w:sz="4" w:space="0" w:color="4F81BD"/>
            </w:tcBorders>
            <w:shd w:val="clear" w:color="auto" w:fill="DBE5F1"/>
            <w:vAlign w:val="center"/>
          </w:tcPr>
          <w:p w:rsidR="007D3A82" w:rsidRPr="00FC51E1" w:rsidRDefault="007D3A82" w:rsidP="00C209CD">
            <w:pPr>
              <w:spacing w:after="120" w:line="240" w:lineRule="auto"/>
              <w:ind w:firstLine="0"/>
              <w:jc w:val="center"/>
              <w:rPr>
                <w:rFonts w:ascii="Lato" w:hAnsi="Lato"/>
                <w:b/>
                <w:bCs/>
                <w:color w:val="1F497D"/>
                <w:sz w:val="20"/>
                <w:szCs w:val="20"/>
              </w:rPr>
            </w:pPr>
            <w:r w:rsidRPr="00FC51E1">
              <w:rPr>
                <w:rFonts w:ascii="Lato" w:hAnsi="Lato"/>
                <w:b/>
                <w:bCs/>
                <w:color w:val="1F497D"/>
                <w:sz w:val="20"/>
                <w:szCs w:val="20"/>
              </w:rPr>
              <w:t>2016</w:t>
            </w:r>
          </w:p>
        </w:tc>
        <w:tc>
          <w:tcPr>
            <w:tcW w:w="689" w:type="pct"/>
            <w:tcBorders>
              <w:top w:val="single" w:sz="4" w:space="0" w:color="4F81BD"/>
              <w:left w:val="single" w:sz="4" w:space="0" w:color="4F81BD"/>
              <w:right w:val="single" w:sz="4" w:space="0" w:color="4F81BD"/>
            </w:tcBorders>
            <w:shd w:val="clear" w:color="auto" w:fill="DBE5F1"/>
            <w:vAlign w:val="center"/>
          </w:tcPr>
          <w:p w:rsidR="007D3A82" w:rsidRPr="00FC51E1" w:rsidRDefault="007D3A82" w:rsidP="00C209CD">
            <w:pPr>
              <w:spacing w:after="120" w:line="240" w:lineRule="auto"/>
              <w:ind w:firstLine="0"/>
              <w:jc w:val="center"/>
              <w:rPr>
                <w:rFonts w:ascii="Lato" w:hAnsi="Lato"/>
                <w:b/>
                <w:bCs/>
                <w:color w:val="1F497D"/>
                <w:sz w:val="20"/>
                <w:szCs w:val="20"/>
              </w:rPr>
            </w:pPr>
            <w:r w:rsidRPr="00FC51E1">
              <w:rPr>
                <w:rFonts w:ascii="Lato" w:hAnsi="Lato"/>
                <w:b/>
                <w:bCs/>
                <w:color w:val="1F497D"/>
                <w:sz w:val="20"/>
                <w:szCs w:val="20"/>
              </w:rPr>
              <w:t>2017</w:t>
            </w:r>
          </w:p>
        </w:tc>
        <w:tc>
          <w:tcPr>
            <w:tcW w:w="689" w:type="pct"/>
            <w:tcBorders>
              <w:top w:val="single" w:sz="4" w:space="0" w:color="4F81BD"/>
              <w:left w:val="single" w:sz="4" w:space="0" w:color="4F81BD"/>
              <w:right w:val="single" w:sz="4" w:space="0" w:color="4F81BD"/>
            </w:tcBorders>
            <w:shd w:val="clear" w:color="auto" w:fill="DBE5F1"/>
            <w:vAlign w:val="center"/>
          </w:tcPr>
          <w:p w:rsidR="007D3A82" w:rsidRPr="00FC51E1" w:rsidRDefault="007D3A82" w:rsidP="00C209CD">
            <w:pPr>
              <w:spacing w:after="120" w:line="240" w:lineRule="auto"/>
              <w:ind w:firstLine="0"/>
              <w:jc w:val="center"/>
              <w:rPr>
                <w:rFonts w:ascii="Lato" w:hAnsi="Lato"/>
                <w:b/>
                <w:bCs/>
                <w:color w:val="1F497D"/>
                <w:sz w:val="20"/>
                <w:szCs w:val="20"/>
              </w:rPr>
            </w:pPr>
            <w:r w:rsidRPr="00FC51E1">
              <w:rPr>
                <w:rFonts w:ascii="Lato" w:hAnsi="Lato"/>
                <w:b/>
                <w:bCs/>
                <w:color w:val="1F497D"/>
                <w:sz w:val="20"/>
                <w:szCs w:val="20"/>
              </w:rPr>
              <w:t>2018</w:t>
            </w:r>
          </w:p>
        </w:tc>
      </w:tr>
      <w:tr w:rsidR="007D3A82" w:rsidRPr="00FC51E1" w:rsidTr="00C209CD">
        <w:trPr>
          <w:trHeight w:val="340"/>
          <w:jc w:val="center"/>
        </w:trPr>
        <w:tc>
          <w:tcPr>
            <w:tcW w:w="1204"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7D3A82" w:rsidP="00C209CD">
            <w:pPr>
              <w:spacing w:line="240" w:lineRule="auto"/>
              <w:ind w:firstLine="0"/>
              <w:jc w:val="center"/>
              <w:rPr>
                <w:rFonts w:ascii="Lato" w:hAnsi="Lato"/>
                <w:bCs/>
                <w:color w:val="1F497D"/>
                <w:sz w:val="20"/>
                <w:szCs w:val="20"/>
              </w:rPr>
            </w:pPr>
            <w:r w:rsidRPr="00FC51E1">
              <w:rPr>
                <w:rFonts w:ascii="Lato" w:hAnsi="Lato"/>
                <w:bCs/>
                <w:color w:val="1F497D"/>
                <w:sz w:val="20"/>
                <w:szCs w:val="20"/>
              </w:rPr>
              <w:t>W-1.1</w:t>
            </w:r>
          </w:p>
        </w:tc>
        <w:tc>
          <w:tcPr>
            <w:tcW w:w="576"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4</w:t>
            </w:r>
          </w:p>
        </w:tc>
        <w:tc>
          <w:tcPr>
            <w:tcW w:w="576"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4</w:t>
            </w:r>
          </w:p>
        </w:tc>
        <w:tc>
          <w:tcPr>
            <w:tcW w:w="577"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6</w:t>
            </w:r>
          </w:p>
        </w:tc>
        <w:tc>
          <w:tcPr>
            <w:tcW w:w="689"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1,48</w:t>
            </w:r>
          </w:p>
        </w:tc>
        <w:tc>
          <w:tcPr>
            <w:tcW w:w="689"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0,16</w:t>
            </w:r>
          </w:p>
        </w:tc>
        <w:tc>
          <w:tcPr>
            <w:tcW w:w="689"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0,18</w:t>
            </w:r>
          </w:p>
        </w:tc>
      </w:tr>
      <w:tr w:rsidR="007D3A82" w:rsidRPr="00FC51E1" w:rsidTr="00C209CD">
        <w:trPr>
          <w:trHeight w:val="340"/>
          <w:jc w:val="center"/>
        </w:trPr>
        <w:tc>
          <w:tcPr>
            <w:tcW w:w="1204"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7D3A82" w:rsidP="00C209CD">
            <w:pPr>
              <w:spacing w:line="240" w:lineRule="auto"/>
              <w:ind w:firstLine="0"/>
              <w:jc w:val="center"/>
              <w:rPr>
                <w:rFonts w:ascii="Lato" w:hAnsi="Lato"/>
                <w:bCs/>
                <w:color w:val="1F497D"/>
                <w:sz w:val="20"/>
                <w:szCs w:val="20"/>
              </w:rPr>
            </w:pPr>
            <w:r w:rsidRPr="00FC51E1">
              <w:rPr>
                <w:rFonts w:ascii="Lato" w:hAnsi="Lato"/>
                <w:bCs/>
                <w:color w:val="1F497D"/>
                <w:sz w:val="20"/>
                <w:szCs w:val="20"/>
              </w:rPr>
              <w:t>W-2.1</w:t>
            </w:r>
          </w:p>
        </w:tc>
        <w:tc>
          <w:tcPr>
            <w:tcW w:w="576"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13</w:t>
            </w:r>
          </w:p>
        </w:tc>
        <w:tc>
          <w:tcPr>
            <w:tcW w:w="576"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17</w:t>
            </w:r>
          </w:p>
        </w:tc>
        <w:tc>
          <w:tcPr>
            <w:tcW w:w="577"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24</w:t>
            </w:r>
          </w:p>
        </w:tc>
        <w:tc>
          <w:tcPr>
            <w:tcW w:w="689"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3,24</w:t>
            </w:r>
          </w:p>
        </w:tc>
        <w:tc>
          <w:tcPr>
            <w:tcW w:w="689"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4,26</w:t>
            </w:r>
          </w:p>
        </w:tc>
        <w:tc>
          <w:tcPr>
            <w:tcW w:w="689"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6,06</w:t>
            </w:r>
          </w:p>
        </w:tc>
      </w:tr>
      <w:tr w:rsidR="007D3A82" w:rsidRPr="00FC51E1" w:rsidTr="00C209CD">
        <w:trPr>
          <w:trHeight w:val="340"/>
          <w:jc w:val="center"/>
        </w:trPr>
        <w:tc>
          <w:tcPr>
            <w:tcW w:w="1204"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7D3A82" w:rsidP="00C209CD">
            <w:pPr>
              <w:spacing w:line="240" w:lineRule="auto"/>
              <w:ind w:firstLine="0"/>
              <w:jc w:val="center"/>
              <w:rPr>
                <w:rFonts w:ascii="Lato" w:hAnsi="Lato"/>
                <w:bCs/>
                <w:color w:val="1F497D"/>
                <w:sz w:val="20"/>
                <w:szCs w:val="20"/>
              </w:rPr>
            </w:pPr>
            <w:r w:rsidRPr="00FC51E1">
              <w:rPr>
                <w:rFonts w:ascii="Lato" w:hAnsi="Lato"/>
                <w:bCs/>
                <w:color w:val="1F497D"/>
                <w:sz w:val="20"/>
                <w:szCs w:val="20"/>
              </w:rPr>
              <w:t>W-3.6</w:t>
            </w:r>
          </w:p>
        </w:tc>
        <w:tc>
          <w:tcPr>
            <w:tcW w:w="576"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63</w:t>
            </w:r>
          </w:p>
        </w:tc>
        <w:tc>
          <w:tcPr>
            <w:tcW w:w="576"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7</w:t>
            </w:r>
            <w:r w:rsidR="00940E73">
              <w:rPr>
                <w:rFonts w:ascii="Lato" w:hAnsi="Lato"/>
                <w:bCs/>
                <w:color w:val="1F497D"/>
                <w:sz w:val="20"/>
                <w:szCs w:val="20"/>
              </w:rPr>
              <w:t>1</w:t>
            </w:r>
          </w:p>
        </w:tc>
        <w:tc>
          <w:tcPr>
            <w:tcW w:w="577"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74</w:t>
            </w:r>
          </w:p>
        </w:tc>
        <w:tc>
          <w:tcPr>
            <w:tcW w:w="689"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89,56</w:t>
            </w:r>
          </w:p>
        </w:tc>
        <w:tc>
          <w:tcPr>
            <w:tcW w:w="689"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96,23</w:t>
            </w:r>
          </w:p>
        </w:tc>
        <w:tc>
          <w:tcPr>
            <w:tcW w:w="689" w:type="pct"/>
            <w:tcBorders>
              <w:top w:val="single" w:sz="4" w:space="0" w:color="4F81BD"/>
              <w:left w:val="single" w:sz="4" w:space="0" w:color="4F81BD"/>
              <w:bottom w:val="single" w:sz="4" w:space="0" w:color="4F81BD"/>
              <w:right w:val="single" w:sz="4" w:space="0" w:color="4F81BD"/>
            </w:tcBorders>
            <w:vAlign w:val="center"/>
          </w:tcPr>
          <w:p w:rsidR="007D3A82" w:rsidRPr="00FC51E1" w:rsidRDefault="00D374F0" w:rsidP="00C209CD">
            <w:pPr>
              <w:spacing w:line="240" w:lineRule="auto"/>
              <w:ind w:firstLine="0"/>
              <w:jc w:val="center"/>
              <w:rPr>
                <w:rFonts w:ascii="Lato" w:hAnsi="Lato"/>
                <w:bCs/>
                <w:color w:val="1F497D"/>
                <w:sz w:val="20"/>
                <w:szCs w:val="20"/>
              </w:rPr>
            </w:pPr>
            <w:r>
              <w:rPr>
                <w:rFonts w:ascii="Lato" w:hAnsi="Lato"/>
                <w:bCs/>
                <w:color w:val="1F497D"/>
                <w:sz w:val="20"/>
                <w:szCs w:val="20"/>
              </w:rPr>
              <w:t>102</w:t>
            </w:r>
          </w:p>
        </w:tc>
      </w:tr>
    </w:tbl>
    <w:p w:rsidR="007D3A82" w:rsidRPr="00FC51E1" w:rsidRDefault="007D3A82" w:rsidP="007D3A82">
      <w:pPr>
        <w:pStyle w:val="Tekstpodstawowy"/>
        <w:jc w:val="center"/>
        <w:rPr>
          <w:rFonts w:ascii="Lato" w:hAnsi="Lato" w:cs="Times New Roman"/>
          <w:i/>
          <w:sz w:val="20"/>
          <w:szCs w:val="20"/>
        </w:rPr>
      </w:pPr>
      <w:r w:rsidRPr="00FC51E1">
        <w:rPr>
          <w:rFonts w:ascii="Lato" w:hAnsi="Lato" w:cs="Times New Roman"/>
          <w:i/>
          <w:sz w:val="20"/>
          <w:szCs w:val="20"/>
        </w:rPr>
        <w:t xml:space="preserve">Źródło: </w:t>
      </w:r>
      <w:r w:rsidR="00F6691B" w:rsidRPr="00D652AB">
        <w:rPr>
          <w:rFonts w:ascii="Lato" w:hAnsi="Lato" w:cs="Times New Roman"/>
          <w:i/>
          <w:sz w:val="18"/>
          <w:szCs w:val="20"/>
        </w:rPr>
        <w:t>PSG</w:t>
      </w:r>
    </w:p>
    <w:p w:rsidR="0010346E" w:rsidRPr="00D352C4" w:rsidRDefault="0010346E" w:rsidP="0073689C">
      <w:pPr>
        <w:pStyle w:val="Tekstpodstawowy"/>
        <w:jc w:val="center"/>
        <w:rPr>
          <w:rFonts w:ascii="Lato" w:hAnsi="Lato" w:cs="Times New Roman"/>
          <w:i/>
          <w:sz w:val="20"/>
          <w:szCs w:val="20"/>
          <w:highlight w:val="yellow"/>
        </w:rPr>
      </w:pPr>
    </w:p>
    <w:p w:rsidR="00F73385" w:rsidRPr="00A200F9" w:rsidRDefault="00F73385" w:rsidP="00617C1D">
      <w:pPr>
        <w:ind w:firstLine="709"/>
        <w:jc w:val="both"/>
        <w:rPr>
          <w:rFonts w:ascii="Lato" w:hAnsi="Lato"/>
        </w:rPr>
      </w:pPr>
      <w:r w:rsidRPr="009E77EE">
        <w:rPr>
          <w:rFonts w:ascii="Lato" w:hAnsi="Lato"/>
        </w:rPr>
        <w:t>Na podstawie powyższ</w:t>
      </w:r>
      <w:r w:rsidR="009E77EE" w:rsidRPr="009E77EE">
        <w:rPr>
          <w:rFonts w:ascii="Lato" w:hAnsi="Lato"/>
        </w:rPr>
        <w:t>ych</w:t>
      </w:r>
      <w:r w:rsidRPr="009E77EE">
        <w:rPr>
          <w:rFonts w:ascii="Lato" w:hAnsi="Lato"/>
        </w:rPr>
        <w:t xml:space="preserve"> tabeli </w:t>
      </w:r>
      <w:r w:rsidR="009E77EE" w:rsidRPr="009E77EE">
        <w:rPr>
          <w:rFonts w:ascii="Lato" w:hAnsi="Lato"/>
        </w:rPr>
        <w:t xml:space="preserve">liczba odbiorców oraz </w:t>
      </w:r>
      <w:r w:rsidRPr="009E77EE">
        <w:rPr>
          <w:rFonts w:ascii="Lato" w:hAnsi="Lato"/>
        </w:rPr>
        <w:t xml:space="preserve">sprzedaż gazu ziemnego na terenie </w:t>
      </w:r>
      <w:r w:rsidR="00B71E13" w:rsidRPr="009E77EE">
        <w:rPr>
          <w:rFonts w:ascii="Lato" w:hAnsi="Lato"/>
        </w:rPr>
        <w:t>gminy</w:t>
      </w:r>
      <w:r w:rsidRPr="009E77EE">
        <w:rPr>
          <w:rFonts w:ascii="Lato" w:hAnsi="Lato"/>
        </w:rPr>
        <w:t xml:space="preserve"> </w:t>
      </w:r>
      <w:r w:rsidR="009E77EE" w:rsidRPr="009E77EE">
        <w:rPr>
          <w:rFonts w:ascii="Lato" w:hAnsi="Lato"/>
        </w:rPr>
        <w:t xml:space="preserve">sukcesywnie rosną, co jest związane z rozbudową sieci gazowniczej na terenie Gminy </w:t>
      </w:r>
      <w:r w:rsidR="009E77EE" w:rsidRPr="00A200F9">
        <w:rPr>
          <w:rFonts w:ascii="Lato" w:hAnsi="Lato"/>
        </w:rPr>
        <w:t>Pabianice</w:t>
      </w:r>
      <w:r w:rsidRPr="00A200F9">
        <w:rPr>
          <w:rFonts w:ascii="Lato" w:hAnsi="Lato"/>
        </w:rPr>
        <w:t>.</w:t>
      </w:r>
    </w:p>
    <w:p w:rsidR="00DD52F8" w:rsidRDefault="00DD52F8" w:rsidP="00F73385">
      <w:pPr>
        <w:jc w:val="both"/>
        <w:rPr>
          <w:rFonts w:ascii="Lato" w:hAnsi="Lato"/>
        </w:rPr>
      </w:pPr>
    </w:p>
    <w:p w:rsidR="00F73385" w:rsidRPr="00A200F9" w:rsidRDefault="00F27357" w:rsidP="00617C1D">
      <w:pPr>
        <w:ind w:firstLine="851"/>
        <w:jc w:val="both"/>
        <w:rPr>
          <w:rFonts w:ascii="Lato" w:hAnsi="Lato"/>
        </w:rPr>
      </w:pPr>
      <w:r w:rsidRPr="00A200F9">
        <w:rPr>
          <w:rFonts w:ascii="Lato" w:hAnsi="Lato"/>
        </w:rPr>
        <w:t>Na poniższym</w:t>
      </w:r>
      <w:r w:rsidR="00F73385" w:rsidRPr="00A200F9">
        <w:rPr>
          <w:rFonts w:ascii="Lato" w:hAnsi="Lato"/>
        </w:rPr>
        <w:t xml:space="preserve"> rysunku przedstawiono procentowe udziały poszc</w:t>
      </w:r>
      <w:r w:rsidR="000F2422">
        <w:rPr>
          <w:rFonts w:ascii="Lato" w:hAnsi="Lato"/>
        </w:rPr>
        <w:t xml:space="preserve">zególnych taryf gazu ziemnego w </w:t>
      </w:r>
      <w:r w:rsidR="00F73385" w:rsidRPr="00A200F9">
        <w:rPr>
          <w:rFonts w:ascii="Lato" w:hAnsi="Lato"/>
        </w:rPr>
        <w:t>liczbie odbiorców oraz zużyciu całkowitym w 201</w:t>
      </w:r>
      <w:r w:rsidR="00253CD1" w:rsidRPr="00A200F9">
        <w:rPr>
          <w:rFonts w:ascii="Lato" w:hAnsi="Lato"/>
        </w:rPr>
        <w:t>8</w:t>
      </w:r>
      <w:r w:rsidR="00F73385" w:rsidRPr="00A200F9">
        <w:rPr>
          <w:rFonts w:ascii="Lato" w:hAnsi="Lato"/>
        </w:rPr>
        <w:t xml:space="preserve"> roku. </w:t>
      </w:r>
      <w:r w:rsidR="00A200F9" w:rsidRPr="00A200F9">
        <w:rPr>
          <w:rFonts w:ascii="Lato" w:hAnsi="Lato"/>
        </w:rPr>
        <w:t>Zarówno p</w:t>
      </w:r>
      <w:r w:rsidR="00F73385" w:rsidRPr="00A200F9">
        <w:rPr>
          <w:rFonts w:ascii="Lato" w:hAnsi="Lato"/>
        </w:rPr>
        <w:t xml:space="preserve">od względem liczby odbiorców </w:t>
      </w:r>
      <w:r w:rsidR="00A200F9" w:rsidRPr="00A200F9">
        <w:rPr>
          <w:rFonts w:ascii="Lato" w:hAnsi="Lato"/>
        </w:rPr>
        <w:t xml:space="preserve">jak i zużycia </w:t>
      </w:r>
      <w:r w:rsidR="00F73385" w:rsidRPr="00A200F9">
        <w:rPr>
          <w:rFonts w:ascii="Lato" w:hAnsi="Lato"/>
        </w:rPr>
        <w:t>dominuj</w:t>
      </w:r>
      <w:r w:rsidR="00A200F9" w:rsidRPr="00A200F9">
        <w:rPr>
          <w:rFonts w:ascii="Lato" w:hAnsi="Lato"/>
        </w:rPr>
        <w:t>e</w:t>
      </w:r>
      <w:r w:rsidR="00F73385" w:rsidRPr="00A200F9">
        <w:rPr>
          <w:rFonts w:ascii="Lato" w:hAnsi="Lato"/>
        </w:rPr>
        <w:t xml:space="preserve"> taryf</w:t>
      </w:r>
      <w:r w:rsidR="00A200F9" w:rsidRPr="00A200F9">
        <w:rPr>
          <w:rFonts w:ascii="Lato" w:hAnsi="Lato"/>
        </w:rPr>
        <w:t>a</w:t>
      </w:r>
      <w:r w:rsidR="00F73385" w:rsidRPr="00A200F9">
        <w:rPr>
          <w:rFonts w:ascii="Lato" w:hAnsi="Lato"/>
        </w:rPr>
        <w:t xml:space="preserve"> </w:t>
      </w:r>
      <w:r w:rsidR="00A200F9" w:rsidRPr="00A200F9">
        <w:rPr>
          <w:rFonts w:ascii="Lato" w:hAnsi="Lato"/>
        </w:rPr>
        <w:t xml:space="preserve">W-3.6, </w:t>
      </w:r>
      <w:r w:rsidR="00F73385" w:rsidRPr="00A200F9">
        <w:rPr>
          <w:rFonts w:ascii="Lato" w:hAnsi="Lato"/>
        </w:rPr>
        <w:t>użytkowan</w:t>
      </w:r>
      <w:r w:rsidR="00A200F9" w:rsidRPr="00A200F9">
        <w:rPr>
          <w:rFonts w:ascii="Lato" w:hAnsi="Lato"/>
        </w:rPr>
        <w:t>a</w:t>
      </w:r>
      <w:r w:rsidR="00F73385" w:rsidRPr="00A200F9">
        <w:rPr>
          <w:rFonts w:ascii="Lato" w:hAnsi="Lato"/>
        </w:rPr>
        <w:t xml:space="preserve"> przez gospodarstwa domowe</w:t>
      </w:r>
      <w:r w:rsidR="00A200F9" w:rsidRPr="00A200F9">
        <w:rPr>
          <w:rFonts w:ascii="Lato" w:hAnsi="Lato"/>
        </w:rPr>
        <w:t xml:space="preserve"> do ogrzewania mieszkań</w:t>
      </w:r>
      <w:r w:rsidR="00F73385" w:rsidRPr="00A200F9">
        <w:rPr>
          <w:rFonts w:ascii="Lato" w:hAnsi="Lato"/>
        </w:rPr>
        <w:t>.</w:t>
      </w:r>
    </w:p>
    <w:p w:rsidR="0010346E" w:rsidRPr="00D352C4" w:rsidRDefault="0010346E" w:rsidP="00F73385">
      <w:pPr>
        <w:jc w:val="both"/>
        <w:rPr>
          <w:rFonts w:ascii="Lato" w:hAnsi="Lato"/>
          <w:highlight w:val="yellow"/>
        </w:rPr>
      </w:pPr>
    </w:p>
    <w:p w:rsidR="00F73385" w:rsidRPr="00D352C4" w:rsidRDefault="0006260E" w:rsidP="00F73385">
      <w:pPr>
        <w:spacing w:line="240" w:lineRule="auto"/>
        <w:ind w:firstLine="0"/>
        <w:jc w:val="center"/>
        <w:rPr>
          <w:rFonts w:ascii="Lato" w:hAnsi="Lato"/>
          <w:b/>
          <w:i/>
          <w:color w:val="365F91"/>
          <w:highlight w:val="yellow"/>
        </w:rPr>
      </w:pPr>
      <w:r>
        <w:rPr>
          <w:noProof/>
        </w:rPr>
        <w:lastRenderedPageBreak/>
        <w:drawing>
          <wp:inline distT="0" distB="0" distL="0" distR="0" wp14:anchorId="4BA6C5C3" wp14:editId="57FD9464">
            <wp:extent cx="4967605" cy="3272155"/>
            <wp:effectExtent l="0" t="0" r="4445" b="4445"/>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24DEA" w:rsidRPr="00D352C4" w:rsidRDefault="00524DEA" w:rsidP="00F73385">
      <w:pPr>
        <w:spacing w:line="240" w:lineRule="auto"/>
        <w:ind w:firstLine="0"/>
        <w:jc w:val="center"/>
        <w:rPr>
          <w:rFonts w:ascii="Lato" w:hAnsi="Lato"/>
          <w:b/>
          <w:color w:val="1F497D"/>
          <w:sz w:val="20"/>
          <w:szCs w:val="20"/>
          <w:highlight w:val="yellow"/>
        </w:rPr>
      </w:pPr>
    </w:p>
    <w:p w:rsidR="00F73385" w:rsidRPr="00015DAC" w:rsidRDefault="00F73385" w:rsidP="00F73385">
      <w:pPr>
        <w:spacing w:line="240" w:lineRule="auto"/>
        <w:ind w:firstLine="0"/>
        <w:jc w:val="center"/>
        <w:rPr>
          <w:rFonts w:ascii="Lato" w:hAnsi="Lato"/>
          <w:b/>
          <w:color w:val="1F497D"/>
          <w:sz w:val="20"/>
          <w:szCs w:val="20"/>
        </w:rPr>
      </w:pPr>
      <w:bookmarkStart w:id="133" w:name="_Toc20219227"/>
      <w:r w:rsidRPr="00015DAC">
        <w:rPr>
          <w:rFonts w:ascii="Lato" w:hAnsi="Lato"/>
          <w:b/>
          <w:color w:val="1F497D"/>
          <w:sz w:val="20"/>
          <w:szCs w:val="20"/>
        </w:rPr>
        <w:t xml:space="preserve">Rysunek </w:t>
      </w:r>
      <w:r w:rsidR="004042AE" w:rsidRPr="00015DAC">
        <w:rPr>
          <w:rFonts w:ascii="Lato" w:hAnsi="Lato"/>
          <w:b/>
          <w:color w:val="1F497D"/>
          <w:sz w:val="20"/>
          <w:szCs w:val="20"/>
        </w:rPr>
        <w:fldChar w:fldCharType="begin"/>
      </w:r>
      <w:r w:rsidR="005430ED" w:rsidRPr="00015DAC">
        <w:rPr>
          <w:rFonts w:ascii="Lato" w:hAnsi="Lato"/>
          <w:b/>
          <w:color w:val="1F497D"/>
          <w:sz w:val="20"/>
          <w:szCs w:val="20"/>
        </w:rPr>
        <w:instrText xml:space="preserve"> STYLEREF 1 \s </w:instrText>
      </w:r>
      <w:r w:rsidR="004042AE" w:rsidRPr="00015DAC">
        <w:rPr>
          <w:rFonts w:ascii="Lato" w:hAnsi="Lato"/>
          <w:b/>
          <w:color w:val="1F497D"/>
          <w:sz w:val="20"/>
          <w:szCs w:val="20"/>
        </w:rPr>
        <w:fldChar w:fldCharType="separate"/>
      </w:r>
      <w:r w:rsidR="0040205B">
        <w:rPr>
          <w:rFonts w:ascii="Lato" w:hAnsi="Lato"/>
          <w:b/>
          <w:noProof/>
          <w:color w:val="1F497D"/>
          <w:sz w:val="20"/>
          <w:szCs w:val="20"/>
        </w:rPr>
        <w:t>2</w:t>
      </w:r>
      <w:r w:rsidR="004042AE" w:rsidRPr="00015DAC">
        <w:rPr>
          <w:rFonts w:ascii="Lato" w:hAnsi="Lato"/>
          <w:b/>
          <w:color w:val="1F497D"/>
          <w:sz w:val="20"/>
          <w:szCs w:val="20"/>
        </w:rPr>
        <w:fldChar w:fldCharType="end"/>
      </w:r>
      <w:r w:rsidR="005430ED" w:rsidRPr="00015DAC">
        <w:rPr>
          <w:rFonts w:ascii="Lato" w:hAnsi="Lato"/>
          <w:b/>
          <w:color w:val="1F497D"/>
          <w:sz w:val="20"/>
          <w:szCs w:val="20"/>
        </w:rPr>
        <w:noBreakHyphen/>
      </w:r>
      <w:r w:rsidR="004042AE" w:rsidRPr="00015DAC">
        <w:rPr>
          <w:rFonts w:ascii="Lato" w:hAnsi="Lato"/>
          <w:b/>
          <w:color w:val="1F497D"/>
          <w:sz w:val="20"/>
          <w:szCs w:val="20"/>
        </w:rPr>
        <w:fldChar w:fldCharType="begin"/>
      </w:r>
      <w:r w:rsidR="005430ED" w:rsidRPr="00015DAC">
        <w:rPr>
          <w:rFonts w:ascii="Lato" w:hAnsi="Lato"/>
          <w:b/>
          <w:color w:val="1F497D"/>
          <w:sz w:val="20"/>
          <w:szCs w:val="20"/>
        </w:rPr>
        <w:instrText xml:space="preserve"> SEQ Rysunek \* ARABIC \s 1 </w:instrText>
      </w:r>
      <w:r w:rsidR="004042AE" w:rsidRPr="00015DAC">
        <w:rPr>
          <w:rFonts w:ascii="Lato" w:hAnsi="Lato"/>
          <w:b/>
          <w:color w:val="1F497D"/>
          <w:sz w:val="20"/>
          <w:szCs w:val="20"/>
        </w:rPr>
        <w:fldChar w:fldCharType="separate"/>
      </w:r>
      <w:r w:rsidR="0040205B">
        <w:rPr>
          <w:rFonts w:ascii="Lato" w:hAnsi="Lato"/>
          <w:b/>
          <w:noProof/>
          <w:color w:val="1F497D"/>
          <w:sz w:val="20"/>
          <w:szCs w:val="20"/>
        </w:rPr>
        <w:t>8</w:t>
      </w:r>
      <w:r w:rsidR="004042AE" w:rsidRPr="00015DAC">
        <w:rPr>
          <w:rFonts w:ascii="Lato" w:hAnsi="Lato"/>
          <w:b/>
          <w:color w:val="1F497D"/>
          <w:sz w:val="20"/>
          <w:szCs w:val="20"/>
        </w:rPr>
        <w:fldChar w:fldCharType="end"/>
      </w:r>
      <w:r w:rsidRPr="00015DAC">
        <w:rPr>
          <w:rFonts w:ascii="Lato" w:hAnsi="Lato"/>
          <w:b/>
          <w:color w:val="1F497D"/>
          <w:sz w:val="20"/>
          <w:szCs w:val="20"/>
        </w:rPr>
        <w:t xml:space="preserve"> Struktura liczby odbiorców gazu ziemnego w poszczególnych grupach taryfowych w 201</w:t>
      </w:r>
      <w:r w:rsidR="0010346E" w:rsidRPr="00015DAC">
        <w:rPr>
          <w:rFonts w:ascii="Lato" w:hAnsi="Lato"/>
          <w:b/>
          <w:color w:val="1F497D"/>
          <w:sz w:val="20"/>
          <w:szCs w:val="20"/>
        </w:rPr>
        <w:t>8</w:t>
      </w:r>
      <w:r w:rsidRPr="00015DAC">
        <w:rPr>
          <w:rFonts w:ascii="Lato" w:hAnsi="Lato"/>
          <w:b/>
          <w:color w:val="1F497D"/>
          <w:sz w:val="20"/>
          <w:szCs w:val="20"/>
        </w:rPr>
        <w:t> r.</w:t>
      </w:r>
      <w:bookmarkEnd w:id="133"/>
    </w:p>
    <w:p w:rsidR="00F73385" w:rsidRDefault="00F73385" w:rsidP="0073689C">
      <w:pPr>
        <w:pStyle w:val="Tekstpodstawowy"/>
        <w:jc w:val="center"/>
        <w:rPr>
          <w:rFonts w:ascii="Lato" w:hAnsi="Lato" w:cs="Times New Roman"/>
          <w:i/>
          <w:sz w:val="20"/>
          <w:szCs w:val="20"/>
        </w:rPr>
      </w:pPr>
      <w:r w:rsidRPr="00015DAC">
        <w:rPr>
          <w:rFonts w:ascii="Lato" w:hAnsi="Lato" w:cs="Times New Roman"/>
          <w:i/>
          <w:sz w:val="20"/>
          <w:szCs w:val="20"/>
        </w:rPr>
        <w:t xml:space="preserve">Źródło: </w:t>
      </w:r>
      <w:r w:rsidR="00BD0E60" w:rsidRPr="00BD0E60">
        <w:rPr>
          <w:rFonts w:ascii="Lato" w:hAnsi="Lato" w:cs="Times New Roman"/>
          <w:i/>
          <w:sz w:val="20"/>
          <w:szCs w:val="20"/>
        </w:rPr>
        <w:t>Obliczenia własne</w:t>
      </w:r>
    </w:p>
    <w:p w:rsidR="00F80846" w:rsidRPr="00015DAC" w:rsidRDefault="00F80846" w:rsidP="0073689C">
      <w:pPr>
        <w:pStyle w:val="Tekstpodstawowy"/>
        <w:jc w:val="center"/>
        <w:rPr>
          <w:rFonts w:ascii="Lato" w:hAnsi="Lato" w:cs="Times New Roman"/>
          <w:i/>
          <w:sz w:val="20"/>
          <w:szCs w:val="20"/>
        </w:rPr>
      </w:pPr>
    </w:p>
    <w:p w:rsidR="00F73385" w:rsidRPr="00015DAC" w:rsidRDefault="0006260E" w:rsidP="00F73385">
      <w:pPr>
        <w:spacing w:line="240" w:lineRule="auto"/>
        <w:ind w:firstLine="0"/>
        <w:jc w:val="center"/>
        <w:rPr>
          <w:rFonts w:ascii="Lato" w:hAnsi="Lato"/>
          <w:color w:val="365F91"/>
          <w:sz w:val="24"/>
          <w:szCs w:val="20"/>
        </w:rPr>
      </w:pPr>
      <w:r>
        <w:rPr>
          <w:noProof/>
        </w:rPr>
        <w:drawing>
          <wp:inline distT="0" distB="0" distL="0" distR="0" wp14:anchorId="3632B644" wp14:editId="528724CC">
            <wp:extent cx="5133975" cy="2910205"/>
            <wp:effectExtent l="0" t="0" r="0" b="4445"/>
            <wp:docPr id="22"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73385" w:rsidRPr="00015DAC" w:rsidRDefault="00F73385" w:rsidP="00F73385">
      <w:pPr>
        <w:spacing w:line="240" w:lineRule="auto"/>
        <w:ind w:firstLine="0"/>
        <w:jc w:val="center"/>
        <w:rPr>
          <w:rFonts w:ascii="Lato" w:hAnsi="Lato"/>
          <w:b/>
          <w:color w:val="1F497D"/>
          <w:sz w:val="20"/>
          <w:szCs w:val="20"/>
        </w:rPr>
      </w:pPr>
      <w:bookmarkStart w:id="134" w:name="_Toc20219228"/>
      <w:r w:rsidRPr="00015DAC">
        <w:rPr>
          <w:rFonts w:ascii="Lato" w:hAnsi="Lato"/>
          <w:b/>
          <w:color w:val="1F497D"/>
          <w:sz w:val="20"/>
          <w:szCs w:val="20"/>
        </w:rPr>
        <w:t xml:space="preserve">Rysunek </w:t>
      </w:r>
      <w:r w:rsidR="004042AE" w:rsidRPr="00015DAC">
        <w:rPr>
          <w:rFonts w:ascii="Lato" w:hAnsi="Lato"/>
          <w:b/>
          <w:color w:val="1F497D"/>
          <w:sz w:val="20"/>
          <w:szCs w:val="20"/>
        </w:rPr>
        <w:fldChar w:fldCharType="begin"/>
      </w:r>
      <w:r w:rsidR="005430ED" w:rsidRPr="00015DAC">
        <w:rPr>
          <w:rFonts w:ascii="Lato" w:hAnsi="Lato"/>
          <w:b/>
          <w:color w:val="1F497D"/>
          <w:sz w:val="20"/>
          <w:szCs w:val="20"/>
        </w:rPr>
        <w:instrText xml:space="preserve"> STYLEREF 1 \s </w:instrText>
      </w:r>
      <w:r w:rsidR="004042AE" w:rsidRPr="00015DAC">
        <w:rPr>
          <w:rFonts w:ascii="Lato" w:hAnsi="Lato"/>
          <w:b/>
          <w:color w:val="1F497D"/>
          <w:sz w:val="20"/>
          <w:szCs w:val="20"/>
        </w:rPr>
        <w:fldChar w:fldCharType="separate"/>
      </w:r>
      <w:r w:rsidR="0040205B">
        <w:rPr>
          <w:rFonts w:ascii="Lato" w:hAnsi="Lato"/>
          <w:b/>
          <w:noProof/>
          <w:color w:val="1F497D"/>
          <w:sz w:val="20"/>
          <w:szCs w:val="20"/>
        </w:rPr>
        <w:t>2</w:t>
      </w:r>
      <w:r w:rsidR="004042AE" w:rsidRPr="00015DAC">
        <w:rPr>
          <w:rFonts w:ascii="Lato" w:hAnsi="Lato"/>
          <w:b/>
          <w:color w:val="1F497D"/>
          <w:sz w:val="20"/>
          <w:szCs w:val="20"/>
        </w:rPr>
        <w:fldChar w:fldCharType="end"/>
      </w:r>
      <w:r w:rsidR="005430ED" w:rsidRPr="00015DAC">
        <w:rPr>
          <w:rFonts w:ascii="Lato" w:hAnsi="Lato"/>
          <w:b/>
          <w:color w:val="1F497D"/>
          <w:sz w:val="20"/>
          <w:szCs w:val="20"/>
        </w:rPr>
        <w:noBreakHyphen/>
      </w:r>
      <w:r w:rsidR="004042AE" w:rsidRPr="00015DAC">
        <w:rPr>
          <w:rFonts w:ascii="Lato" w:hAnsi="Lato"/>
          <w:b/>
          <w:color w:val="1F497D"/>
          <w:sz w:val="20"/>
          <w:szCs w:val="20"/>
        </w:rPr>
        <w:fldChar w:fldCharType="begin"/>
      </w:r>
      <w:r w:rsidR="005430ED" w:rsidRPr="00015DAC">
        <w:rPr>
          <w:rFonts w:ascii="Lato" w:hAnsi="Lato"/>
          <w:b/>
          <w:color w:val="1F497D"/>
          <w:sz w:val="20"/>
          <w:szCs w:val="20"/>
        </w:rPr>
        <w:instrText xml:space="preserve"> SEQ Rysunek \* ARABIC \s 1 </w:instrText>
      </w:r>
      <w:r w:rsidR="004042AE" w:rsidRPr="00015DAC">
        <w:rPr>
          <w:rFonts w:ascii="Lato" w:hAnsi="Lato"/>
          <w:b/>
          <w:color w:val="1F497D"/>
          <w:sz w:val="20"/>
          <w:szCs w:val="20"/>
        </w:rPr>
        <w:fldChar w:fldCharType="separate"/>
      </w:r>
      <w:r w:rsidR="0040205B">
        <w:rPr>
          <w:rFonts w:ascii="Lato" w:hAnsi="Lato"/>
          <w:b/>
          <w:noProof/>
          <w:color w:val="1F497D"/>
          <w:sz w:val="20"/>
          <w:szCs w:val="20"/>
        </w:rPr>
        <w:t>9</w:t>
      </w:r>
      <w:r w:rsidR="004042AE" w:rsidRPr="00015DAC">
        <w:rPr>
          <w:rFonts w:ascii="Lato" w:hAnsi="Lato"/>
          <w:b/>
          <w:color w:val="1F497D"/>
          <w:sz w:val="20"/>
          <w:szCs w:val="20"/>
        </w:rPr>
        <w:fldChar w:fldCharType="end"/>
      </w:r>
      <w:r w:rsidRPr="00015DAC">
        <w:rPr>
          <w:rFonts w:ascii="Lato" w:hAnsi="Lato"/>
          <w:b/>
          <w:color w:val="1F497D"/>
          <w:sz w:val="20"/>
          <w:szCs w:val="20"/>
        </w:rPr>
        <w:t xml:space="preserve"> Struktura zużycia gazu ziemnego w poszczególnych grupach taryfowych w 201</w:t>
      </w:r>
      <w:r w:rsidR="00501EDB" w:rsidRPr="00015DAC">
        <w:rPr>
          <w:rFonts w:ascii="Lato" w:hAnsi="Lato"/>
          <w:b/>
          <w:color w:val="1F497D"/>
          <w:sz w:val="20"/>
          <w:szCs w:val="20"/>
        </w:rPr>
        <w:t>8</w:t>
      </w:r>
      <w:r w:rsidRPr="00015DAC">
        <w:rPr>
          <w:rFonts w:ascii="Lato" w:hAnsi="Lato"/>
          <w:b/>
          <w:color w:val="1F497D"/>
          <w:sz w:val="20"/>
          <w:szCs w:val="20"/>
        </w:rPr>
        <w:t> r.</w:t>
      </w:r>
      <w:bookmarkEnd w:id="134"/>
    </w:p>
    <w:p w:rsidR="00F73385" w:rsidRDefault="00F73385" w:rsidP="0073689C">
      <w:pPr>
        <w:pStyle w:val="Tekstpodstawowy"/>
        <w:jc w:val="center"/>
        <w:rPr>
          <w:rFonts w:ascii="Lato" w:hAnsi="Lato" w:cs="Times New Roman"/>
          <w:i/>
          <w:sz w:val="20"/>
          <w:szCs w:val="20"/>
        </w:rPr>
      </w:pPr>
      <w:r w:rsidRPr="00015DAC">
        <w:rPr>
          <w:rFonts w:ascii="Lato" w:hAnsi="Lato" w:cs="Times New Roman"/>
          <w:i/>
          <w:sz w:val="20"/>
          <w:szCs w:val="20"/>
        </w:rPr>
        <w:t xml:space="preserve">Źródło: </w:t>
      </w:r>
      <w:r w:rsidR="00BD0E60" w:rsidRPr="00BD0E60">
        <w:rPr>
          <w:rFonts w:ascii="Lato" w:hAnsi="Lato" w:cs="Times New Roman"/>
          <w:i/>
          <w:sz w:val="20"/>
          <w:szCs w:val="20"/>
        </w:rPr>
        <w:t>Obliczenia własne</w:t>
      </w:r>
    </w:p>
    <w:p w:rsidR="00F80846" w:rsidRPr="00015DAC" w:rsidRDefault="00F80846" w:rsidP="0073689C">
      <w:pPr>
        <w:pStyle w:val="Tekstpodstawowy"/>
        <w:jc w:val="center"/>
        <w:rPr>
          <w:rFonts w:ascii="Lato" w:hAnsi="Lato" w:cs="Times New Roman"/>
          <w:i/>
          <w:sz w:val="20"/>
          <w:szCs w:val="20"/>
        </w:rPr>
      </w:pPr>
    </w:p>
    <w:p w:rsidR="00F73385" w:rsidRPr="00A200F9" w:rsidRDefault="00F73385" w:rsidP="00617C1D">
      <w:pPr>
        <w:ind w:firstLine="709"/>
        <w:jc w:val="both"/>
        <w:rPr>
          <w:rFonts w:ascii="Lato" w:hAnsi="Lato"/>
        </w:rPr>
      </w:pPr>
      <w:r w:rsidRPr="00A200F9">
        <w:rPr>
          <w:rFonts w:ascii="Lato" w:hAnsi="Lato"/>
        </w:rPr>
        <w:t>Poniższy rysunek przedstawia dynamikę zmian liczby odbiorców oraz zużycia gazu ziemnego w latach 201</w:t>
      </w:r>
      <w:r w:rsidR="00054F01" w:rsidRPr="00A200F9">
        <w:rPr>
          <w:rFonts w:ascii="Lato" w:hAnsi="Lato"/>
        </w:rPr>
        <w:t>6</w:t>
      </w:r>
      <w:r w:rsidRPr="00A200F9">
        <w:rPr>
          <w:rFonts w:ascii="Lato" w:hAnsi="Lato"/>
        </w:rPr>
        <w:t>-201</w:t>
      </w:r>
      <w:r w:rsidR="00054F01" w:rsidRPr="00A200F9">
        <w:rPr>
          <w:rFonts w:ascii="Lato" w:hAnsi="Lato"/>
        </w:rPr>
        <w:t>8</w:t>
      </w:r>
      <w:r w:rsidRPr="00A200F9">
        <w:rPr>
          <w:rFonts w:ascii="Lato" w:hAnsi="Lato"/>
        </w:rPr>
        <w:t xml:space="preserve"> w poszczególnych grupach taryfowych na terenie </w:t>
      </w:r>
      <w:r w:rsidR="00B71E13" w:rsidRPr="00A200F9">
        <w:rPr>
          <w:rFonts w:ascii="Lato" w:hAnsi="Lato"/>
        </w:rPr>
        <w:t xml:space="preserve">Gminy </w:t>
      </w:r>
      <w:r w:rsidR="00A200F9" w:rsidRPr="00A200F9">
        <w:rPr>
          <w:rFonts w:ascii="Lato" w:hAnsi="Lato"/>
        </w:rPr>
        <w:t>Pabianice.</w:t>
      </w:r>
      <w:r w:rsidRPr="00A200F9">
        <w:rPr>
          <w:rFonts w:ascii="Lato" w:hAnsi="Lato"/>
        </w:rPr>
        <w:t xml:space="preserve"> Liczba odbiorców </w:t>
      </w:r>
      <w:r w:rsidR="00A200F9" w:rsidRPr="00A200F9">
        <w:rPr>
          <w:rFonts w:ascii="Lato" w:hAnsi="Lato"/>
        </w:rPr>
        <w:t xml:space="preserve">oraz zużycie gazu </w:t>
      </w:r>
      <w:r w:rsidR="00054F01" w:rsidRPr="00A200F9">
        <w:rPr>
          <w:rFonts w:ascii="Lato" w:hAnsi="Lato"/>
        </w:rPr>
        <w:t>wzrosł</w:t>
      </w:r>
      <w:r w:rsidR="00A200F9" w:rsidRPr="00A200F9">
        <w:rPr>
          <w:rFonts w:ascii="Lato" w:hAnsi="Lato"/>
        </w:rPr>
        <w:t>y,</w:t>
      </w:r>
      <w:r w:rsidR="00054F01" w:rsidRPr="00A200F9">
        <w:rPr>
          <w:rFonts w:ascii="Lato" w:hAnsi="Lato"/>
        </w:rPr>
        <w:t xml:space="preserve"> szczególnie w taryfie </w:t>
      </w:r>
      <w:r w:rsidR="00A200F9" w:rsidRPr="00A200F9">
        <w:rPr>
          <w:rFonts w:ascii="Lato" w:hAnsi="Lato"/>
        </w:rPr>
        <w:t>W</w:t>
      </w:r>
      <w:r w:rsidR="00054F01" w:rsidRPr="00A200F9">
        <w:rPr>
          <w:rFonts w:ascii="Lato" w:hAnsi="Lato"/>
        </w:rPr>
        <w:t>-3.6</w:t>
      </w:r>
      <w:r w:rsidR="00D772B4" w:rsidRPr="00A200F9">
        <w:rPr>
          <w:rFonts w:ascii="Lato" w:hAnsi="Lato"/>
        </w:rPr>
        <w:t>.</w:t>
      </w:r>
    </w:p>
    <w:p w:rsidR="00524DEA" w:rsidRPr="00D352C4" w:rsidRDefault="00524DEA" w:rsidP="00F73385">
      <w:pPr>
        <w:spacing w:line="240" w:lineRule="auto"/>
        <w:ind w:firstLine="709"/>
        <w:jc w:val="both"/>
        <w:rPr>
          <w:rFonts w:ascii="Lato" w:hAnsi="Lato"/>
          <w:highlight w:val="yellow"/>
        </w:rPr>
      </w:pPr>
    </w:p>
    <w:p w:rsidR="00524DEA" w:rsidRPr="00D352C4" w:rsidRDefault="0006260E" w:rsidP="007415C9">
      <w:pPr>
        <w:spacing w:line="240" w:lineRule="auto"/>
        <w:ind w:firstLine="0"/>
        <w:jc w:val="center"/>
        <w:rPr>
          <w:rFonts w:ascii="Lato" w:hAnsi="Lato"/>
          <w:highlight w:val="yellow"/>
        </w:rPr>
      </w:pPr>
      <w:r>
        <w:rPr>
          <w:noProof/>
        </w:rPr>
        <w:lastRenderedPageBreak/>
        <w:drawing>
          <wp:inline distT="0" distB="0" distL="0" distR="0" wp14:anchorId="259B74A3" wp14:editId="57D6527A">
            <wp:extent cx="4981575" cy="3086100"/>
            <wp:effectExtent l="0" t="0" r="0" b="0"/>
            <wp:docPr id="2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73385" w:rsidRPr="004319BA" w:rsidRDefault="00F73385" w:rsidP="00F73385">
      <w:pPr>
        <w:spacing w:line="240" w:lineRule="auto"/>
        <w:ind w:firstLine="709"/>
        <w:jc w:val="center"/>
        <w:rPr>
          <w:rFonts w:ascii="Lato" w:hAnsi="Lato"/>
          <w:color w:val="1F497D"/>
        </w:rPr>
      </w:pPr>
    </w:p>
    <w:p w:rsidR="00F73385" w:rsidRPr="004319BA" w:rsidRDefault="00F73385" w:rsidP="00F73385">
      <w:pPr>
        <w:spacing w:line="240" w:lineRule="auto"/>
        <w:ind w:firstLine="0"/>
        <w:jc w:val="center"/>
        <w:rPr>
          <w:rFonts w:ascii="Lato" w:hAnsi="Lato"/>
          <w:b/>
          <w:color w:val="1F497D"/>
          <w:sz w:val="20"/>
          <w:szCs w:val="20"/>
        </w:rPr>
      </w:pPr>
      <w:bookmarkStart w:id="135" w:name="_Toc20219229"/>
      <w:r w:rsidRPr="004319BA">
        <w:rPr>
          <w:rFonts w:ascii="Lato" w:hAnsi="Lato"/>
          <w:b/>
          <w:color w:val="1F497D"/>
          <w:sz w:val="20"/>
          <w:szCs w:val="20"/>
        </w:rPr>
        <w:t xml:space="preserve">Rysunek </w:t>
      </w:r>
      <w:r w:rsidR="004042AE" w:rsidRPr="004319BA">
        <w:rPr>
          <w:rFonts w:ascii="Lato" w:hAnsi="Lato"/>
          <w:b/>
          <w:color w:val="1F497D"/>
          <w:sz w:val="20"/>
          <w:szCs w:val="20"/>
        </w:rPr>
        <w:fldChar w:fldCharType="begin"/>
      </w:r>
      <w:r w:rsidR="005430ED" w:rsidRPr="004319BA">
        <w:rPr>
          <w:rFonts w:ascii="Lato" w:hAnsi="Lato"/>
          <w:b/>
          <w:color w:val="1F497D"/>
          <w:sz w:val="20"/>
          <w:szCs w:val="20"/>
        </w:rPr>
        <w:instrText xml:space="preserve"> STYLEREF 1 \s </w:instrText>
      </w:r>
      <w:r w:rsidR="004042AE" w:rsidRPr="004319BA">
        <w:rPr>
          <w:rFonts w:ascii="Lato" w:hAnsi="Lato"/>
          <w:b/>
          <w:color w:val="1F497D"/>
          <w:sz w:val="20"/>
          <w:szCs w:val="20"/>
        </w:rPr>
        <w:fldChar w:fldCharType="separate"/>
      </w:r>
      <w:r w:rsidR="0040205B">
        <w:rPr>
          <w:rFonts w:ascii="Lato" w:hAnsi="Lato"/>
          <w:b/>
          <w:noProof/>
          <w:color w:val="1F497D"/>
          <w:sz w:val="20"/>
          <w:szCs w:val="20"/>
        </w:rPr>
        <w:t>2</w:t>
      </w:r>
      <w:r w:rsidR="004042AE" w:rsidRPr="004319BA">
        <w:rPr>
          <w:rFonts w:ascii="Lato" w:hAnsi="Lato"/>
          <w:b/>
          <w:color w:val="1F497D"/>
          <w:sz w:val="20"/>
          <w:szCs w:val="20"/>
        </w:rPr>
        <w:fldChar w:fldCharType="end"/>
      </w:r>
      <w:r w:rsidR="005430ED" w:rsidRPr="004319BA">
        <w:rPr>
          <w:rFonts w:ascii="Lato" w:hAnsi="Lato"/>
          <w:b/>
          <w:color w:val="1F497D"/>
          <w:sz w:val="20"/>
          <w:szCs w:val="20"/>
        </w:rPr>
        <w:noBreakHyphen/>
      </w:r>
      <w:r w:rsidR="004042AE" w:rsidRPr="004319BA">
        <w:rPr>
          <w:rFonts w:ascii="Lato" w:hAnsi="Lato"/>
          <w:b/>
          <w:color w:val="1F497D"/>
          <w:sz w:val="20"/>
          <w:szCs w:val="20"/>
        </w:rPr>
        <w:fldChar w:fldCharType="begin"/>
      </w:r>
      <w:r w:rsidR="005430ED" w:rsidRPr="004319BA">
        <w:rPr>
          <w:rFonts w:ascii="Lato" w:hAnsi="Lato"/>
          <w:b/>
          <w:color w:val="1F497D"/>
          <w:sz w:val="20"/>
          <w:szCs w:val="20"/>
        </w:rPr>
        <w:instrText xml:space="preserve"> SEQ Rysunek \* ARABIC \s 1 </w:instrText>
      </w:r>
      <w:r w:rsidR="004042AE" w:rsidRPr="004319BA">
        <w:rPr>
          <w:rFonts w:ascii="Lato" w:hAnsi="Lato"/>
          <w:b/>
          <w:color w:val="1F497D"/>
          <w:sz w:val="20"/>
          <w:szCs w:val="20"/>
        </w:rPr>
        <w:fldChar w:fldCharType="separate"/>
      </w:r>
      <w:r w:rsidR="0040205B">
        <w:rPr>
          <w:rFonts w:ascii="Lato" w:hAnsi="Lato"/>
          <w:b/>
          <w:noProof/>
          <w:color w:val="1F497D"/>
          <w:sz w:val="20"/>
          <w:szCs w:val="20"/>
        </w:rPr>
        <w:t>10</w:t>
      </w:r>
      <w:r w:rsidR="004042AE" w:rsidRPr="004319BA">
        <w:rPr>
          <w:rFonts w:ascii="Lato" w:hAnsi="Lato"/>
          <w:b/>
          <w:color w:val="1F497D"/>
          <w:sz w:val="20"/>
          <w:szCs w:val="20"/>
        </w:rPr>
        <w:fldChar w:fldCharType="end"/>
      </w:r>
      <w:r w:rsidRPr="004319BA">
        <w:rPr>
          <w:rFonts w:ascii="Lato" w:hAnsi="Lato"/>
          <w:b/>
          <w:color w:val="1F497D"/>
          <w:sz w:val="20"/>
          <w:szCs w:val="20"/>
        </w:rPr>
        <w:t xml:space="preserve"> Trend zmian liczby odbiorców gazu ziemnego w poszczególnych grupach taryfowych w</w:t>
      </w:r>
      <w:r w:rsidR="000F2422">
        <w:rPr>
          <w:rFonts w:ascii="Lato" w:hAnsi="Lato"/>
          <w:b/>
          <w:color w:val="1F497D"/>
          <w:sz w:val="20"/>
          <w:szCs w:val="20"/>
        </w:rPr>
        <w:t> </w:t>
      </w:r>
      <w:r w:rsidRPr="004319BA">
        <w:rPr>
          <w:rFonts w:ascii="Lato" w:hAnsi="Lato"/>
          <w:b/>
          <w:color w:val="1F497D"/>
          <w:sz w:val="20"/>
          <w:szCs w:val="20"/>
        </w:rPr>
        <w:t>latach 201</w:t>
      </w:r>
      <w:r w:rsidR="008F5B85" w:rsidRPr="004319BA">
        <w:rPr>
          <w:rFonts w:ascii="Lato" w:hAnsi="Lato"/>
          <w:b/>
          <w:color w:val="1F497D"/>
          <w:sz w:val="20"/>
          <w:szCs w:val="20"/>
        </w:rPr>
        <w:t>6</w:t>
      </w:r>
      <w:r w:rsidRPr="004319BA">
        <w:rPr>
          <w:rFonts w:ascii="Lato" w:hAnsi="Lato"/>
          <w:b/>
          <w:color w:val="1F497D"/>
          <w:sz w:val="20"/>
          <w:szCs w:val="20"/>
        </w:rPr>
        <w:t>-201</w:t>
      </w:r>
      <w:r w:rsidR="008F5B85" w:rsidRPr="004319BA">
        <w:rPr>
          <w:rFonts w:ascii="Lato" w:hAnsi="Lato"/>
          <w:b/>
          <w:color w:val="1F497D"/>
          <w:sz w:val="20"/>
          <w:szCs w:val="20"/>
        </w:rPr>
        <w:t>8</w:t>
      </w:r>
      <w:bookmarkEnd w:id="135"/>
    </w:p>
    <w:p w:rsidR="00F73385" w:rsidRDefault="00F73385" w:rsidP="0073689C">
      <w:pPr>
        <w:pStyle w:val="Tekstpodstawowy"/>
        <w:jc w:val="center"/>
        <w:rPr>
          <w:rFonts w:ascii="Lato" w:hAnsi="Lato" w:cs="Times New Roman"/>
          <w:i/>
          <w:sz w:val="20"/>
          <w:szCs w:val="20"/>
        </w:rPr>
      </w:pPr>
      <w:r w:rsidRPr="004319BA">
        <w:rPr>
          <w:rFonts w:ascii="Lato" w:hAnsi="Lato" w:cs="Times New Roman"/>
          <w:i/>
          <w:sz w:val="20"/>
          <w:szCs w:val="20"/>
        </w:rPr>
        <w:t xml:space="preserve">Źródło: </w:t>
      </w:r>
      <w:r w:rsidR="00BD0E60" w:rsidRPr="00BD0E60">
        <w:rPr>
          <w:rFonts w:ascii="Lato" w:hAnsi="Lato" w:cs="Times New Roman"/>
          <w:i/>
          <w:sz w:val="20"/>
          <w:szCs w:val="20"/>
        </w:rPr>
        <w:t>Obliczenia własne</w:t>
      </w:r>
    </w:p>
    <w:p w:rsidR="00F80846" w:rsidRPr="004319BA" w:rsidRDefault="00F80846" w:rsidP="0073689C">
      <w:pPr>
        <w:pStyle w:val="Tekstpodstawowy"/>
        <w:jc w:val="center"/>
        <w:rPr>
          <w:rFonts w:ascii="Lato" w:hAnsi="Lato" w:cs="Times New Roman"/>
          <w:i/>
          <w:sz w:val="20"/>
          <w:szCs w:val="20"/>
        </w:rPr>
      </w:pPr>
    </w:p>
    <w:p w:rsidR="00F73385" w:rsidRPr="00D352C4" w:rsidRDefault="0006260E" w:rsidP="001D2048">
      <w:pPr>
        <w:spacing w:line="240" w:lineRule="auto"/>
        <w:ind w:firstLine="0"/>
        <w:jc w:val="center"/>
        <w:rPr>
          <w:rFonts w:ascii="Lato" w:hAnsi="Lato"/>
          <w:color w:val="1F497D"/>
          <w:highlight w:val="yellow"/>
        </w:rPr>
      </w:pPr>
      <w:r>
        <w:rPr>
          <w:noProof/>
        </w:rPr>
        <w:drawing>
          <wp:inline distT="0" distB="0" distL="0" distR="0" wp14:anchorId="5426F42D" wp14:editId="757244BA">
            <wp:extent cx="4991100" cy="3038475"/>
            <wp:effectExtent l="0" t="0" r="0" b="0"/>
            <wp:docPr id="24"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73385" w:rsidRPr="004B730B" w:rsidRDefault="00F73385" w:rsidP="00F73385">
      <w:pPr>
        <w:spacing w:line="240" w:lineRule="auto"/>
        <w:ind w:firstLine="0"/>
        <w:jc w:val="center"/>
        <w:rPr>
          <w:rFonts w:ascii="Lato" w:hAnsi="Lato"/>
          <w:b/>
          <w:color w:val="1F497D"/>
          <w:sz w:val="20"/>
          <w:szCs w:val="20"/>
        </w:rPr>
      </w:pPr>
      <w:bookmarkStart w:id="136" w:name="_Toc20219230"/>
      <w:r w:rsidRPr="004B730B">
        <w:rPr>
          <w:rFonts w:ascii="Lato" w:hAnsi="Lato"/>
          <w:b/>
          <w:color w:val="1F497D"/>
          <w:sz w:val="20"/>
          <w:szCs w:val="20"/>
        </w:rPr>
        <w:t xml:space="preserve">Rysunek </w:t>
      </w:r>
      <w:r w:rsidR="004042AE" w:rsidRPr="004B730B">
        <w:rPr>
          <w:rFonts w:ascii="Lato" w:hAnsi="Lato"/>
          <w:b/>
          <w:color w:val="1F497D"/>
          <w:sz w:val="20"/>
          <w:szCs w:val="20"/>
        </w:rPr>
        <w:fldChar w:fldCharType="begin"/>
      </w:r>
      <w:r w:rsidR="005430ED" w:rsidRPr="004B730B">
        <w:rPr>
          <w:rFonts w:ascii="Lato" w:hAnsi="Lato"/>
          <w:b/>
          <w:color w:val="1F497D"/>
          <w:sz w:val="20"/>
          <w:szCs w:val="20"/>
        </w:rPr>
        <w:instrText xml:space="preserve"> STYLEREF 1 \s </w:instrText>
      </w:r>
      <w:r w:rsidR="004042AE" w:rsidRPr="004B730B">
        <w:rPr>
          <w:rFonts w:ascii="Lato" w:hAnsi="Lato"/>
          <w:b/>
          <w:color w:val="1F497D"/>
          <w:sz w:val="20"/>
          <w:szCs w:val="20"/>
        </w:rPr>
        <w:fldChar w:fldCharType="separate"/>
      </w:r>
      <w:r w:rsidR="0040205B">
        <w:rPr>
          <w:rFonts w:ascii="Lato" w:hAnsi="Lato"/>
          <w:b/>
          <w:noProof/>
          <w:color w:val="1F497D"/>
          <w:sz w:val="20"/>
          <w:szCs w:val="20"/>
        </w:rPr>
        <w:t>2</w:t>
      </w:r>
      <w:r w:rsidR="004042AE" w:rsidRPr="004B730B">
        <w:rPr>
          <w:rFonts w:ascii="Lato" w:hAnsi="Lato"/>
          <w:b/>
          <w:color w:val="1F497D"/>
          <w:sz w:val="20"/>
          <w:szCs w:val="20"/>
        </w:rPr>
        <w:fldChar w:fldCharType="end"/>
      </w:r>
      <w:r w:rsidR="005430ED" w:rsidRPr="004B730B">
        <w:rPr>
          <w:rFonts w:ascii="Lato" w:hAnsi="Lato"/>
          <w:b/>
          <w:color w:val="1F497D"/>
          <w:sz w:val="20"/>
          <w:szCs w:val="20"/>
        </w:rPr>
        <w:noBreakHyphen/>
      </w:r>
      <w:r w:rsidR="004042AE" w:rsidRPr="004B730B">
        <w:rPr>
          <w:rFonts w:ascii="Lato" w:hAnsi="Lato"/>
          <w:b/>
          <w:color w:val="1F497D"/>
          <w:sz w:val="20"/>
          <w:szCs w:val="20"/>
        </w:rPr>
        <w:fldChar w:fldCharType="begin"/>
      </w:r>
      <w:r w:rsidR="005430ED" w:rsidRPr="004B730B">
        <w:rPr>
          <w:rFonts w:ascii="Lato" w:hAnsi="Lato"/>
          <w:b/>
          <w:color w:val="1F497D"/>
          <w:sz w:val="20"/>
          <w:szCs w:val="20"/>
        </w:rPr>
        <w:instrText xml:space="preserve"> SEQ Rysunek \* ARABIC \s 1 </w:instrText>
      </w:r>
      <w:r w:rsidR="004042AE" w:rsidRPr="004B730B">
        <w:rPr>
          <w:rFonts w:ascii="Lato" w:hAnsi="Lato"/>
          <w:b/>
          <w:color w:val="1F497D"/>
          <w:sz w:val="20"/>
          <w:szCs w:val="20"/>
        </w:rPr>
        <w:fldChar w:fldCharType="separate"/>
      </w:r>
      <w:r w:rsidR="0040205B">
        <w:rPr>
          <w:rFonts w:ascii="Lato" w:hAnsi="Lato"/>
          <w:b/>
          <w:noProof/>
          <w:color w:val="1F497D"/>
          <w:sz w:val="20"/>
          <w:szCs w:val="20"/>
        </w:rPr>
        <w:t>11</w:t>
      </w:r>
      <w:r w:rsidR="004042AE" w:rsidRPr="004B730B">
        <w:rPr>
          <w:rFonts w:ascii="Lato" w:hAnsi="Lato"/>
          <w:b/>
          <w:color w:val="1F497D"/>
          <w:sz w:val="20"/>
          <w:szCs w:val="20"/>
        </w:rPr>
        <w:fldChar w:fldCharType="end"/>
      </w:r>
      <w:r w:rsidRPr="004B730B">
        <w:rPr>
          <w:rFonts w:ascii="Lato" w:hAnsi="Lato"/>
          <w:b/>
          <w:color w:val="1F497D"/>
          <w:sz w:val="20"/>
          <w:szCs w:val="20"/>
        </w:rPr>
        <w:t xml:space="preserve"> Trend zmian sprzedaży gazu ziemnego w poszczególnych grupach taryfowych w latach 201</w:t>
      </w:r>
      <w:r w:rsidR="00BA0399" w:rsidRPr="004B730B">
        <w:rPr>
          <w:rFonts w:ascii="Lato" w:hAnsi="Lato"/>
          <w:b/>
          <w:color w:val="1F497D"/>
          <w:sz w:val="20"/>
          <w:szCs w:val="20"/>
        </w:rPr>
        <w:t>6</w:t>
      </w:r>
      <w:r w:rsidRPr="004B730B">
        <w:rPr>
          <w:rFonts w:ascii="Lato" w:hAnsi="Lato"/>
          <w:b/>
          <w:color w:val="1F497D"/>
          <w:sz w:val="20"/>
          <w:szCs w:val="20"/>
        </w:rPr>
        <w:t>-201</w:t>
      </w:r>
      <w:r w:rsidR="00BA0399" w:rsidRPr="004B730B">
        <w:rPr>
          <w:rFonts w:ascii="Lato" w:hAnsi="Lato"/>
          <w:b/>
          <w:color w:val="1F497D"/>
          <w:sz w:val="20"/>
          <w:szCs w:val="20"/>
        </w:rPr>
        <w:t>8</w:t>
      </w:r>
      <w:bookmarkEnd w:id="136"/>
    </w:p>
    <w:p w:rsidR="00F73385" w:rsidRDefault="00F73385" w:rsidP="0073689C">
      <w:pPr>
        <w:pStyle w:val="Tekstpodstawowy"/>
        <w:jc w:val="center"/>
        <w:rPr>
          <w:rFonts w:ascii="Lato" w:hAnsi="Lato" w:cs="Times New Roman"/>
          <w:i/>
          <w:sz w:val="20"/>
          <w:szCs w:val="20"/>
        </w:rPr>
      </w:pPr>
      <w:r w:rsidRPr="004B730B">
        <w:rPr>
          <w:rFonts w:ascii="Lato" w:hAnsi="Lato" w:cs="Times New Roman"/>
          <w:i/>
          <w:sz w:val="20"/>
          <w:szCs w:val="20"/>
        </w:rPr>
        <w:t xml:space="preserve">Źródło: </w:t>
      </w:r>
      <w:r w:rsidR="00BD0E60" w:rsidRPr="00BD0E60">
        <w:rPr>
          <w:rFonts w:ascii="Lato" w:hAnsi="Lato" w:cs="Times New Roman"/>
          <w:i/>
          <w:sz w:val="20"/>
          <w:szCs w:val="20"/>
        </w:rPr>
        <w:t>Obliczenia własne</w:t>
      </w:r>
    </w:p>
    <w:p w:rsidR="00A200F9" w:rsidRDefault="00A200F9" w:rsidP="0073689C">
      <w:pPr>
        <w:pStyle w:val="Tekstpodstawowy"/>
        <w:jc w:val="center"/>
        <w:rPr>
          <w:rFonts w:ascii="Lato" w:hAnsi="Lato" w:cs="Times New Roman"/>
          <w:i/>
          <w:sz w:val="20"/>
          <w:szCs w:val="20"/>
        </w:rPr>
      </w:pPr>
    </w:p>
    <w:p w:rsidR="00A200F9" w:rsidRDefault="00A200F9" w:rsidP="0073689C">
      <w:pPr>
        <w:pStyle w:val="Tekstpodstawowy"/>
        <w:jc w:val="center"/>
        <w:rPr>
          <w:rFonts w:ascii="Lato" w:hAnsi="Lato" w:cs="Times New Roman"/>
          <w:i/>
          <w:sz w:val="20"/>
          <w:szCs w:val="20"/>
        </w:rPr>
      </w:pPr>
    </w:p>
    <w:p w:rsidR="00276020" w:rsidRPr="00DF6123" w:rsidRDefault="00276020" w:rsidP="00AB431C">
      <w:pPr>
        <w:pStyle w:val="Nagwek4"/>
        <w:numPr>
          <w:ilvl w:val="3"/>
          <w:numId w:val="59"/>
        </w:numPr>
        <w:ind w:left="993" w:right="52" w:hanging="993"/>
        <w:jc w:val="both"/>
        <w:rPr>
          <w:rFonts w:ascii="Lato" w:hAnsi="Lato"/>
          <w:b w:val="0"/>
          <w:i w:val="0"/>
          <w:color w:val="365F91"/>
        </w:rPr>
      </w:pPr>
      <w:r w:rsidRPr="00DF6123">
        <w:rPr>
          <w:rFonts w:ascii="Lato" w:hAnsi="Lato"/>
          <w:b w:val="0"/>
          <w:i w:val="0"/>
          <w:color w:val="365F91"/>
        </w:rPr>
        <w:t xml:space="preserve">Plany rozwojowe dla systemu gazowniczego na terenie </w:t>
      </w:r>
      <w:r w:rsidR="00B71E13" w:rsidRPr="00DF6123">
        <w:rPr>
          <w:rFonts w:ascii="Lato" w:hAnsi="Lato"/>
          <w:b w:val="0"/>
          <w:i w:val="0"/>
          <w:color w:val="365F91"/>
        </w:rPr>
        <w:t>gminy</w:t>
      </w:r>
    </w:p>
    <w:p w:rsidR="007415C9" w:rsidRPr="00DF6123" w:rsidRDefault="00DF6123" w:rsidP="00DF6123">
      <w:pPr>
        <w:ind w:firstLine="709"/>
        <w:jc w:val="both"/>
        <w:rPr>
          <w:rFonts w:ascii="Lato" w:hAnsi="Lato"/>
        </w:rPr>
      </w:pPr>
      <w:r w:rsidRPr="00DF6123">
        <w:rPr>
          <w:rFonts w:ascii="Lato" w:hAnsi="Lato"/>
        </w:rPr>
        <w:t xml:space="preserve">W poniższej tabeli przedstawiono wykaz inwestycji planowanych / realizowanych na terenie Gminy Pabianice, zgodnie z informacjami z dnia 3.04.2019 r., przesłanymi przez Polską Spółkę Gazownictwa Sp. z o. o. </w:t>
      </w:r>
    </w:p>
    <w:p w:rsidR="00D835DD" w:rsidRPr="00E44CE9" w:rsidRDefault="00D835DD" w:rsidP="00344F67">
      <w:pPr>
        <w:jc w:val="both"/>
        <w:rPr>
          <w:rFonts w:ascii="Lato" w:hAnsi="Lato"/>
        </w:rPr>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34"/>
        <w:gridCol w:w="3685"/>
        <w:gridCol w:w="1418"/>
        <w:gridCol w:w="1972"/>
        <w:gridCol w:w="2020"/>
      </w:tblGrid>
      <w:tr w:rsidR="00087D9A" w:rsidRPr="00087D9A" w:rsidTr="00087D9A">
        <w:tc>
          <w:tcPr>
            <w:tcW w:w="534" w:type="dxa"/>
            <w:shd w:val="clear" w:color="auto" w:fill="DBE5F1" w:themeFill="accent1" w:themeFillTint="33"/>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Lp.</w:t>
            </w:r>
          </w:p>
        </w:tc>
        <w:tc>
          <w:tcPr>
            <w:tcW w:w="3685" w:type="dxa"/>
            <w:shd w:val="clear" w:color="auto" w:fill="DBE5F1" w:themeFill="accent1" w:themeFillTint="33"/>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Adres inwestycji</w:t>
            </w:r>
          </w:p>
        </w:tc>
        <w:tc>
          <w:tcPr>
            <w:tcW w:w="1418" w:type="dxa"/>
            <w:shd w:val="clear" w:color="auto" w:fill="DBE5F1" w:themeFill="accent1" w:themeFillTint="33"/>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Długość, mb</w:t>
            </w:r>
          </w:p>
        </w:tc>
        <w:tc>
          <w:tcPr>
            <w:tcW w:w="1972" w:type="dxa"/>
            <w:shd w:val="clear" w:color="auto" w:fill="DBE5F1" w:themeFill="accent1" w:themeFillTint="33"/>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Planowany termin inwestycji</w:t>
            </w:r>
          </w:p>
        </w:tc>
        <w:tc>
          <w:tcPr>
            <w:tcW w:w="2020" w:type="dxa"/>
            <w:shd w:val="clear" w:color="auto" w:fill="DBE5F1" w:themeFill="accent1" w:themeFillTint="33"/>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Uwagi</w:t>
            </w:r>
          </w:p>
        </w:tc>
      </w:tr>
      <w:tr w:rsidR="00087D9A" w:rsidRPr="00087D9A" w:rsidTr="00087D9A">
        <w:tc>
          <w:tcPr>
            <w:tcW w:w="534" w:type="dxa"/>
            <w:shd w:val="clear" w:color="auto" w:fill="auto"/>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1.</w:t>
            </w:r>
          </w:p>
        </w:tc>
        <w:tc>
          <w:tcPr>
            <w:tcW w:w="3685" w:type="dxa"/>
            <w:shd w:val="clear" w:color="auto" w:fill="auto"/>
            <w:vAlign w:val="center"/>
          </w:tcPr>
          <w:p w:rsidR="00E44CE9" w:rsidRPr="00087D9A" w:rsidRDefault="00E44CE9" w:rsidP="00087D9A">
            <w:pPr>
              <w:ind w:firstLine="0"/>
              <w:rPr>
                <w:rFonts w:ascii="Lato" w:hAnsi="Lato"/>
                <w:color w:val="1F497D" w:themeColor="text2"/>
              </w:rPr>
            </w:pPr>
            <w:r w:rsidRPr="00087D9A">
              <w:rPr>
                <w:rFonts w:ascii="Lato" w:hAnsi="Lato"/>
                <w:color w:val="1F497D" w:themeColor="text2"/>
              </w:rPr>
              <w:t>Szynkielew Petrykozy</w:t>
            </w:r>
          </w:p>
        </w:tc>
        <w:tc>
          <w:tcPr>
            <w:tcW w:w="1418"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3454,00</w:t>
            </w:r>
          </w:p>
        </w:tc>
        <w:tc>
          <w:tcPr>
            <w:tcW w:w="1972"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31.12.2020 r.</w:t>
            </w:r>
          </w:p>
        </w:tc>
        <w:tc>
          <w:tcPr>
            <w:tcW w:w="2020"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projekt + budowa</w:t>
            </w:r>
          </w:p>
        </w:tc>
      </w:tr>
      <w:tr w:rsidR="00087D9A" w:rsidRPr="00087D9A" w:rsidTr="00087D9A">
        <w:tc>
          <w:tcPr>
            <w:tcW w:w="534" w:type="dxa"/>
            <w:shd w:val="clear" w:color="auto" w:fill="auto"/>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2.</w:t>
            </w:r>
          </w:p>
        </w:tc>
        <w:tc>
          <w:tcPr>
            <w:tcW w:w="3685" w:type="dxa"/>
            <w:shd w:val="clear" w:color="auto" w:fill="auto"/>
            <w:vAlign w:val="center"/>
          </w:tcPr>
          <w:p w:rsidR="00E44CE9" w:rsidRPr="00087D9A" w:rsidRDefault="00E44CE9" w:rsidP="00087D9A">
            <w:pPr>
              <w:ind w:firstLine="0"/>
              <w:rPr>
                <w:rFonts w:ascii="Lato" w:hAnsi="Lato"/>
                <w:color w:val="1F497D" w:themeColor="text2"/>
              </w:rPr>
            </w:pPr>
            <w:r w:rsidRPr="00087D9A">
              <w:rPr>
                <w:rFonts w:ascii="Lato" w:hAnsi="Lato"/>
                <w:color w:val="1F497D" w:themeColor="text2"/>
              </w:rPr>
              <w:t>Pabianice/Petrykozy/Szynkielew</w:t>
            </w:r>
          </w:p>
        </w:tc>
        <w:tc>
          <w:tcPr>
            <w:tcW w:w="1418"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2310,00</w:t>
            </w:r>
          </w:p>
        </w:tc>
        <w:tc>
          <w:tcPr>
            <w:tcW w:w="1972"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30.06.2021 r.</w:t>
            </w:r>
          </w:p>
        </w:tc>
        <w:tc>
          <w:tcPr>
            <w:tcW w:w="2020"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projekt + budowa</w:t>
            </w:r>
          </w:p>
        </w:tc>
      </w:tr>
      <w:tr w:rsidR="00087D9A" w:rsidRPr="00087D9A" w:rsidTr="00087D9A">
        <w:tc>
          <w:tcPr>
            <w:tcW w:w="534" w:type="dxa"/>
            <w:shd w:val="clear" w:color="auto" w:fill="auto"/>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3.</w:t>
            </w:r>
          </w:p>
        </w:tc>
        <w:tc>
          <w:tcPr>
            <w:tcW w:w="3685" w:type="dxa"/>
            <w:shd w:val="clear" w:color="auto" w:fill="auto"/>
            <w:vAlign w:val="center"/>
          </w:tcPr>
          <w:p w:rsidR="00E44CE9" w:rsidRPr="00087D9A" w:rsidRDefault="00E44CE9" w:rsidP="00087D9A">
            <w:pPr>
              <w:ind w:firstLine="0"/>
              <w:rPr>
                <w:rFonts w:ascii="Lato" w:hAnsi="Lato"/>
                <w:color w:val="1F497D" w:themeColor="text2"/>
              </w:rPr>
            </w:pPr>
            <w:r w:rsidRPr="00087D9A">
              <w:rPr>
                <w:rFonts w:ascii="Lato" w:hAnsi="Lato"/>
                <w:color w:val="1F497D" w:themeColor="text2"/>
              </w:rPr>
              <w:t>Bychlew</w:t>
            </w:r>
          </w:p>
        </w:tc>
        <w:tc>
          <w:tcPr>
            <w:tcW w:w="1418"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4208,00</w:t>
            </w:r>
          </w:p>
        </w:tc>
        <w:tc>
          <w:tcPr>
            <w:tcW w:w="1972"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30.11.2020 r.</w:t>
            </w:r>
          </w:p>
        </w:tc>
        <w:tc>
          <w:tcPr>
            <w:tcW w:w="2020"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 xml:space="preserve">budowa </w:t>
            </w:r>
            <w:r w:rsidR="00DF6123" w:rsidRPr="00087D9A">
              <w:rPr>
                <w:rFonts w:ascii="Lato" w:hAnsi="Lato"/>
                <w:color w:val="1F497D" w:themeColor="text2"/>
              </w:rPr>
              <w:t>zgodnie z </w:t>
            </w:r>
            <w:r w:rsidRPr="00087D9A">
              <w:rPr>
                <w:rFonts w:ascii="Lato" w:hAnsi="Lato"/>
                <w:color w:val="1F497D" w:themeColor="text2"/>
              </w:rPr>
              <w:t>harmonogramem przebudowy drogi</w:t>
            </w:r>
          </w:p>
        </w:tc>
      </w:tr>
      <w:tr w:rsidR="00087D9A" w:rsidRPr="00087D9A" w:rsidTr="00087D9A">
        <w:tc>
          <w:tcPr>
            <w:tcW w:w="534" w:type="dxa"/>
            <w:shd w:val="clear" w:color="auto" w:fill="auto"/>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4.</w:t>
            </w:r>
          </w:p>
        </w:tc>
        <w:tc>
          <w:tcPr>
            <w:tcW w:w="3685" w:type="dxa"/>
            <w:shd w:val="clear" w:color="auto" w:fill="auto"/>
            <w:vAlign w:val="center"/>
          </w:tcPr>
          <w:p w:rsidR="00E44CE9" w:rsidRPr="00087D9A" w:rsidRDefault="00E44CE9" w:rsidP="00087D9A">
            <w:pPr>
              <w:ind w:firstLine="0"/>
              <w:rPr>
                <w:rFonts w:ascii="Lato" w:hAnsi="Lato"/>
                <w:color w:val="1F497D" w:themeColor="text2"/>
              </w:rPr>
            </w:pPr>
            <w:r w:rsidRPr="00087D9A">
              <w:rPr>
                <w:rFonts w:ascii="Lato" w:hAnsi="Lato"/>
                <w:color w:val="1F497D" w:themeColor="text2"/>
              </w:rPr>
              <w:t>Piątkowisko, ul. Miedziana, Mosiężna, Spiżowa, Tytanowa</w:t>
            </w:r>
          </w:p>
        </w:tc>
        <w:tc>
          <w:tcPr>
            <w:tcW w:w="1418"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859,00</w:t>
            </w:r>
          </w:p>
        </w:tc>
        <w:tc>
          <w:tcPr>
            <w:tcW w:w="1972"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31.12.2019 r.</w:t>
            </w:r>
          </w:p>
        </w:tc>
        <w:tc>
          <w:tcPr>
            <w:tcW w:w="2020"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projekt + budowa</w:t>
            </w:r>
          </w:p>
        </w:tc>
      </w:tr>
      <w:tr w:rsidR="00087D9A" w:rsidRPr="00087D9A" w:rsidTr="00087D9A">
        <w:tc>
          <w:tcPr>
            <w:tcW w:w="534" w:type="dxa"/>
            <w:shd w:val="clear" w:color="auto" w:fill="auto"/>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5.</w:t>
            </w:r>
          </w:p>
        </w:tc>
        <w:tc>
          <w:tcPr>
            <w:tcW w:w="3685" w:type="dxa"/>
            <w:shd w:val="clear" w:color="auto" w:fill="auto"/>
            <w:vAlign w:val="center"/>
          </w:tcPr>
          <w:p w:rsidR="00E44CE9" w:rsidRPr="00087D9A" w:rsidRDefault="00E44CE9" w:rsidP="00087D9A">
            <w:pPr>
              <w:ind w:firstLine="0"/>
              <w:rPr>
                <w:rFonts w:ascii="Lato" w:hAnsi="Lato"/>
                <w:color w:val="1F497D" w:themeColor="text2"/>
              </w:rPr>
            </w:pPr>
            <w:r w:rsidRPr="00087D9A">
              <w:rPr>
                <w:rFonts w:ascii="Lato" w:hAnsi="Lato"/>
                <w:color w:val="1F497D" w:themeColor="text2"/>
              </w:rPr>
              <w:t xml:space="preserve">Petrykozy, Górka </w:t>
            </w:r>
            <w:r w:rsidR="000F2422">
              <w:rPr>
                <w:rFonts w:ascii="Lato" w:hAnsi="Lato"/>
                <w:color w:val="1F497D" w:themeColor="text2"/>
              </w:rPr>
              <w:t>Pabianicka, Świątniki, P</w:t>
            </w:r>
            <w:r w:rsidR="004232DE" w:rsidRPr="00087D9A">
              <w:rPr>
                <w:rFonts w:ascii="Lato" w:hAnsi="Lato"/>
                <w:color w:val="1F497D" w:themeColor="text2"/>
              </w:rPr>
              <w:t>o</w:t>
            </w:r>
            <w:r w:rsidR="000F2422">
              <w:rPr>
                <w:rFonts w:ascii="Lato" w:hAnsi="Lato"/>
                <w:color w:val="1F497D" w:themeColor="text2"/>
              </w:rPr>
              <w:t>r</w:t>
            </w:r>
            <w:r w:rsidR="004232DE" w:rsidRPr="00087D9A">
              <w:rPr>
                <w:rFonts w:ascii="Lato" w:hAnsi="Lato"/>
                <w:color w:val="1F497D" w:themeColor="text2"/>
              </w:rPr>
              <w:t>szewice, Prusinowice</w:t>
            </w:r>
          </w:p>
        </w:tc>
        <w:tc>
          <w:tcPr>
            <w:tcW w:w="1418"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9035,00</w:t>
            </w:r>
          </w:p>
        </w:tc>
        <w:tc>
          <w:tcPr>
            <w:tcW w:w="1972"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koniec 2020 r.</w:t>
            </w:r>
          </w:p>
        </w:tc>
        <w:tc>
          <w:tcPr>
            <w:tcW w:w="2020"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projekt</w:t>
            </w:r>
          </w:p>
        </w:tc>
      </w:tr>
      <w:tr w:rsidR="00087D9A" w:rsidRPr="00087D9A" w:rsidTr="00087D9A">
        <w:tc>
          <w:tcPr>
            <w:tcW w:w="534" w:type="dxa"/>
            <w:shd w:val="clear" w:color="auto" w:fill="auto"/>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6.</w:t>
            </w:r>
          </w:p>
        </w:tc>
        <w:tc>
          <w:tcPr>
            <w:tcW w:w="3685" w:type="dxa"/>
            <w:shd w:val="clear" w:color="auto" w:fill="auto"/>
            <w:vAlign w:val="center"/>
          </w:tcPr>
          <w:p w:rsidR="00E44CE9" w:rsidRPr="00087D9A" w:rsidRDefault="004232DE" w:rsidP="00087D9A">
            <w:pPr>
              <w:ind w:firstLine="0"/>
              <w:rPr>
                <w:rFonts w:ascii="Lato" w:hAnsi="Lato"/>
                <w:color w:val="1F497D" w:themeColor="text2"/>
              </w:rPr>
            </w:pPr>
            <w:r w:rsidRPr="00087D9A">
              <w:rPr>
                <w:rFonts w:ascii="Lato" w:hAnsi="Lato"/>
                <w:color w:val="1F497D" w:themeColor="text2"/>
              </w:rPr>
              <w:t>Pabianice – Pawlikowice – Pawłówek</w:t>
            </w:r>
          </w:p>
        </w:tc>
        <w:tc>
          <w:tcPr>
            <w:tcW w:w="1418"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9608,00</w:t>
            </w:r>
          </w:p>
        </w:tc>
        <w:tc>
          <w:tcPr>
            <w:tcW w:w="1972"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koniec 2020 r.</w:t>
            </w:r>
          </w:p>
        </w:tc>
        <w:tc>
          <w:tcPr>
            <w:tcW w:w="2020"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projekt + budowa</w:t>
            </w:r>
          </w:p>
        </w:tc>
      </w:tr>
      <w:tr w:rsidR="00087D9A" w:rsidRPr="00087D9A" w:rsidTr="00087D9A">
        <w:tc>
          <w:tcPr>
            <w:tcW w:w="534" w:type="dxa"/>
            <w:shd w:val="clear" w:color="auto" w:fill="auto"/>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7.</w:t>
            </w:r>
          </w:p>
        </w:tc>
        <w:tc>
          <w:tcPr>
            <w:tcW w:w="3685" w:type="dxa"/>
            <w:shd w:val="clear" w:color="auto" w:fill="auto"/>
            <w:vAlign w:val="center"/>
          </w:tcPr>
          <w:p w:rsidR="00E44CE9" w:rsidRPr="00087D9A" w:rsidRDefault="00C371C9" w:rsidP="00087D9A">
            <w:pPr>
              <w:ind w:firstLine="0"/>
              <w:rPr>
                <w:rFonts w:ascii="Lato" w:hAnsi="Lato"/>
                <w:color w:val="1F497D" w:themeColor="text2"/>
              </w:rPr>
            </w:pPr>
            <w:r w:rsidRPr="00087D9A">
              <w:rPr>
                <w:rFonts w:ascii="Lato" w:hAnsi="Lato"/>
                <w:color w:val="1F497D" w:themeColor="text2"/>
              </w:rPr>
              <w:t>Piątkowisko dz. 569/8, 568/8, 567/8, 566/8, dz. 570/6, 571/6, 572/6, dz. 570/9, 571/9, 572/9</w:t>
            </w:r>
          </w:p>
        </w:tc>
        <w:tc>
          <w:tcPr>
            <w:tcW w:w="1418"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525,00</w:t>
            </w:r>
          </w:p>
        </w:tc>
        <w:tc>
          <w:tcPr>
            <w:tcW w:w="1972"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30.05.2020 r.</w:t>
            </w:r>
          </w:p>
        </w:tc>
        <w:tc>
          <w:tcPr>
            <w:tcW w:w="2020"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projekt + budowa</w:t>
            </w:r>
          </w:p>
        </w:tc>
      </w:tr>
      <w:tr w:rsidR="00087D9A" w:rsidRPr="00087D9A" w:rsidTr="00087D9A">
        <w:tc>
          <w:tcPr>
            <w:tcW w:w="534" w:type="dxa"/>
            <w:shd w:val="clear" w:color="auto" w:fill="auto"/>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8.</w:t>
            </w:r>
          </w:p>
        </w:tc>
        <w:tc>
          <w:tcPr>
            <w:tcW w:w="3685" w:type="dxa"/>
            <w:shd w:val="clear" w:color="auto" w:fill="auto"/>
            <w:vAlign w:val="center"/>
          </w:tcPr>
          <w:p w:rsidR="00E44CE9" w:rsidRPr="00087D9A" w:rsidRDefault="00C371C9" w:rsidP="00087D9A">
            <w:pPr>
              <w:ind w:firstLine="0"/>
              <w:rPr>
                <w:rFonts w:ascii="Lato" w:hAnsi="Lato"/>
                <w:color w:val="1F497D" w:themeColor="text2"/>
              </w:rPr>
            </w:pPr>
            <w:r w:rsidRPr="00087D9A">
              <w:rPr>
                <w:rFonts w:ascii="Lato" w:hAnsi="Lato"/>
                <w:color w:val="1F497D" w:themeColor="text2"/>
              </w:rPr>
              <w:t>Piątkowisko</w:t>
            </w:r>
          </w:p>
        </w:tc>
        <w:tc>
          <w:tcPr>
            <w:tcW w:w="1418"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320,00</w:t>
            </w:r>
          </w:p>
        </w:tc>
        <w:tc>
          <w:tcPr>
            <w:tcW w:w="1972"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30.04.2021 r.</w:t>
            </w:r>
          </w:p>
        </w:tc>
        <w:tc>
          <w:tcPr>
            <w:tcW w:w="2020"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projekt + budowa</w:t>
            </w:r>
          </w:p>
        </w:tc>
      </w:tr>
      <w:tr w:rsidR="00087D9A" w:rsidRPr="00087D9A" w:rsidTr="00087D9A">
        <w:tc>
          <w:tcPr>
            <w:tcW w:w="534" w:type="dxa"/>
            <w:shd w:val="clear" w:color="auto" w:fill="auto"/>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9.</w:t>
            </w:r>
          </w:p>
        </w:tc>
        <w:tc>
          <w:tcPr>
            <w:tcW w:w="3685" w:type="dxa"/>
            <w:shd w:val="clear" w:color="auto" w:fill="auto"/>
            <w:vAlign w:val="center"/>
          </w:tcPr>
          <w:p w:rsidR="00E44CE9" w:rsidRPr="00087D9A" w:rsidRDefault="00C371C9" w:rsidP="00087D9A">
            <w:pPr>
              <w:ind w:firstLine="0"/>
              <w:rPr>
                <w:rFonts w:ascii="Lato" w:hAnsi="Lato"/>
                <w:color w:val="1F497D" w:themeColor="text2"/>
              </w:rPr>
            </w:pPr>
            <w:r w:rsidRPr="00087D9A">
              <w:rPr>
                <w:rFonts w:ascii="Lato" w:hAnsi="Lato"/>
                <w:color w:val="1F497D" w:themeColor="text2"/>
              </w:rPr>
              <w:t>Piątkowisko</w:t>
            </w:r>
          </w:p>
        </w:tc>
        <w:tc>
          <w:tcPr>
            <w:tcW w:w="1418"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40,00</w:t>
            </w:r>
          </w:p>
        </w:tc>
        <w:tc>
          <w:tcPr>
            <w:tcW w:w="1972"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13.11.2020 r.</w:t>
            </w:r>
          </w:p>
        </w:tc>
        <w:tc>
          <w:tcPr>
            <w:tcW w:w="2020"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projekt + budowa</w:t>
            </w:r>
          </w:p>
        </w:tc>
      </w:tr>
      <w:tr w:rsidR="00087D9A" w:rsidRPr="00087D9A" w:rsidTr="00087D9A">
        <w:tc>
          <w:tcPr>
            <w:tcW w:w="534" w:type="dxa"/>
            <w:shd w:val="clear" w:color="auto" w:fill="auto"/>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10.</w:t>
            </w:r>
          </w:p>
        </w:tc>
        <w:tc>
          <w:tcPr>
            <w:tcW w:w="3685" w:type="dxa"/>
            <w:shd w:val="clear" w:color="auto" w:fill="auto"/>
            <w:vAlign w:val="center"/>
          </w:tcPr>
          <w:p w:rsidR="00E44CE9" w:rsidRPr="00087D9A" w:rsidRDefault="00C371C9" w:rsidP="00087D9A">
            <w:pPr>
              <w:ind w:firstLine="0"/>
              <w:rPr>
                <w:rFonts w:ascii="Lato" w:hAnsi="Lato"/>
                <w:color w:val="1F497D" w:themeColor="text2"/>
              </w:rPr>
            </w:pPr>
            <w:r w:rsidRPr="00087D9A">
              <w:rPr>
                <w:rFonts w:ascii="Lato" w:hAnsi="Lato"/>
                <w:color w:val="1F497D" w:themeColor="text2"/>
              </w:rPr>
              <w:t>Piątkowisko ul. Platynowa</w:t>
            </w:r>
          </w:p>
        </w:tc>
        <w:tc>
          <w:tcPr>
            <w:tcW w:w="1418"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220,00</w:t>
            </w:r>
          </w:p>
        </w:tc>
        <w:tc>
          <w:tcPr>
            <w:tcW w:w="1972"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08.10.2020 r.</w:t>
            </w:r>
          </w:p>
        </w:tc>
        <w:tc>
          <w:tcPr>
            <w:tcW w:w="2020"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projekt + budowa</w:t>
            </w:r>
          </w:p>
        </w:tc>
      </w:tr>
      <w:tr w:rsidR="00087D9A" w:rsidRPr="00087D9A" w:rsidTr="00087D9A">
        <w:tc>
          <w:tcPr>
            <w:tcW w:w="534" w:type="dxa"/>
            <w:shd w:val="clear" w:color="auto" w:fill="auto"/>
            <w:vAlign w:val="center"/>
          </w:tcPr>
          <w:p w:rsidR="00E44CE9" w:rsidRPr="00087D9A" w:rsidRDefault="00E44CE9" w:rsidP="00087D9A">
            <w:pPr>
              <w:ind w:firstLine="0"/>
              <w:jc w:val="center"/>
              <w:rPr>
                <w:rFonts w:ascii="Lato" w:hAnsi="Lato"/>
                <w:color w:val="1F497D" w:themeColor="text2"/>
              </w:rPr>
            </w:pPr>
            <w:r w:rsidRPr="00087D9A">
              <w:rPr>
                <w:rFonts w:ascii="Lato" w:hAnsi="Lato"/>
                <w:color w:val="1F497D" w:themeColor="text2"/>
              </w:rPr>
              <w:t>11.</w:t>
            </w:r>
          </w:p>
        </w:tc>
        <w:tc>
          <w:tcPr>
            <w:tcW w:w="3685" w:type="dxa"/>
            <w:shd w:val="clear" w:color="auto" w:fill="auto"/>
            <w:vAlign w:val="center"/>
          </w:tcPr>
          <w:p w:rsidR="00E44CE9" w:rsidRPr="00087D9A" w:rsidRDefault="00C371C9" w:rsidP="00087D9A">
            <w:pPr>
              <w:ind w:firstLine="0"/>
              <w:rPr>
                <w:rFonts w:ascii="Lato" w:hAnsi="Lato"/>
                <w:color w:val="1F497D" w:themeColor="text2"/>
              </w:rPr>
            </w:pPr>
            <w:r w:rsidRPr="00087D9A">
              <w:rPr>
                <w:rFonts w:ascii="Lato" w:hAnsi="Lato"/>
                <w:color w:val="1F497D" w:themeColor="text2"/>
              </w:rPr>
              <w:t>Piątkowisko ul. Cynkowa</w:t>
            </w:r>
          </w:p>
        </w:tc>
        <w:tc>
          <w:tcPr>
            <w:tcW w:w="1418" w:type="dxa"/>
            <w:shd w:val="clear" w:color="auto" w:fill="auto"/>
            <w:vAlign w:val="center"/>
          </w:tcPr>
          <w:p w:rsidR="00E44CE9" w:rsidRPr="00087D9A" w:rsidRDefault="00C371C9" w:rsidP="00087D9A">
            <w:pPr>
              <w:ind w:firstLine="0"/>
              <w:jc w:val="center"/>
              <w:rPr>
                <w:rFonts w:ascii="Lato" w:hAnsi="Lato"/>
                <w:color w:val="1F497D" w:themeColor="text2"/>
              </w:rPr>
            </w:pPr>
            <w:r w:rsidRPr="00087D9A">
              <w:rPr>
                <w:rFonts w:ascii="Lato" w:hAnsi="Lato"/>
                <w:color w:val="1F497D" w:themeColor="text2"/>
              </w:rPr>
              <w:t>145,00</w:t>
            </w:r>
          </w:p>
        </w:tc>
        <w:tc>
          <w:tcPr>
            <w:tcW w:w="1972"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05.10.2020 r.</w:t>
            </w:r>
          </w:p>
        </w:tc>
        <w:tc>
          <w:tcPr>
            <w:tcW w:w="2020" w:type="dxa"/>
            <w:shd w:val="clear" w:color="auto" w:fill="auto"/>
            <w:vAlign w:val="center"/>
          </w:tcPr>
          <w:p w:rsidR="00E44CE9" w:rsidRPr="00087D9A" w:rsidRDefault="00AA2ABD" w:rsidP="00087D9A">
            <w:pPr>
              <w:ind w:firstLine="0"/>
              <w:jc w:val="center"/>
              <w:rPr>
                <w:rFonts w:ascii="Lato" w:hAnsi="Lato"/>
                <w:color w:val="1F497D" w:themeColor="text2"/>
              </w:rPr>
            </w:pPr>
            <w:r w:rsidRPr="00087D9A">
              <w:rPr>
                <w:rFonts w:ascii="Lato" w:hAnsi="Lato"/>
                <w:color w:val="1F497D" w:themeColor="text2"/>
              </w:rPr>
              <w:t>projekt + budowa</w:t>
            </w:r>
          </w:p>
        </w:tc>
      </w:tr>
    </w:tbl>
    <w:p w:rsidR="00CC5776" w:rsidRDefault="00CC5776" w:rsidP="00CC5776">
      <w:pPr>
        <w:pStyle w:val="Tekstpodstawowy"/>
        <w:jc w:val="center"/>
        <w:rPr>
          <w:rFonts w:ascii="Lato" w:hAnsi="Lato" w:cs="Times New Roman"/>
          <w:i/>
          <w:sz w:val="20"/>
          <w:szCs w:val="20"/>
        </w:rPr>
      </w:pPr>
      <w:r w:rsidRPr="004B730B">
        <w:rPr>
          <w:rFonts w:ascii="Lato" w:hAnsi="Lato" w:cs="Times New Roman"/>
          <w:i/>
          <w:sz w:val="20"/>
          <w:szCs w:val="20"/>
        </w:rPr>
        <w:t xml:space="preserve">Źródło: </w:t>
      </w:r>
      <w:r w:rsidRPr="00CC5776">
        <w:rPr>
          <w:rFonts w:ascii="Lato" w:hAnsi="Lato" w:cs="Times New Roman"/>
          <w:i/>
          <w:sz w:val="20"/>
          <w:szCs w:val="20"/>
        </w:rPr>
        <w:t>Polską Spółkę Gazownictwa Sp. z o. o.</w:t>
      </w:r>
    </w:p>
    <w:p w:rsidR="00D835DD" w:rsidRPr="00E44CE9" w:rsidRDefault="00D835DD" w:rsidP="00344F67">
      <w:pPr>
        <w:jc w:val="both"/>
        <w:rPr>
          <w:rFonts w:ascii="Lato" w:hAnsi="Lato"/>
        </w:rPr>
      </w:pPr>
    </w:p>
    <w:p w:rsidR="00D835DD" w:rsidRDefault="00D31EF0" w:rsidP="00617C1D">
      <w:pPr>
        <w:ind w:firstLine="709"/>
        <w:jc w:val="both"/>
        <w:rPr>
          <w:rFonts w:ascii="Lato" w:hAnsi="Lato"/>
        </w:rPr>
      </w:pPr>
      <w:r>
        <w:rPr>
          <w:rFonts w:ascii="Lato" w:hAnsi="Lato"/>
        </w:rPr>
        <w:t>Ponadto na terenie gminy realizowane jest przedsięwzięcie pod nazwą „Przebudowa sieci gazowej w ramach obwodnicy Łodzi”, polegające na prze</w:t>
      </w:r>
      <w:r w:rsidR="000F2422">
        <w:rPr>
          <w:rFonts w:ascii="Lato" w:hAnsi="Lato"/>
        </w:rPr>
        <w:t>budowie południowej części tzw. </w:t>
      </w:r>
      <w:r>
        <w:rPr>
          <w:rFonts w:ascii="Lato" w:hAnsi="Lato"/>
        </w:rPr>
        <w:t xml:space="preserve">„pierścienia łódzkiego” na gazociąg o średnicy DN 500 i </w:t>
      </w:r>
      <w:r w:rsidR="00C2097B">
        <w:rPr>
          <w:rFonts w:ascii="Lato" w:hAnsi="Lato"/>
        </w:rPr>
        <w:t>ciśnieniu 5,5 MPa, na odcinku o </w:t>
      </w:r>
      <w:r>
        <w:rPr>
          <w:rFonts w:ascii="Lato" w:hAnsi="Lato"/>
        </w:rPr>
        <w:t>długości ok. 46 km od węzła Rąbień do SRP I Łódź ul. Brzezińska, a także dostosowaniu stacji gazowych wysokiego ciśnienia oraz zespołów zaporowo-upu</w:t>
      </w:r>
      <w:r w:rsidR="000F2422">
        <w:rPr>
          <w:rFonts w:ascii="Lato" w:hAnsi="Lato"/>
        </w:rPr>
        <w:t>stowych do funkcjonowania w ww. </w:t>
      </w:r>
      <w:r>
        <w:rPr>
          <w:rFonts w:ascii="Lato" w:hAnsi="Lato"/>
        </w:rPr>
        <w:t xml:space="preserve">warunkach technologicznych. </w:t>
      </w:r>
      <w:r w:rsidR="00075CDB">
        <w:rPr>
          <w:rFonts w:ascii="Lato" w:hAnsi="Lato"/>
        </w:rPr>
        <w:t xml:space="preserve">Zakończenie prac planowane jest na 2025 r. </w:t>
      </w:r>
    </w:p>
    <w:p w:rsidR="00D31EF0" w:rsidRPr="00E44CE9" w:rsidRDefault="00D31EF0" w:rsidP="00344F67">
      <w:pPr>
        <w:jc w:val="both"/>
        <w:rPr>
          <w:rFonts w:ascii="Lato" w:hAnsi="Lato"/>
        </w:rPr>
      </w:pPr>
    </w:p>
    <w:p w:rsidR="00371BB5" w:rsidRPr="00197B5D" w:rsidRDefault="00371BB5" w:rsidP="00AB431C">
      <w:pPr>
        <w:pStyle w:val="Akapitzlist"/>
        <w:keepNext/>
        <w:numPr>
          <w:ilvl w:val="2"/>
          <w:numId w:val="38"/>
        </w:numPr>
        <w:tabs>
          <w:tab w:val="left" w:pos="709"/>
        </w:tabs>
        <w:spacing w:before="180" w:after="180" w:line="288" w:lineRule="auto"/>
        <w:ind w:left="709" w:hanging="709"/>
        <w:jc w:val="both"/>
        <w:outlineLvl w:val="2"/>
        <w:rPr>
          <w:rFonts w:ascii="Lato" w:hAnsi="Lato"/>
          <w:bCs/>
          <w:color w:val="365F91"/>
          <w:lang w:eastAsia="en-US"/>
        </w:rPr>
      </w:pPr>
      <w:bookmarkStart w:id="137" w:name="_Toc336943565"/>
      <w:bookmarkStart w:id="138" w:name="_Toc20218511"/>
      <w:r w:rsidRPr="00197B5D">
        <w:rPr>
          <w:rFonts w:ascii="Lato" w:hAnsi="Lato"/>
          <w:bCs/>
          <w:color w:val="365F91"/>
          <w:lang w:eastAsia="en-US"/>
        </w:rPr>
        <w:t>System elektroenergetyczny</w:t>
      </w:r>
      <w:bookmarkEnd w:id="137"/>
      <w:bookmarkEnd w:id="138"/>
    </w:p>
    <w:p w:rsidR="00371BB5" w:rsidRPr="00197B5D" w:rsidRDefault="00371BB5" w:rsidP="00AB431C">
      <w:pPr>
        <w:pStyle w:val="Nagwek4"/>
        <w:numPr>
          <w:ilvl w:val="3"/>
          <w:numId w:val="38"/>
        </w:numPr>
        <w:ind w:left="993" w:right="52" w:hanging="993"/>
        <w:jc w:val="both"/>
        <w:rPr>
          <w:rFonts w:ascii="Lato" w:hAnsi="Lato"/>
          <w:b w:val="0"/>
          <w:i w:val="0"/>
          <w:color w:val="365F91"/>
          <w:sz w:val="22"/>
          <w:szCs w:val="22"/>
        </w:rPr>
      </w:pPr>
      <w:r w:rsidRPr="00197B5D">
        <w:rPr>
          <w:rFonts w:ascii="Lato" w:hAnsi="Lato"/>
          <w:b w:val="0"/>
          <w:i w:val="0"/>
          <w:color w:val="365F91"/>
          <w:sz w:val="22"/>
          <w:szCs w:val="22"/>
        </w:rPr>
        <w:t>Informacje ogólne</w:t>
      </w:r>
    </w:p>
    <w:p w:rsidR="0016273C" w:rsidRDefault="0016273C" w:rsidP="00F73385">
      <w:pPr>
        <w:ind w:firstLine="540"/>
        <w:jc w:val="both"/>
        <w:rPr>
          <w:rFonts w:ascii="Lato" w:hAnsi="Lato"/>
        </w:rPr>
      </w:pPr>
    </w:p>
    <w:p w:rsidR="0016273C" w:rsidRDefault="0016273C" w:rsidP="0016273C">
      <w:pPr>
        <w:ind w:firstLine="709"/>
        <w:jc w:val="both"/>
        <w:rPr>
          <w:rFonts w:ascii="Lato" w:hAnsi="Lato"/>
        </w:rPr>
      </w:pPr>
      <w:r>
        <w:rPr>
          <w:rFonts w:ascii="Lato" w:hAnsi="Lato"/>
        </w:rPr>
        <w:t>Zgonie z informacjami podanymi przez PSE S.A. na obszarze Gminy Pabianice znajdują się:</w:t>
      </w:r>
    </w:p>
    <w:p w:rsidR="0016273C" w:rsidRPr="0016273C" w:rsidRDefault="0016273C" w:rsidP="0016273C">
      <w:pPr>
        <w:pStyle w:val="Tekstpodstawowy"/>
        <w:numPr>
          <w:ilvl w:val="0"/>
          <w:numId w:val="83"/>
        </w:numPr>
        <w:tabs>
          <w:tab w:val="clear" w:pos="360"/>
        </w:tabs>
        <w:ind w:left="709" w:hanging="425"/>
        <w:rPr>
          <w:rFonts w:ascii="Lato" w:hAnsi="Lato" w:cs="Times New Roman"/>
        </w:rPr>
      </w:pPr>
      <w:r w:rsidRPr="0016273C">
        <w:rPr>
          <w:rFonts w:ascii="Lato" w:hAnsi="Lato" w:cs="Times New Roman"/>
        </w:rPr>
        <w:t xml:space="preserve">dwutorowa linia elektroenergetyczna 220 kV relacji Rogowiec – Pabianice, </w:t>
      </w:r>
    </w:p>
    <w:p w:rsidR="0016273C" w:rsidRPr="0016273C" w:rsidRDefault="0016273C" w:rsidP="0016273C">
      <w:pPr>
        <w:pStyle w:val="Tekstpodstawowy"/>
        <w:numPr>
          <w:ilvl w:val="0"/>
          <w:numId w:val="83"/>
        </w:numPr>
        <w:tabs>
          <w:tab w:val="clear" w:pos="360"/>
        </w:tabs>
        <w:ind w:left="709" w:hanging="425"/>
        <w:rPr>
          <w:rFonts w:ascii="Lato" w:hAnsi="Lato" w:cs="Times New Roman"/>
        </w:rPr>
      </w:pPr>
      <w:r>
        <w:rPr>
          <w:rFonts w:ascii="Lato" w:hAnsi="Lato" w:cs="Times New Roman"/>
        </w:rPr>
        <w:t>jedno</w:t>
      </w:r>
      <w:r w:rsidRPr="0016273C">
        <w:rPr>
          <w:rFonts w:ascii="Lato" w:hAnsi="Lato" w:cs="Times New Roman"/>
        </w:rPr>
        <w:t xml:space="preserve">torowa linia elektroenergetyczna 220 kV relacji </w:t>
      </w:r>
      <w:r>
        <w:rPr>
          <w:rFonts w:ascii="Lato" w:hAnsi="Lato" w:cs="Times New Roman"/>
        </w:rPr>
        <w:t>Adamów</w:t>
      </w:r>
      <w:r w:rsidRPr="0016273C">
        <w:rPr>
          <w:rFonts w:ascii="Lato" w:hAnsi="Lato" w:cs="Times New Roman"/>
        </w:rPr>
        <w:t xml:space="preserve"> – Pa</w:t>
      </w:r>
      <w:r>
        <w:rPr>
          <w:rFonts w:ascii="Lato" w:hAnsi="Lato" w:cs="Times New Roman"/>
        </w:rPr>
        <w:t>bianice.</w:t>
      </w:r>
    </w:p>
    <w:p w:rsidR="0016273C" w:rsidRDefault="0016273C" w:rsidP="00F73385">
      <w:pPr>
        <w:ind w:firstLine="540"/>
        <w:jc w:val="both"/>
        <w:rPr>
          <w:rFonts w:ascii="Lato" w:hAnsi="Lato"/>
        </w:rPr>
      </w:pPr>
    </w:p>
    <w:p w:rsidR="00F73385" w:rsidRPr="00677E3A" w:rsidRDefault="00F73385" w:rsidP="00F73385">
      <w:pPr>
        <w:ind w:firstLine="540"/>
        <w:jc w:val="both"/>
        <w:rPr>
          <w:rFonts w:ascii="Lato" w:hAnsi="Lato"/>
        </w:rPr>
      </w:pPr>
      <w:r w:rsidRPr="00677E3A">
        <w:rPr>
          <w:rFonts w:ascii="Lato" w:hAnsi="Lato"/>
        </w:rPr>
        <w:t xml:space="preserve">Właścicielem poszczególnych elementów systemu elektroenergetycznego na obszarze </w:t>
      </w:r>
      <w:r w:rsidR="000504F2" w:rsidRPr="00677E3A">
        <w:rPr>
          <w:rFonts w:ascii="Lato" w:hAnsi="Lato"/>
        </w:rPr>
        <w:t xml:space="preserve">Gminy </w:t>
      </w:r>
      <w:r w:rsidR="00677E3A" w:rsidRPr="00677E3A">
        <w:rPr>
          <w:rFonts w:ascii="Lato" w:hAnsi="Lato"/>
        </w:rPr>
        <w:t>Pabianice</w:t>
      </w:r>
      <w:r w:rsidR="000504F2" w:rsidRPr="00677E3A">
        <w:rPr>
          <w:rFonts w:ascii="Lato" w:hAnsi="Lato"/>
        </w:rPr>
        <w:t xml:space="preserve"> </w:t>
      </w:r>
      <w:r w:rsidRPr="00677E3A">
        <w:rPr>
          <w:rFonts w:ascii="Lato" w:hAnsi="Lato"/>
        </w:rPr>
        <w:t xml:space="preserve">jest spółka </w:t>
      </w:r>
      <w:r w:rsidR="00677E3A" w:rsidRPr="00677E3A">
        <w:rPr>
          <w:rFonts w:ascii="Lato" w:hAnsi="Lato"/>
        </w:rPr>
        <w:t>PGE Dystrybucja S.A. Oddział Łódź</w:t>
      </w:r>
      <w:r w:rsidRPr="00677E3A">
        <w:rPr>
          <w:rFonts w:ascii="Lato" w:hAnsi="Lato"/>
        </w:rPr>
        <w:t>.</w:t>
      </w:r>
    </w:p>
    <w:p w:rsidR="00F73385" w:rsidRDefault="00F73385" w:rsidP="00F73385">
      <w:pPr>
        <w:jc w:val="both"/>
        <w:rPr>
          <w:rFonts w:ascii="Lato" w:hAnsi="Lato"/>
        </w:rPr>
      </w:pPr>
      <w:r w:rsidRPr="00677E3A">
        <w:rPr>
          <w:rFonts w:ascii="Lato" w:hAnsi="Lato"/>
        </w:rPr>
        <w:lastRenderedPageBreak/>
        <w:t>Zasięg terytorialny spółek zajmujących się dystrybucją energii elektrycznej przedstawia poniższa mapka.</w:t>
      </w:r>
    </w:p>
    <w:p w:rsidR="0070712A" w:rsidRPr="00677E3A" w:rsidRDefault="0070712A" w:rsidP="00F73385">
      <w:pPr>
        <w:jc w:val="both"/>
        <w:rPr>
          <w:rFonts w:ascii="Lato" w:hAnsi="Lato"/>
        </w:rPr>
      </w:pPr>
    </w:p>
    <w:p w:rsidR="00F73385" w:rsidRPr="001A3081" w:rsidRDefault="0006260E" w:rsidP="00F73385">
      <w:pPr>
        <w:jc w:val="center"/>
        <w:rPr>
          <w:rFonts w:ascii="Lato" w:hAnsi="Lato"/>
        </w:rPr>
      </w:pPr>
      <w:r>
        <w:rPr>
          <w:rFonts w:ascii="Lato" w:hAnsi="Lato"/>
          <w:noProof/>
        </w:rPr>
        <w:drawing>
          <wp:inline distT="0" distB="0" distL="0" distR="0" wp14:anchorId="3BC3805E" wp14:editId="56206619">
            <wp:extent cx="3657600" cy="3338830"/>
            <wp:effectExtent l="0" t="0" r="0" b="0"/>
            <wp:docPr id="25" name="Obraz 4534" descr="http://www.rynek-energii-elektrycznej.cire.pl/grafika/tematyczny/33/prywatyzacja4_dys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34" descr="http://www.rynek-energii-elektrycznej.cire.pl/grafika/tematyczny/33/prywatyzacja4_dystr.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3338830"/>
                    </a:xfrm>
                    <a:prstGeom prst="rect">
                      <a:avLst/>
                    </a:prstGeom>
                    <a:noFill/>
                    <a:ln>
                      <a:noFill/>
                    </a:ln>
                  </pic:spPr>
                </pic:pic>
              </a:graphicData>
            </a:graphic>
          </wp:inline>
        </w:drawing>
      </w:r>
    </w:p>
    <w:p w:rsidR="00F73385" w:rsidRPr="001A3081" w:rsidRDefault="00F73385" w:rsidP="00F73385">
      <w:pPr>
        <w:spacing w:line="240" w:lineRule="auto"/>
        <w:jc w:val="center"/>
        <w:rPr>
          <w:rFonts w:ascii="Lato" w:hAnsi="Lato"/>
          <w:b/>
          <w:color w:val="1F497D"/>
          <w:sz w:val="20"/>
          <w:szCs w:val="20"/>
        </w:rPr>
      </w:pPr>
      <w:bookmarkStart w:id="139" w:name="_Toc20219231"/>
      <w:r w:rsidRPr="001A3081">
        <w:rPr>
          <w:rFonts w:ascii="Lato" w:hAnsi="Lato"/>
          <w:b/>
          <w:color w:val="1F497D"/>
          <w:sz w:val="20"/>
          <w:szCs w:val="20"/>
        </w:rPr>
        <w:t xml:space="preserve">Rysunek </w:t>
      </w:r>
      <w:r w:rsidR="004042AE" w:rsidRPr="001A3081">
        <w:rPr>
          <w:rFonts w:ascii="Lato" w:hAnsi="Lato"/>
          <w:b/>
          <w:color w:val="1F497D"/>
          <w:sz w:val="20"/>
          <w:szCs w:val="20"/>
        </w:rPr>
        <w:fldChar w:fldCharType="begin"/>
      </w:r>
      <w:r w:rsidR="005430ED" w:rsidRPr="001A3081">
        <w:rPr>
          <w:rFonts w:ascii="Lato" w:hAnsi="Lato"/>
          <w:b/>
          <w:color w:val="1F497D"/>
          <w:sz w:val="20"/>
          <w:szCs w:val="20"/>
        </w:rPr>
        <w:instrText xml:space="preserve"> STYLEREF 1 \s </w:instrText>
      </w:r>
      <w:r w:rsidR="004042AE" w:rsidRPr="001A3081">
        <w:rPr>
          <w:rFonts w:ascii="Lato" w:hAnsi="Lato"/>
          <w:b/>
          <w:color w:val="1F497D"/>
          <w:sz w:val="20"/>
          <w:szCs w:val="20"/>
        </w:rPr>
        <w:fldChar w:fldCharType="separate"/>
      </w:r>
      <w:r w:rsidR="0040205B">
        <w:rPr>
          <w:rFonts w:ascii="Lato" w:hAnsi="Lato"/>
          <w:b/>
          <w:noProof/>
          <w:color w:val="1F497D"/>
          <w:sz w:val="20"/>
          <w:szCs w:val="20"/>
        </w:rPr>
        <w:t>2</w:t>
      </w:r>
      <w:r w:rsidR="004042AE" w:rsidRPr="001A3081">
        <w:rPr>
          <w:rFonts w:ascii="Lato" w:hAnsi="Lato"/>
          <w:b/>
          <w:color w:val="1F497D"/>
          <w:sz w:val="20"/>
          <w:szCs w:val="20"/>
        </w:rPr>
        <w:fldChar w:fldCharType="end"/>
      </w:r>
      <w:r w:rsidR="005430ED" w:rsidRPr="001A3081">
        <w:rPr>
          <w:rFonts w:ascii="Lato" w:hAnsi="Lato"/>
          <w:b/>
          <w:color w:val="1F497D"/>
          <w:sz w:val="20"/>
          <w:szCs w:val="20"/>
        </w:rPr>
        <w:noBreakHyphen/>
      </w:r>
      <w:r w:rsidR="004042AE" w:rsidRPr="001A3081">
        <w:rPr>
          <w:rFonts w:ascii="Lato" w:hAnsi="Lato"/>
          <w:b/>
          <w:color w:val="1F497D"/>
          <w:sz w:val="20"/>
          <w:szCs w:val="20"/>
        </w:rPr>
        <w:fldChar w:fldCharType="begin"/>
      </w:r>
      <w:r w:rsidR="005430ED" w:rsidRPr="001A3081">
        <w:rPr>
          <w:rFonts w:ascii="Lato" w:hAnsi="Lato"/>
          <w:b/>
          <w:color w:val="1F497D"/>
          <w:sz w:val="20"/>
          <w:szCs w:val="20"/>
        </w:rPr>
        <w:instrText xml:space="preserve"> SEQ Rysunek \* ARABIC \s 1 </w:instrText>
      </w:r>
      <w:r w:rsidR="004042AE" w:rsidRPr="001A3081">
        <w:rPr>
          <w:rFonts w:ascii="Lato" w:hAnsi="Lato"/>
          <w:b/>
          <w:color w:val="1F497D"/>
          <w:sz w:val="20"/>
          <w:szCs w:val="20"/>
        </w:rPr>
        <w:fldChar w:fldCharType="separate"/>
      </w:r>
      <w:r w:rsidR="0040205B">
        <w:rPr>
          <w:rFonts w:ascii="Lato" w:hAnsi="Lato"/>
          <w:b/>
          <w:noProof/>
          <w:color w:val="1F497D"/>
          <w:sz w:val="20"/>
          <w:szCs w:val="20"/>
        </w:rPr>
        <w:t>12</w:t>
      </w:r>
      <w:r w:rsidR="004042AE" w:rsidRPr="001A3081">
        <w:rPr>
          <w:rFonts w:ascii="Lato" w:hAnsi="Lato"/>
          <w:b/>
          <w:color w:val="1F497D"/>
          <w:sz w:val="20"/>
          <w:szCs w:val="20"/>
        </w:rPr>
        <w:fldChar w:fldCharType="end"/>
      </w:r>
      <w:r w:rsidRPr="001A3081">
        <w:rPr>
          <w:rFonts w:ascii="Lato" w:hAnsi="Lato"/>
          <w:b/>
          <w:color w:val="1F497D"/>
          <w:sz w:val="20"/>
          <w:szCs w:val="20"/>
        </w:rPr>
        <w:t xml:space="preserve"> Zasięg terytorialny spółek zajmujących się dystrybucją energii elektrycznej</w:t>
      </w:r>
      <w:bookmarkEnd w:id="139"/>
    </w:p>
    <w:p w:rsidR="00F73385" w:rsidRPr="001A3081" w:rsidRDefault="00F73385" w:rsidP="00F73385">
      <w:pPr>
        <w:jc w:val="center"/>
        <w:rPr>
          <w:rFonts w:ascii="Lato" w:hAnsi="Lato"/>
          <w:i/>
          <w:sz w:val="20"/>
        </w:rPr>
      </w:pPr>
      <w:r w:rsidRPr="001A3081">
        <w:rPr>
          <w:rFonts w:ascii="Lato" w:hAnsi="Lato"/>
          <w:i/>
          <w:sz w:val="20"/>
        </w:rPr>
        <w:t>Źródło: http://www.rynek-energii-elektrycznej.cire.pl/</w:t>
      </w:r>
    </w:p>
    <w:p w:rsidR="001724EB" w:rsidRDefault="001724EB" w:rsidP="00F73385">
      <w:pPr>
        <w:ind w:firstLine="709"/>
        <w:jc w:val="both"/>
        <w:rPr>
          <w:rFonts w:ascii="Lato" w:hAnsi="Lato"/>
          <w:highlight w:val="yellow"/>
        </w:rPr>
      </w:pPr>
    </w:p>
    <w:p w:rsidR="0017217E" w:rsidRDefault="00907FB8" w:rsidP="00617C1D">
      <w:pPr>
        <w:ind w:firstLine="709"/>
        <w:jc w:val="both"/>
        <w:rPr>
          <w:rFonts w:ascii="Lato" w:hAnsi="Lato"/>
        </w:rPr>
      </w:pPr>
      <w:r w:rsidRPr="0003431E">
        <w:rPr>
          <w:rFonts w:ascii="Lato" w:hAnsi="Lato"/>
        </w:rPr>
        <w:t>Gmina Pabianice jest zasilana w energię elektryczną ze stacji 220/110/15 kV GPZ Pabianice oraz ze stacji 110/15 kV RPZ PZPB (zlokalizowanych na terenie Pabianic). W obydwu stacjach zainstalowane są po dwa transformatory 110/15 kV, każdy o mocy 25 MVA. Udział w zasilaniu Gminy w energię elektryczną bierze także stacja 110/15 kV RPZ Konstilana (zlokalizowana na terenie Konstantynowa Łódzkiego) oraz stacja 110/15 RPZ Lublinek (zlokalizowana na terenie Łodzi). W stacji RPZ Konstilana zainstalowane są dwa transformatory, każdy o mocy 16 MVA, a w stacji RPZ Lublinek - dwa transformatory 110/15 kV, każdy o mocy 25 MVA. Dostawa i dystrybucja energii z tych stacji odbywa się za pośrednictwem sieci rozdzielczej napowietrznej i kablowej średniego napięcia 15 kV oraz stacji transformatorowych SN/nN. Indywidualni odbiorcy powiązani są ze stacjami transformatorowymi liniami napowietrznymi lub kablowymi, które pracują na napięciu 400/380 V.</w:t>
      </w:r>
      <w:r w:rsidR="0038199E" w:rsidRPr="0003431E">
        <w:rPr>
          <w:rFonts w:ascii="Lato" w:hAnsi="Lato"/>
        </w:rPr>
        <w:t xml:space="preserve"> </w:t>
      </w:r>
      <w:r w:rsidR="0017217E" w:rsidRPr="0003431E">
        <w:rPr>
          <w:rFonts w:ascii="Lato" w:hAnsi="Lato"/>
        </w:rPr>
        <w:t xml:space="preserve">Sposób zasilania </w:t>
      </w:r>
      <w:r w:rsidR="0038199E" w:rsidRPr="0003431E">
        <w:rPr>
          <w:rFonts w:ascii="Lato" w:hAnsi="Lato"/>
        </w:rPr>
        <w:t>g</w:t>
      </w:r>
      <w:r w:rsidR="0017217E" w:rsidRPr="0003431E">
        <w:rPr>
          <w:rFonts w:ascii="Lato" w:hAnsi="Lato"/>
        </w:rPr>
        <w:t xml:space="preserve">miny </w:t>
      </w:r>
      <w:r w:rsidR="0003431E" w:rsidRPr="0003431E">
        <w:rPr>
          <w:rFonts w:ascii="Lato" w:hAnsi="Lato"/>
        </w:rPr>
        <w:t>liniami elektroenergetycznymi</w:t>
      </w:r>
      <w:r w:rsidR="0017217E" w:rsidRPr="0003431E">
        <w:rPr>
          <w:rFonts w:ascii="Lato" w:hAnsi="Lato"/>
        </w:rPr>
        <w:t xml:space="preserve"> przedstawiono na mapie stanowiącej załącznik nr </w:t>
      </w:r>
      <w:r w:rsidR="0003431E" w:rsidRPr="0003431E">
        <w:rPr>
          <w:rFonts w:ascii="Lato" w:hAnsi="Lato"/>
        </w:rPr>
        <w:t>2</w:t>
      </w:r>
      <w:r w:rsidR="0017217E" w:rsidRPr="0003431E">
        <w:rPr>
          <w:rFonts w:ascii="Lato" w:hAnsi="Lato"/>
        </w:rPr>
        <w:t>.</w:t>
      </w:r>
    </w:p>
    <w:p w:rsidR="0017217E" w:rsidRDefault="0038199E" w:rsidP="00617C1D">
      <w:pPr>
        <w:ind w:firstLine="709"/>
        <w:jc w:val="both"/>
        <w:rPr>
          <w:rFonts w:ascii="Lato" w:hAnsi="Lato"/>
        </w:rPr>
      </w:pPr>
      <w:r w:rsidRPr="0038199E">
        <w:rPr>
          <w:rFonts w:ascii="Lato" w:hAnsi="Lato"/>
        </w:rPr>
        <w:t>Stacja 220/110 kV Pabianice jest powiązana z Krajowym Systemem Elektroenergetycznym liniami najwyższego napięcia 220 kV Pabianice-Janów, Pabianice-Adamów, Rogowiec-Pabianice.</w:t>
      </w:r>
    </w:p>
    <w:p w:rsidR="00907FB8" w:rsidRDefault="00907FB8" w:rsidP="00F73385">
      <w:pPr>
        <w:ind w:firstLine="360"/>
        <w:jc w:val="both"/>
        <w:rPr>
          <w:rFonts w:ascii="Lato" w:hAnsi="Lato"/>
        </w:rPr>
      </w:pPr>
    </w:p>
    <w:p w:rsidR="002A313A" w:rsidRDefault="002A313A" w:rsidP="002A313A">
      <w:pPr>
        <w:ind w:firstLine="0"/>
        <w:jc w:val="both"/>
        <w:rPr>
          <w:rFonts w:ascii="Lato" w:hAnsi="Lato"/>
        </w:rPr>
      </w:pPr>
      <w:r>
        <w:rPr>
          <w:rFonts w:ascii="Lato" w:hAnsi="Lato"/>
        </w:rPr>
        <w:t xml:space="preserve">Gminę Pabianice zasilają m.in. </w:t>
      </w:r>
      <w:r w:rsidR="00C648F4">
        <w:rPr>
          <w:rFonts w:ascii="Lato" w:hAnsi="Lato"/>
        </w:rPr>
        <w:t>l</w:t>
      </w:r>
      <w:r>
        <w:rPr>
          <w:rFonts w:ascii="Lato" w:hAnsi="Lato"/>
        </w:rPr>
        <w:t>inie 15kV wychodzące z:</w:t>
      </w:r>
    </w:p>
    <w:p w:rsidR="002A313A" w:rsidRPr="002A313A" w:rsidRDefault="002A313A" w:rsidP="002A313A">
      <w:pPr>
        <w:pStyle w:val="Tekstpodstawowy"/>
        <w:numPr>
          <w:ilvl w:val="0"/>
          <w:numId w:val="83"/>
        </w:numPr>
        <w:tabs>
          <w:tab w:val="clear" w:pos="360"/>
        </w:tabs>
        <w:ind w:left="709" w:hanging="425"/>
        <w:rPr>
          <w:rFonts w:ascii="Lato" w:hAnsi="Lato" w:cs="Times New Roman"/>
        </w:rPr>
      </w:pPr>
      <w:r w:rsidRPr="002A313A">
        <w:rPr>
          <w:rFonts w:ascii="Lato" w:hAnsi="Lato" w:cs="Times New Roman"/>
        </w:rPr>
        <w:t>GPZ Pabianice (obciążenie 60%),</w:t>
      </w:r>
    </w:p>
    <w:p w:rsidR="002A313A" w:rsidRPr="002A313A" w:rsidRDefault="002A313A" w:rsidP="002A313A">
      <w:pPr>
        <w:pStyle w:val="Tekstpodstawowy"/>
        <w:numPr>
          <w:ilvl w:val="0"/>
          <w:numId w:val="83"/>
        </w:numPr>
        <w:tabs>
          <w:tab w:val="clear" w:pos="360"/>
        </w:tabs>
        <w:ind w:left="709" w:hanging="425"/>
        <w:rPr>
          <w:rFonts w:ascii="Lato" w:hAnsi="Lato" w:cs="Times New Roman"/>
        </w:rPr>
      </w:pPr>
      <w:r w:rsidRPr="002A313A">
        <w:rPr>
          <w:rFonts w:ascii="Lato" w:hAnsi="Lato" w:cs="Times New Roman"/>
        </w:rPr>
        <w:t>RPZ PZPB (obciążenie 60%),</w:t>
      </w:r>
    </w:p>
    <w:p w:rsidR="002A313A" w:rsidRPr="002A313A" w:rsidRDefault="002A313A" w:rsidP="002A313A">
      <w:pPr>
        <w:pStyle w:val="Tekstpodstawowy"/>
        <w:numPr>
          <w:ilvl w:val="0"/>
          <w:numId w:val="83"/>
        </w:numPr>
        <w:tabs>
          <w:tab w:val="clear" w:pos="360"/>
        </w:tabs>
        <w:ind w:left="709" w:hanging="425"/>
        <w:rPr>
          <w:rFonts w:ascii="Lato" w:hAnsi="Lato" w:cs="Times New Roman"/>
        </w:rPr>
      </w:pPr>
      <w:r w:rsidRPr="002A313A">
        <w:rPr>
          <w:rFonts w:ascii="Lato" w:hAnsi="Lato" w:cs="Times New Roman"/>
        </w:rPr>
        <w:t>RPZ Konstilana (obciążenie 40%)</w:t>
      </w:r>
      <w:r>
        <w:rPr>
          <w:rFonts w:ascii="Lato" w:hAnsi="Lato" w:cs="Times New Roman"/>
        </w:rPr>
        <w:t>.</w:t>
      </w:r>
    </w:p>
    <w:p w:rsidR="002A313A" w:rsidRDefault="002A313A" w:rsidP="002A313A">
      <w:pPr>
        <w:ind w:firstLine="0"/>
        <w:jc w:val="both"/>
        <w:rPr>
          <w:rFonts w:ascii="Lato" w:hAnsi="Lato"/>
        </w:rPr>
      </w:pPr>
      <w:r>
        <w:rPr>
          <w:rFonts w:ascii="Lato" w:hAnsi="Lato"/>
        </w:rPr>
        <w:t xml:space="preserve">Obciążenie linii 15 kV zasilających gminę wynosi 70%, a obciążenie stacji 15/0,4kV – 50-70%. </w:t>
      </w:r>
    </w:p>
    <w:p w:rsidR="002A313A" w:rsidRDefault="002A313A" w:rsidP="00F73385">
      <w:pPr>
        <w:ind w:firstLine="360"/>
        <w:jc w:val="both"/>
        <w:rPr>
          <w:rFonts w:ascii="Lato" w:hAnsi="Lato"/>
        </w:rPr>
      </w:pPr>
    </w:p>
    <w:p w:rsidR="00F73385" w:rsidRPr="008444B2" w:rsidRDefault="00F73385" w:rsidP="006E6E75">
      <w:pPr>
        <w:spacing w:before="120" w:after="120" w:line="240" w:lineRule="auto"/>
        <w:ind w:firstLine="0"/>
        <w:jc w:val="both"/>
        <w:rPr>
          <w:rFonts w:ascii="Lato" w:hAnsi="Lato"/>
          <w:b/>
          <w:color w:val="1F497D"/>
          <w:sz w:val="20"/>
          <w:szCs w:val="20"/>
        </w:rPr>
      </w:pPr>
      <w:bookmarkStart w:id="140" w:name="_Toc20219173"/>
      <w:r w:rsidRPr="008444B2">
        <w:rPr>
          <w:rFonts w:ascii="Lato" w:hAnsi="Lato"/>
          <w:b/>
          <w:color w:val="1F497D"/>
          <w:sz w:val="20"/>
          <w:szCs w:val="20"/>
        </w:rPr>
        <w:lastRenderedPageBreak/>
        <w:t xml:space="preserve">Tabela </w:t>
      </w:r>
      <w:r w:rsidR="004042AE" w:rsidRPr="008444B2">
        <w:rPr>
          <w:rFonts w:ascii="Lato" w:hAnsi="Lato"/>
          <w:b/>
          <w:color w:val="1F497D"/>
          <w:sz w:val="20"/>
          <w:szCs w:val="20"/>
        </w:rPr>
        <w:fldChar w:fldCharType="begin"/>
      </w:r>
      <w:r w:rsidR="005430ED" w:rsidRPr="008444B2">
        <w:rPr>
          <w:rFonts w:ascii="Lato" w:hAnsi="Lato"/>
          <w:b/>
          <w:color w:val="1F497D"/>
          <w:sz w:val="20"/>
          <w:szCs w:val="20"/>
        </w:rPr>
        <w:instrText xml:space="preserve"> STYLEREF 1 \s </w:instrText>
      </w:r>
      <w:r w:rsidR="004042AE" w:rsidRPr="008444B2">
        <w:rPr>
          <w:rFonts w:ascii="Lato" w:hAnsi="Lato"/>
          <w:b/>
          <w:color w:val="1F497D"/>
          <w:sz w:val="20"/>
          <w:szCs w:val="20"/>
        </w:rPr>
        <w:fldChar w:fldCharType="separate"/>
      </w:r>
      <w:r w:rsidR="0040205B">
        <w:rPr>
          <w:rFonts w:ascii="Lato" w:hAnsi="Lato"/>
          <w:b/>
          <w:noProof/>
          <w:color w:val="1F497D"/>
          <w:sz w:val="20"/>
          <w:szCs w:val="20"/>
        </w:rPr>
        <w:t>2</w:t>
      </w:r>
      <w:r w:rsidR="004042AE" w:rsidRPr="008444B2">
        <w:rPr>
          <w:rFonts w:ascii="Lato" w:hAnsi="Lato"/>
          <w:b/>
          <w:color w:val="1F497D"/>
          <w:sz w:val="20"/>
          <w:szCs w:val="20"/>
        </w:rPr>
        <w:fldChar w:fldCharType="end"/>
      </w:r>
      <w:r w:rsidR="005430ED" w:rsidRPr="008444B2">
        <w:rPr>
          <w:rFonts w:ascii="Lato" w:hAnsi="Lato"/>
          <w:b/>
          <w:color w:val="1F497D"/>
          <w:sz w:val="20"/>
          <w:szCs w:val="20"/>
        </w:rPr>
        <w:noBreakHyphen/>
      </w:r>
      <w:r w:rsidR="004042AE" w:rsidRPr="008444B2">
        <w:rPr>
          <w:rFonts w:ascii="Lato" w:hAnsi="Lato"/>
          <w:b/>
          <w:color w:val="1F497D"/>
          <w:sz w:val="20"/>
          <w:szCs w:val="20"/>
        </w:rPr>
        <w:fldChar w:fldCharType="begin"/>
      </w:r>
      <w:r w:rsidR="005430ED" w:rsidRPr="008444B2">
        <w:rPr>
          <w:rFonts w:ascii="Lato" w:hAnsi="Lato"/>
          <w:b/>
          <w:color w:val="1F497D"/>
          <w:sz w:val="20"/>
          <w:szCs w:val="20"/>
        </w:rPr>
        <w:instrText xml:space="preserve"> SEQ Tabela \* ARABIC \s 1 </w:instrText>
      </w:r>
      <w:r w:rsidR="004042AE" w:rsidRPr="008444B2">
        <w:rPr>
          <w:rFonts w:ascii="Lato" w:hAnsi="Lato"/>
          <w:b/>
          <w:color w:val="1F497D"/>
          <w:sz w:val="20"/>
          <w:szCs w:val="20"/>
        </w:rPr>
        <w:fldChar w:fldCharType="separate"/>
      </w:r>
      <w:r w:rsidR="0040205B">
        <w:rPr>
          <w:rFonts w:ascii="Lato" w:hAnsi="Lato"/>
          <w:b/>
          <w:noProof/>
          <w:color w:val="1F497D"/>
          <w:sz w:val="20"/>
          <w:szCs w:val="20"/>
        </w:rPr>
        <w:t>7</w:t>
      </w:r>
      <w:r w:rsidR="004042AE" w:rsidRPr="008444B2">
        <w:rPr>
          <w:rFonts w:ascii="Lato" w:hAnsi="Lato"/>
          <w:b/>
          <w:color w:val="1F497D"/>
          <w:sz w:val="20"/>
          <w:szCs w:val="20"/>
        </w:rPr>
        <w:fldChar w:fldCharType="end"/>
      </w:r>
      <w:r w:rsidR="00363C6B" w:rsidRPr="008444B2">
        <w:rPr>
          <w:rFonts w:ascii="Lato" w:hAnsi="Lato"/>
          <w:b/>
          <w:color w:val="1F497D"/>
          <w:sz w:val="20"/>
          <w:szCs w:val="20"/>
        </w:rPr>
        <w:t xml:space="preserve"> </w:t>
      </w:r>
      <w:r w:rsidRPr="008444B2">
        <w:rPr>
          <w:rFonts w:ascii="Lato" w:hAnsi="Lato"/>
          <w:b/>
          <w:color w:val="1F497D"/>
          <w:sz w:val="20"/>
          <w:szCs w:val="20"/>
        </w:rPr>
        <w:t xml:space="preserve">Długości </w:t>
      </w:r>
      <w:r w:rsidR="008444B2" w:rsidRPr="008444B2">
        <w:rPr>
          <w:rFonts w:ascii="Lato" w:hAnsi="Lato"/>
          <w:b/>
          <w:color w:val="1F497D"/>
          <w:sz w:val="20"/>
          <w:szCs w:val="20"/>
        </w:rPr>
        <w:t>sieci elektroenergetycznych</w:t>
      </w:r>
      <w:r w:rsidRPr="008444B2">
        <w:rPr>
          <w:rFonts w:ascii="Lato" w:hAnsi="Lato"/>
          <w:b/>
          <w:color w:val="1F497D"/>
          <w:sz w:val="20"/>
          <w:szCs w:val="20"/>
        </w:rPr>
        <w:t xml:space="preserve"> zlokalizowanych na terenie </w:t>
      </w:r>
      <w:r w:rsidR="00B71E13" w:rsidRPr="008444B2">
        <w:rPr>
          <w:rFonts w:ascii="Lato" w:hAnsi="Lato"/>
          <w:b/>
          <w:color w:val="1F497D"/>
          <w:sz w:val="20"/>
          <w:szCs w:val="20"/>
        </w:rPr>
        <w:t xml:space="preserve">Gminy </w:t>
      </w:r>
      <w:r w:rsidR="008444B2" w:rsidRPr="008444B2">
        <w:rPr>
          <w:rFonts w:ascii="Lato" w:hAnsi="Lato"/>
          <w:b/>
          <w:color w:val="1F497D"/>
          <w:sz w:val="20"/>
          <w:szCs w:val="20"/>
        </w:rPr>
        <w:t>Pabianice</w:t>
      </w:r>
      <w:bookmarkEnd w:id="140"/>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653"/>
        <w:gridCol w:w="6833"/>
        <w:gridCol w:w="2143"/>
      </w:tblGrid>
      <w:tr w:rsidR="00F73385" w:rsidRPr="008444B2" w:rsidTr="006C1E3F">
        <w:trPr>
          <w:trHeight w:val="340"/>
          <w:jc w:val="center"/>
        </w:trPr>
        <w:tc>
          <w:tcPr>
            <w:tcW w:w="339" w:type="pct"/>
            <w:tcBorders>
              <w:top w:val="single" w:sz="4" w:space="0" w:color="4F81BD"/>
              <w:left w:val="single" w:sz="4" w:space="0" w:color="4F81BD"/>
              <w:bottom w:val="single" w:sz="4" w:space="0" w:color="4F81BD"/>
              <w:right w:val="single" w:sz="4" w:space="0" w:color="4F81BD"/>
            </w:tcBorders>
            <w:shd w:val="clear" w:color="auto" w:fill="DBE5F1"/>
            <w:vAlign w:val="center"/>
            <w:hideMark/>
          </w:tcPr>
          <w:p w:rsidR="00F73385" w:rsidRPr="008444B2" w:rsidRDefault="00F73385" w:rsidP="006C1E3F">
            <w:pPr>
              <w:spacing w:line="240" w:lineRule="auto"/>
              <w:ind w:left="-541"/>
              <w:jc w:val="center"/>
              <w:rPr>
                <w:rFonts w:ascii="Lato" w:hAnsi="Lato"/>
                <w:color w:val="1F497D"/>
                <w:sz w:val="20"/>
                <w:szCs w:val="20"/>
              </w:rPr>
            </w:pPr>
            <w:r w:rsidRPr="008444B2">
              <w:rPr>
                <w:rFonts w:ascii="Lato" w:hAnsi="Lato"/>
                <w:color w:val="1F497D"/>
                <w:sz w:val="20"/>
                <w:szCs w:val="20"/>
              </w:rPr>
              <w:t>Lp.</w:t>
            </w:r>
          </w:p>
        </w:tc>
        <w:tc>
          <w:tcPr>
            <w:tcW w:w="3548" w:type="pct"/>
            <w:tcBorders>
              <w:top w:val="single" w:sz="4" w:space="0" w:color="4F81BD"/>
              <w:left w:val="single" w:sz="4" w:space="0" w:color="4F81BD"/>
              <w:bottom w:val="single" w:sz="4" w:space="0" w:color="4F81BD"/>
              <w:right w:val="single" w:sz="4" w:space="0" w:color="4F81BD"/>
            </w:tcBorders>
            <w:shd w:val="clear" w:color="auto" w:fill="DBE5F1"/>
            <w:vAlign w:val="center"/>
            <w:hideMark/>
          </w:tcPr>
          <w:p w:rsidR="00F73385" w:rsidRPr="008444B2" w:rsidRDefault="008444B2" w:rsidP="006C1E3F">
            <w:pPr>
              <w:spacing w:line="240" w:lineRule="auto"/>
              <w:ind w:left="-541"/>
              <w:jc w:val="center"/>
              <w:rPr>
                <w:rFonts w:ascii="Lato" w:hAnsi="Lato"/>
                <w:color w:val="1F497D"/>
                <w:sz w:val="20"/>
                <w:szCs w:val="20"/>
              </w:rPr>
            </w:pPr>
            <w:r w:rsidRPr="008444B2">
              <w:rPr>
                <w:rFonts w:ascii="Lato" w:hAnsi="Lato"/>
                <w:color w:val="1F497D"/>
                <w:sz w:val="20"/>
                <w:szCs w:val="20"/>
              </w:rPr>
              <w:t>Sieć elektroenergetyczna</w:t>
            </w:r>
          </w:p>
        </w:tc>
        <w:tc>
          <w:tcPr>
            <w:tcW w:w="1113" w:type="pct"/>
            <w:tcBorders>
              <w:top w:val="single" w:sz="4" w:space="0" w:color="4F81BD"/>
              <w:left w:val="single" w:sz="4" w:space="0" w:color="4F81BD"/>
              <w:bottom w:val="single" w:sz="4" w:space="0" w:color="4F81BD"/>
              <w:right w:val="single" w:sz="4" w:space="0" w:color="4F81BD"/>
            </w:tcBorders>
            <w:shd w:val="clear" w:color="auto" w:fill="DBE5F1"/>
            <w:vAlign w:val="center"/>
            <w:hideMark/>
          </w:tcPr>
          <w:p w:rsidR="00F73385" w:rsidRPr="008444B2" w:rsidRDefault="008444B2" w:rsidP="006C1E3F">
            <w:pPr>
              <w:spacing w:line="240" w:lineRule="auto"/>
              <w:ind w:left="-541"/>
              <w:jc w:val="center"/>
              <w:rPr>
                <w:rFonts w:ascii="Lato" w:hAnsi="Lato"/>
                <w:color w:val="1F497D"/>
                <w:sz w:val="20"/>
                <w:szCs w:val="20"/>
              </w:rPr>
            </w:pPr>
            <w:r w:rsidRPr="008444B2">
              <w:rPr>
                <w:rFonts w:ascii="Lato" w:hAnsi="Lato"/>
                <w:color w:val="1F497D"/>
                <w:sz w:val="20"/>
                <w:szCs w:val="20"/>
              </w:rPr>
              <w:t xml:space="preserve">Długość, </w:t>
            </w:r>
            <w:r w:rsidR="00D577AA" w:rsidRPr="008444B2">
              <w:rPr>
                <w:rFonts w:ascii="Lato" w:hAnsi="Lato"/>
                <w:color w:val="1F497D"/>
                <w:sz w:val="20"/>
                <w:szCs w:val="20"/>
              </w:rPr>
              <w:t>m</w:t>
            </w:r>
          </w:p>
        </w:tc>
      </w:tr>
      <w:tr w:rsidR="00363C6B" w:rsidRPr="008444B2" w:rsidTr="006C1E3F">
        <w:trPr>
          <w:trHeight w:val="340"/>
          <w:jc w:val="center"/>
        </w:trPr>
        <w:tc>
          <w:tcPr>
            <w:tcW w:w="339" w:type="pct"/>
            <w:tcBorders>
              <w:top w:val="single" w:sz="4" w:space="0" w:color="4F81BD"/>
              <w:left w:val="single" w:sz="4" w:space="0" w:color="4F81BD"/>
              <w:bottom w:val="single" w:sz="4" w:space="0" w:color="4F81BD"/>
              <w:right w:val="single" w:sz="4" w:space="0" w:color="4F81BD"/>
            </w:tcBorders>
            <w:vAlign w:val="center"/>
            <w:hideMark/>
          </w:tcPr>
          <w:p w:rsidR="00363C6B" w:rsidRPr="008444B2" w:rsidRDefault="00363C6B" w:rsidP="006C1E3F">
            <w:pPr>
              <w:spacing w:line="240" w:lineRule="auto"/>
              <w:ind w:firstLine="0"/>
              <w:jc w:val="center"/>
              <w:rPr>
                <w:rFonts w:ascii="Lato" w:hAnsi="Lato"/>
                <w:color w:val="1F497D"/>
                <w:sz w:val="20"/>
                <w:szCs w:val="20"/>
              </w:rPr>
            </w:pPr>
            <w:r w:rsidRPr="008444B2">
              <w:rPr>
                <w:rFonts w:ascii="Lato" w:hAnsi="Lato"/>
                <w:color w:val="1F497D"/>
                <w:sz w:val="20"/>
                <w:szCs w:val="20"/>
              </w:rPr>
              <w:t>1</w:t>
            </w:r>
          </w:p>
        </w:tc>
        <w:tc>
          <w:tcPr>
            <w:tcW w:w="3548" w:type="pct"/>
            <w:tcBorders>
              <w:top w:val="single" w:sz="4" w:space="0" w:color="4F81BD"/>
              <w:left w:val="single" w:sz="4" w:space="0" w:color="4F81BD"/>
              <w:bottom w:val="single" w:sz="4" w:space="0" w:color="4F81BD"/>
              <w:right w:val="single" w:sz="4" w:space="0" w:color="4F81BD"/>
            </w:tcBorders>
            <w:vAlign w:val="center"/>
            <w:hideMark/>
          </w:tcPr>
          <w:p w:rsidR="00363C6B" w:rsidRPr="008444B2" w:rsidRDefault="008444B2" w:rsidP="008444B2">
            <w:pPr>
              <w:spacing w:line="240" w:lineRule="auto"/>
              <w:ind w:firstLine="0"/>
              <w:rPr>
                <w:rFonts w:ascii="Lato" w:hAnsi="Lato"/>
                <w:color w:val="1F497D"/>
                <w:sz w:val="20"/>
                <w:szCs w:val="20"/>
              </w:rPr>
            </w:pPr>
            <w:r w:rsidRPr="008444B2">
              <w:rPr>
                <w:rFonts w:ascii="Lato" w:hAnsi="Lato"/>
                <w:color w:val="1F497D"/>
                <w:sz w:val="20"/>
                <w:szCs w:val="20"/>
              </w:rPr>
              <w:t>N</w:t>
            </w:r>
            <w:r w:rsidR="00363C6B" w:rsidRPr="008444B2">
              <w:rPr>
                <w:rFonts w:ascii="Lato" w:hAnsi="Lato"/>
                <w:color w:val="1F497D"/>
                <w:sz w:val="20"/>
                <w:szCs w:val="20"/>
              </w:rPr>
              <w:t>iskiego napięcia</w:t>
            </w:r>
          </w:p>
        </w:tc>
        <w:tc>
          <w:tcPr>
            <w:tcW w:w="1113" w:type="pct"/>
            <w:tcBorders>
              <w:top w:val="single" w:sz="4" w:space="0" w:color="4F81BD"/>
              <w:left w:val="single" w:sz="4" w:space="0" w:color="4F81BD"/>
              <w:bottom w:val="single" w:sz="4" w:space="0" w:color="4F81BD"/>
              <w:right w:val="single" w:sz="4" w:space="0" w:color="4F81BD"/>
            </w:tcBorders>
            <w:vAlign w:val="center"/>
            <w:hideMark/>
          </w:tcPr>
          <w:p w:rsidR="00363C6B" w:rsidRPr="008444B2" w:rsidRDefault="008444B2" w:rsidP="006C1E3F">
            <w:pPr>
              <w:spacing w:line="240" w:lineRule="auto"/>
              <w:ind w:firstLine="0"/>
              <w:jc w:val="center"/>
              <w:rPr>
                <w:rFonts w:ascii="Lato" w:hAnsi="Lato"/>
                <w:color w:val="1F497D"/>
                <w:sz w:val="20"/>
                <w:szCs w:val="20"/>
              </w:rPr>
            </w:pPr>
            <w:r w:rsidRPr="008444B2">
              <w:rPr>
                <w:rFonts w:ascii="Lato" w:hAnsi="Lato"/>
                <w:color w:val="1F497D"/>
                <w:sz w:val="20"/>
                <w:szCs w:val="20"/>
              </w:rPr>
              <w:t>266 601</w:t>
            </w:r>
          </w:p>
        </w:tc>
      </w:tr>
      <w:tr w:rsidR="00363C6B" w:rsidRPr="008444B2" w:rsidTr="006C1E3F">
        <w:trPr>
          <w:trHeight w:val="340"/>
          <w:jc w:val="center"/>
        </w:trPr>
        <w:tc>
          <w:tcPr>
            <w:tcW w:w="339" w:type="pct"/>
            <w:tcBorders>
              <w:top w:val="single" w:sz="4" w:space="0" w:color="4F81BD"/>
              <w:left w:val="single" w:sz="4" w:space="0" w:color="4F81BD"/>
              <w:bottom w:val="single" w:sz="4" w:space="0" w:color="4F81BD"/>
              <w:right w:val="single" w:sz="4" w:space="0" w:color="4F81BD"/>
            </w:tcBorders>
            <w:vAlign w:val="center"/>
            <w:hideMark/>
          </w:tcPr>
          <w:p w:rsidR="00363C6B" w:rsidRPr="008444B2" w:rsidRDefault="008444B2" w:rsidP="006C1E3F">
            <w:pPr>
              <w:spacing w:line="240" w:lineRule="auto"/>
              <w:ind w:firstLine="0"/>
              <w:jc w:val="center"/>
              <w:rPr>
                <w:rFonts w:ascii="Lato" w:hAnsi="Lato"/>
                <w:color w:val="1F497D"/>
                <w:sz w:val="20"/>
                <w:szCs w:val="20"/>
              </w:rPr>
            </w:pPr>
            <w:r w:rsidRPr="008444B2">
              <w:rPr>
                <w:rFonts w:ascii="Lato" w:hAnsi="Lato"/>
                <w:color w:val="1F497D"/>
                <w:sz w:val="20"/>
                <w:szCs w:val="20"/>
              </w:rPr>
              <w:t>2</w:t>
            </w:r>
          </w:p>
        </w:tc>
        <w:tc>
          <w:tcPr>
            <w:tcW w:w="3548" w:type="pct"/>
            <w:tcBorders>
              <w:top w:val="single" w:sz="4" w:space="0" w:color="4F81BD"/>
              <w:left w:val="single" w:sz="4" w:space="0" w:color="4F81BD"/>
              <w:bottom w:val="single" w:sz="4" w:space="0" w:color="4F81BD"/>
              <w:right w:val="single" w:sz="4" w:space="0" w:color="4F81BD"/>
            </w:tcBorders>
            <w:vAlign w:val="center"/>
            <w:hideMark/>
          </w:tcPr>
          <w:p w:rsidR="00363C6B" w:rsidRPr="008444B2" w:rsidRDefault="008444B2" w:rsidP="008444B2">
            <w:pPr>
              <w:spacing w:line="240" w:lineRule="auto"/>
              <w:ind w:firstLine="0"/>
              <w:rPr>
                <w:rFonts w:ascii="Lato" w:hAnsi="Lato"/>
                <w:color w:val="1F497D"/>
                <w:sz w:val="20"/>
                <w:szCs w:val="20"/>
              </w:rPr>
            </w:pPr>
            <w:r w:rsidRPr="008444B2">
              <w:rPr>
                <w:rFonts w:ascii="Lato" w:hAnsi="Lato"/>
                <w:color w:val="1F497D"/>
                <w:sz w:val="20"/>
                <w:szCs w:val="20"/>
              </w:rPr>
              <w:t>Ś</w:t>
            </w:r>
            <w:r w:rsidR="00363C6B" w:rsidRPr="008444B2">
              <w:rPr>
                <w:rFonts w:ascii="Lato" w:hAnsi="Lato"/>
                <w:color w:val="1F497D"/>
                <w:sz w:val="20"/>
                <w:szCs w:val="20"/>
              </w:rPr>
              <w:t>redniego napięcia</w:t>
            </w:r>
          </w:p>
        </w:tc>
        <w:tc>
          <w:tcPr>
            <w:tcW w:w="1113" w:type="pct"/>
            <w:tcBorders>
              <w:top w:val="single" w:sz="4" w:space="0" w:color="4F81BD"/>
              <w:left w:val="single" w:sz="4" w:space="0" w:color="4F81BD"/>
              <w:bottom w:val="single" w:sz="4" w:space="0" w:color="4F81BD"/>
              <w:right w:val="single" w:sz="4" w:space="0" w:color="4F81BD"/>
            </w:tcBorders>
            <w:vAlign w:val="center"/>
            <w:hideMark/>
          </w:tcPr>
          <w:p w:rsidR="00363C6B" w:rsidRPr="008444B2" w:rsidRDefault="008444B2" w:rsidP="006C1E3F">
            <w:pPr>
              <w:spacing w:line="240" w:lineRule="auto"/>
              <w:ind w:firstLine="0"/>
              <w:jc w:val="center"/>
              <w:rPr>
                <w:rFonts w:ascii="Lato" w:hAnsi="Lato"/>
                <w:color w:val="1F497D"/>
                <w:sz w:val="20"/>
                <w:szCs w:val="20"/>
              </w:rPr>
            </w:pPr>
            <w:r w:rsidRPr="008444B2">
              <w:rPr>
                <w:rFonts w:ascii="Lato" w:hAnsi="Lato"/>
                <w:color w:val="1F497D"/>
                <w:sz w:val="20"/>
                <w:szCs w:val="20"/>
              </w:rPr>
              <w:t>108 842</w:t>
            </w:r>
          </w:p>
        </w:tc>
      </w:tr>
      <w:tr w:rsidR="00363C6B" w:rsidRPr="008444B2" w:rsidTr="006C1E3F">
        <w:trPr>
          <w:trHeight w:val="340"/>
          <w:jc w:val="center"/>
        </w:trPr>
        <w:tc>
          <w:tcPr>
            <w:tcW w:w="339" w:type="pct"/>
            <w:tcBorders>
              <w:top w:val="single" w:sz="4" w:space="0" w:color="4F81BD"/>
              <w:left w:val="single" w:sz="4" w:space="0" w:color="4F81BD"/>
              <w:bottom w:val="single" w:sz="4" w:space="0" w:color="4F81BD"/>
              <w:right w:val="single" w:sz="4" w:space="0" w:color="4F81BD"/>
            </w:tcBorders>
            <w:vAlign w:val="center"/>
            <w:hideMark/>
          </w:tcPr>
          <w:p w:rsidR="00363C6B" w:rsidRPr="008444B2" w:rsidRDefault="008444B2" w:rsidP="006C1E3F">
            <w:pPr>
              <w:spacing w:line="240" w:lineRule="auto"/>
              <w:ind w:firstLine="0"/>
              <w:jc w:val="center"/>
              <w:rPr>
                <w:rFonts w:ascii="Lato" w:hAnsi="Lato"/>
                <w:color w:val="1F497D"/>
                <w:sz w:val="20"/>
                <w:szCs w:val="20"/>
              </w:rPr>
            </w:pPr>
            <w:r w:rsidRPr="008444B2">
              <w:rPr>
                <w:rFonts w:ascii="Lato" w:hAnsi="Lato"/>
                <w:color w:val="1F497D"/>
                <w:sz w:val="20"/>
                <w:szCs w:val="20"/>
              </w:rPr>
              <w:t>3</w:t>
            </w:r>
          </w:p>
        </w:tc>
        <w:tc>
          <w:tcPr>
            <w:tcW w:w="3548" w:type="pct"/>
            <w:tcBorders>
              <w:top w:val="single" w:sz="4" w:space="0" w:color="4F81BD"/>
              <w:left w:val="single" w:sz="4" w:space="0" w:color="4F81BD"/>
              <w:bottom w:val="single" w:sz="4" w:space="0" w:color="4F81BD"/>
              <w:right w:val="single" w:sz="4" w:space="0" w:color="4F81BD"/>
            </w:tcBorders>
            <w:vAlign w:val="center"/>
            <w:hideMark/>
          </w:tcPr>
          <w:p w:rsidR="00363C6B" w:rsidRPr="008444B2" w:rsidRDefault="008444B2" w:rsidP="008444B2">
            <w:pPr>
              <w:spacing w:line="240" w:lineRule="auto"/>
              <w:ind w:firstLine="0"/>
              <w:rPr>
                <w:rFonts w:ascii="Lato" w:hAnsi="Lato"/>
                <w:color w:val="1F497D"/>
                <w:sz w:val="20"/>
                <w:szCs w:val="20"/>
              </w:rPr>
            </w:pPr>
            <w:r w:rsidRPr="008444B2">
              <w:rPr>
                <w:rFonts w:ascii="Lato" w:hAnsi="Lato"/>
                <w:color w:val="1F497D"/>
                <w:sz w:val="20"/>
                <w:szCs w:val="20"/>
              </w:rPr>
              <w:t>W</w:t>
            </w:r>
            <w:r w:rsidR="00363C6B" w:rsidRPr="008444B2">
              <w:rPr>
                <w:rFonts w:ascii="Lato" w:hAnsi="Lato"/>
                <w:color w:val="1F497D"/>
                <w:sz w:val="20"/>
                <w:szCs w:val="20"/>
              </w:rPr>
              <w:t>ysokiego napięcia</w:t>
            </w:r>
          </w:p>
        </w:tc>
        <w:tc>
          <w:tcPr>
            <w:tcW w:w="1113" w:type="pct"/>
            <w:tcBorders>
              <w:top w:val="single" w:sz="4" w:space="0" w:color="4F81BD"/>
              <w:left w:val="single" w:sz="4" w:space="0" w:color="4F81BD"/>
              <w:bottom w:val="single" w:sz="4" w:space="0" w:color="4F81BD"/>
              <w:right w:val="single" w:sz="4" w:space="0" w:color="4F81BD"/>
            </w:tcBorders>
            <w:vAlign w:val="center"/>
            <w:hideMark/>
          </w:tcPr>
          <w:p w:rsidR="00363C6B" w:rsidRPr="008444B2" w:rsidRDefault="008444B2" w:rsidP="006C1E3F">
            <w:pPr>
              <w:spacing w:line="240" w:lineRule="auto"/>
              <w:ind w:firstLine="0"/>
              <w:jc w:val="center"/>
              <w:rPr>
                <w:rFonts w:ascii="Lato" w:hAnsi="Lato"/>
                <w:color w:val="1F497D"/>
                <w:sz w:val="20"/>
                <w:szCs w:val="20"/>
              </w:rPr>
            </w:pPr>
            <w:r w:rsidRPr="008444B2">
              <w:rPr>
                <w:rFonts w:ascii="Lato" w:hAnsi="Lato"/>
                <w:color w:val="1F497D"/>
                <w:sz w:val="20"/>
                <w:szCs w:val="20"/>
              </w:rPr>
              <w:t>50 792</w:t>
            </w:r>
          </w:p>
        </w:tc>
      </w:tr>
    </w:tbl>
    <w:p w:rsidR="00371BB5" w:rsidRPr="008444B2" w:rsidRDefault="00F73385" w:rsidP="0073689C">
      <w:pPr>
        <w:pStyle w:val="Tekstpodstawowy"/>
        <w:jc w:val="center"/>
        <w:rPr>
          <w:rFonts w:ascii="Lato" w:hAnsi="Lato" w:cs="Times New Roman"/>
          <w:i/>
          <w:sz w:val="20"/>
          <w:szCs w:val="20"/>
        </w:rPr>
      </w:pPr>
      <w:r w:rsidRPr="008444B2">
        <w:rPr>
          <w:rFonts w:ascii="Lato" w:hAnsi="Lato" w:cs="Times New Roman"/>
          <w:i/>
          <w:sz w:val="20"/>
          <w:szCs w:val="20"/>
        </w:rPr>
        <w:t xml:space="preserve">Źródło: </w:t>
      </w:r>
      <w:r w:rsidR="008444B2" w:rsidRPr="008444B2">
        <w:rPr>
          <w:rFonts w:ascii="Lato" w:hAnsi="Lato" w:cs="Times New Roman"/>
          <w:i/>
          <w:sz w:val="20"/>
          <w:szCs w:val="20"/>
        </w:rPr>
        <w:t>PGE</w:t>
      </w:r>
      <w:r w:rsidRPr="008444B2">
        <w:rPr>
          <w:rFonts w:ascii="Lato" w:hAnsi="Lato" w:cs="Times New Roman"/>
          <w:i/>
          <w:sz w:val="20"/>
          <w:szCs w:val="20"/>
        </w:rPr>
        <w:t xml:space="preserve"> Dystrybucja S. A. – stan na </w:t>
      </w:r>
      <w:r w:rsidR="008444B2" w:rsidRPr="008444B2">
        <w:rPr>
          <w:rFonts w:ascii="Lato" w:hAnsi="Lato" w:cs="Times New Roman"/>
          <w:i/>
          <w:sz w:val="20"/>
          <w:szCs w:val="20"/>
        </w:rPr>
        <w:t>31.12.2018 r.</w:t>
      </w:r>
    </w:p>
    <w:p w:rsidR="006E6E75" w:rsidRDefault="006E6E75" w:rsidP="001B49D1">
      <w:pPr>
        <w:ind w:firstLine="360"/>
        <w:jc w:val="both"/>
        <w:rPr>
          <w:rFonts w:ascii="Lato" w:hAnsi="Lato"/>
        </w:rPr>
      </w:pPr>
    </w:p>
    <w:p w:rsidR="001B49D1" w:rsidRDefault="001B49D1" w:rsidP="001B49D1">
      <w:pPr>
        <w:ind w:firstLine="709"/>
        <w:jc w:val="both"/>
        <w:rPr>
          <w:rFonts w:ascii="Lato" w:hAnsi="Lato"/>
        </w:rPr>
      </w:pPr>
      <w:r w:rsidRPr="001B49D1">
        <w:rPr>
          <w:rFonts w:ascii="Lato" w:hAnsi="Lato"/>
        </w:rPr>
        <w:t xml:space="preserve">Na terenie gminy znajduje się </w:t>
      </w:r>
      <w:r>
        <w:rPr>
          <w:rFonts w:ascii="Lato" w:hAnsi="Lato"/>
        </w:rPr>
        <w:t>108</w:t>
      </w:r>
      <w:r w:rsidRPr="001B49D1">
        <w:rPr>
          <w:rFonts w:ascii="Lato" w:hAnsi="Lato"/>
        </w:rPr>
        <w:t xml:space="preserve"> stacji transformatorowych</w:t>
      </w:r>
      <w:r w:rsidR="00B12C73">
        <w:rPr>
          <w:rFonts w:ascii="Lato" w:hAnsi="Lato"/>
        </w:rPr>
        <w:t xml:space="preserve"> SN/nN oraz 3 stacje transformatorowe 110/15 </w:t>
      </w:r>
      <w:r w:rsidR="00B12C73" w:rsidRPr="00087D9A">
        <w:rPr>
          <w:rFonts w:ascii="Lato" w:hAnsi="Lato"/>
        </w:rPr>
        <w:t>kV</w:t>
      </w:r>
      <w:r w:rsidRPr="00087D9A">
        <w:rPr>
          <w:rFonts w:ascii="Lato" w:hAnsi="Lato"/>
        </w:rPr>
        <w:t>, z</w:t>
      </w:r>
      <w:r w:rsidR="00B12C73" w:rsidRPr="00087D9A">
        <w:rPr>
          <w:rFonts w:ascii="Lato" w:hAnsi="Lato"/>
        </w:rPr>
        <w:t>estawienia</w:t>
      </w:r>
      <w:r w:rsidRPr="00087D9A">
        <w:rPr>
          <w:rFonts w:ascii="Lato" w:hAnsi="Lato"/>
        </w:rPr>
        <w:t xml:space="preserve"> stacji przedstawiono w tabel</w:t>
      </w:r>
      <w:r w:rsidR="00B12C73" w:rsidRPr="00087D9A">
        <w:rPr>
          <w:rFonts w:ascii="Lato" w:hAnsi="Lato"/>
        </w:rPr>
        <w:t>ach</w:t>
      </w:r>
      <w:r w:rsidRPr="00087D9A">
        <w:rPr>
          <w:rFonts w:ascii="Lato" w:hAnsi="Lato"/>
        </w:rPr>
        <w:t xml:space="preserve"> znajdują</w:t>
      </w:r>
      <w:r w:rsidR="00B12C73" w:rsidRPr="00087D9A">
        <w:rPr>
          <w:rFonts w:ascii="Lato" w:hAnsi="Lato"/>
        </w:rPr>
        <w:t>cych</w:t>
      </w:r>
      <w:r w:rsidRPr="00087D9A">
        <w:rPr>
          <w:rFonts w:ascii="Lato" w:hAnsi="Lato"/>
        </w:rPr>
        <w:t xml:space="preserve"> się</w:t>
      </w:r>
      <w:r w:rsidR="00B12C73" w:rsidRPr="00087D9A">
        <w:rPr>
          <w:rFonts w:ascii="Lato" w:hAnsi="Lato"/>
        </w:rPr>
        <w:t xml:space="preserve"> w </w:t>
      </w:r>
      <w:r w:rsidR="00087D9A" w:rsidRPr="00087D9A">
        <w:rPr>
          <w:rFonts w:ascii="Lato" w:hAnsi="Lato"/>
        </w:rPr>
        <w:t>załączniku 3.</w:t>
      </w:r>
    </w:p>
    <w:p w:rsidR="001B49D1" w:rsidRPr="001B49D1" w:rsidRDefault="001B49D1" w:rsidP="001B49D1">
      <w:pPr>
        <w:ind w:firstLine="360"/>
        <w:jc w:val="both"/>
        <w:rPr>
          <w:rFonts w:ascii="Lato" w:hAnsi="Lato"/>
        </w:rPr>
      </w:pPr>
    </w:p>
    <w:p w:rsidR="00371BB5" w:rsidRPr="0044436A" w:rsidRDefault="00371BB5" w:rsidP="00AB431C">
      <w:pPr>
        <w:pStyle w:val="Nagwek4"/>
        <w:numPr>
          <w:ilvl w:val="3"/>
          <w:numId w:val="59"/>
        </w:numPr>
        <w:ind w:left="993" w:right="52" w:hanging="993"/>
        <w:jc w:val="both"/>
        <w:rPr>
          <w:rFonts w:ascii="Lato" w:hAnsi="Lato"/>
          <w:b w:val="0"/>
          <w:i w:val="0"/>
          <w:color w:val="365F91"/>
        </w:rPr>
      </w:pPr>
      <w:r w:rsidRPr="0044436A">
        <w:rPr>
          <w:rFonts w:ascii="Lato" w:hAnsi="Lato"/>
          <w:b w:val="0"/>
          <w:i w:val="0"/>
          <w:color w:val="365F91"/>
        </w:rPr>
        <w:t>Oświetlenie ulic</w:t>
      </w:r>
    </w:p>
    <w:p w:rsidR="003E7862" w:rsidRPr="0044436A" w:rsidRDefault="003E7862" w:rsidP="003E7862">
      <w:pPr>
        <w:pStyle w:val="Tekstpodstawowy2"/>
        <w:spacing w:after="0" w:line="312" w:lineRule="auto"/>
        <w:ind w:firstLine="709"/>
        <w:jc w:val="both"/>
        <w:rPr>
          <w:rFonts w:ascii="Lato" w:hAnsi="Lato"/>
        </w:rPr>
      </w:pPr>
      <w:r w:rsidRPr="0044436A">
        <w:rPr>
          <w:rFonts w:ascii="Lato" w:hAnsi="Lato"/>
        </w:rPr>
        <w:t xml:space="preserve">Utrzymanie oświetlenia dróg, parków, skwerów i innych publicznych terenów należy do jednych z podstawowych obowiązków gminy w zakresie planowania energetycznego. </w:t>
      </w:r>
    </w:p>
    <w:p w:rsidR="00BE01A0" w:rsidRPr="0044436A" w:rsidRDefault="003E7862" w:rsidP="003E7862">
      <w:pPr>
        <w:pStyle w:val="Tekstpodstawowy2"/>
        <w:spacing w:after="0" w:line="312" w:lineRule="auto"/>
        <w:ind w:firstLine="709"/>
        <w:jc w:val="both"/>
        <w:rPr>
          <w:rFonts w:ascii="Lato" w:hAnsi="Lato"/>
        </w:rPr>
      </w:pPr>
      <w:r w:rsidRPr="0044436A">
        <w:rPr>
          <w:rFonts w:ascii="Lato" w:hAnsi="Lato"/>
        </w:rPr>
        <w:t xml:space="preserve">Na terenie gminy Pabianice znajdują się </w:t>
      </w:r>
      <w:r w:rsidR="00B82D29" w:rsidRPr="0044436A">
        <w:rPr>
          <w:rFonts w:ascii="Lato" w:hAnsi="Lato"/>
        </w:rPr>
        <w:t>73</w:t>
      </w:r>
      <w:r w:rsidRPr="0044436A">
        <w:rPr>
          <w:rFonts w:ascii="Lato" w:hAnsi="Lato"/>
        </w:rPr>
        <w:t xml:space="preserve">2 oprawy sodowe, </w:t>
      </w:r>
      <w:r w:rsidR="00B82D29" w:rsidRPr="0044436A">
        <w:rPr>
          <w:rFonts w:ascii="Lato" w:hAnsi="Lato"/>
        </w:rPr>
        <w:t>36</w:t>
      </w:r>
      <w:r w:rsidRPr="0044436A">
        <w:rPr>
          <w:rFonts w:ascii="Lato" w:hAnsi="Lato"/>
        </w:rPr>
        <w:t xml:space="preserve"> opraw rtęciowych</w:t>
      </w:r>
      <w:r w:rsidR="00A522BB" w:rsidRPr="0044436A">
        <w:rPr>
          <w:rFonts w:ascii="Lato" w:hAnsi="Lato"/>
        </w:rPr>
        <w:t xml:space="preserve"> oraz </w:t>
      </w:r>
      <w:r w:rsidR="00B82D29" w:rsidRPr="0044436A">
        <w:rPr>
          <w:rFonts w:ascii="Lato" w:hAnsi="Lato"/>
        </w:rPr>
        <w:t>ok. 60</w:t>
      </w:r>
      <w:r w:rsidRPr="0044436A">
        <w:rPr>
          <w:rFonts w:ascii="Lato" w:hAnsi="Lato"/>
        </w:rPr>
        <w:t xml:space="preserve"> opraw LED oświetlenia ulicznego. W poniższej tabeli przedstawiono wykaz punktów świetlnych oświetlenia ulicznego</w:t>
      </w:r>
      <w:r w:rsidR="00461F96" w:rsidRPr="0044436A">
        <w:rPr>
          <w:rFonts w:ascii="Lato" w:hAnsi="Lato"/>
        </w:rPr>
        <w:t xml:space="preserve"> (oprawy sodowe i rtęciowe)</w:t>
      </w:r>
      <w:r w:rsidRPr="0044436A">
        <w:rPr>
          <w:rFonts w:ascii="Lato" w:hAnsi="Lato"/>
        </w:rPr>
        <w:t>.</w:t>
      </w:r>
    </w:p>
    <w:p w:rsidR="007D01EE" w:rsidRPr="0044436A" w:rsidRDefault="007D01EE" w:rsidP="003E7862">
      <w:pPr>
        <w:pStyle w:val="Tekstpodstawowy2"/>
        <w:spacing w:after="0" w:line="312" w:lineRule="auto"/>
        <w:ind w:firstLine="709"/>
        <w:jc w:val="both"/>
        <w:rPr>
          <w:rFonts w:ascii="Lato" w:hAnsi="Lato"/>
        </w:rPr>
      </w:pPr>
    </w:p>
    <w:p w:rsidR="005472C6" w:rsidRPr="0044436A" w:rsidRDefault="00394356" w:rsidP="007D01EE">
      <w:pPr>
        <w:spacing w:before="120" w:after="120" w:line="240" w:lineRule="auto"/>
        <w:ind w:firstLine="0"/>
        <w:jc w:val="both"/>
        <w:rPr>
          <w:rFonts w:ascii="Lato" w:hAnsi="Lato"/>
          <w:color w:val="000000"/>
        </w:rPr>
      </w:pPr>
      <w:bookmarkStart w:id="141" w:name="_Toc20219174"/>
      <w:r w:rsidRPr="0044436A">
        <w:rPr>
          <w:rFonts w:ascii="Lato" w:hAnsi="Lato"/>
          <w:b/>
          <w:color w:val="1F497D"/>
          <w:sz w:val="20"/>
          <w:szCs w:val="20"/>
        </w:rPr>
        <w:t xml:space="preserve">Tabela </w:t>
      </w:r>
      <w:r w:rsidRPr="0044436A">
        <w:rPr>
          <w:rFonts w:ascii="Lato" w:hAnsi="Lato"/>
          <w:b/>
          <w:color w:val="1F497D"/>
          <w:sz w:val="20"/>
          <w:szCs w:val="20"/>
        </w:rPr>
        <w:fldChar w:fldCharType="begin"/>
      </w:r>
      <w:r w:rsidRPr="0044436A">
        <w:rPr>
          <w:rFonts w:ascii="Lato" w:hAnsi="Lato"/>
          <w:b/>
          <w:color w:val="1F497D"/>
          <w:sz w:val="20"/>
          <w:szCs w:val="20"/>
        </w:rPr>
        <w:instrText xml:space="preserve"> STYLEREF 1 \s </w:instrText>
      </w:r>
      <w:r w:rsidRPr="0044436A">
        <w:rPr>
          <w:rFonts w:ascii="Lato" w:hAnsi="Lato"/>
          <w:b/>
          <w:color w:val="1F497D"/>
          <w:sz w:val="20"/>
          <w:szCs w:val="20"/>
        </w:rPr>
        <w:fldChar w:fldCharType="separate"/>
      </w:r>
      <w:r w:rsidR="0040205B">
        <w:rPr>
          <w:rFonts w:ascii="Lato" w:hAnsi="Lato"/>
          <w:b/>
          <w:noProof/>
          <w:color w:val="1F497D"/>
          <w:sz w:val="20"/>
          <w:szCs w:val="20"/>
        </w:rPr>
        <w:t>2</w:t>
      </w:r>
      <w:r w:rsidRPr="0044436A">
        <w:rPr>
          <w:rFonts w:ascii="Lato" w:hAnsi="Lato"/>
          <w:b/>
          <w:color w:val="1F497D"/>
          <w:sz w:val="20"/>
          <w:szCs w:val="20"/>
        </w:rPr>
        <w:fldChar w:fldCharType="end"/>
      </w:r>
      <w:r w:rsidRPr="0044436A">
        <w:rPr>
          <w:rFonts w:ascii="Lato" w:hAnsi="Lato"/>
          <w:b/>
          <w:color w:val="1F497D"/>
          <w:sz w:val="20"/>
          <w:szCs w:val="20"/>
        </w:rPr>
        <w:noBreakHyphen/>
      </w:r>
      <w:r w:rsidRPr="0044436A">
        <w:rPr>
          <w:rFonts w:ascii="Lato" w:hAnsi="Lato"/>
          <w:b/>
          <w:color w:val="1F497D"/>
          <w:sz w:val="20"/>
          <w:szCs w:val="20"/>
        </w:rPr>
        <w:fldChar w:fldCharType="begin"/>
      </w:r>
      <w:r w:rsidRPr="0044436A">
        <w:rPr>
          <w:rFonts w:ascii="Lato" w:hAnsi="Lato"/>
          <w:b/>
          <w:color w:val="1F497D"/>
          <w:sz w:val="20"/>
          <w:szCs w:val="20"/>
        </w:rPr>
        <w:instrText xml:space="preserve"> SEQ Tabela \* ARABIC \s 1 </w:instrText>
      </w:r>
      <w:r w:rsidRPr="0044436A">
        <w:rPr>
          <w:rFonts w:ascii="Lato" w:hAnsi="Lato"/>
          <w:b/>
          <w:color w:val="1F497D"/>
          <w:sz w:val="20"/>
          <w:szCs w:val="20"/>
        </w:rPr>
        <w:fldChar w:fldCharType="separate"/>
      </w:r>
      <w:r w:rsidR="0040205B">
        <w:rPr>
          <w:rFonts w:ascii="Lato" w:hAnsi="Lato"/>
          <w:b/>
          <w:noProof/>
          <w:color w:val="1F497D"/>
          <w:sz w:val="20"/>
          <w:szCs w:val="20"/>
        </w:rPr>
        <w:t>8</w:t>
      </w:r>
      <w:r w:rsidRPr="0044436A">
        <w:rPr>
          <w:rFonts w:ascii="Lato" w:hAnsi="Lato"/>
          <w:b/>
          <w:color w:val="1F497D"/>
          <w:sz w:val="20"/>
          <w:szCs w:val="20"/>
        </w:rPr>
        <w:fldChar w:fldCharType="end"/>
      </w:r>
      <w:r w:rsidRPr="0044436A">
        <w:rPr>
          <w:rFonts w:ascii="Lato" w:hAnsi="Lato"/>
          <w:b/>
          <w:color w:val="1F497D"/>
          <w:sz w:val="20"/>
          <w:szCs w:val="20"/>
        </w:rPr>
        <w:t xml:space="preserve"> Wykaz punktów oświetlenia drogowego na terenie Gminy Pabianice</w:t>
      </w:r>
      <w:bookmarkEnd w:id="141"/>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2582"/>
        <w:gridCol w:w="951"/>
        <w:gridCol w:w="951"/>
        <w:gridCol w:w="949"/>
        <w:gridCol w:w="944"/>
        <w:gridCol w:w="949"/>
        <w:gridCol w:w="949"/>
        <w:gridCol w:w="1354"/>
      </w:tblGrid>
      <w:tr w:rsidR="0063660B" w:rsidRPr="0044436A" w:rsidTr="000F2422">
        <w:trPr>
          <w:cantSplit/>
          <w:trHeight w:val="340"/>
          <w:tblHeader/>
          <w:jc w:val="center"/>
        </w:trPr>
        <w:tc>
          <w:tcPr>
            <w:tcW w:w="1340" w:type="pct"/>
            <w:vMerge w:val="restart"/>
            <w:tcBorders>
              <w:top w:val="single" w:sz="4" w:space="0" w:color="4F81BD"/>
              <w:left w:val="single" w:sz="4" w:space="0" w:color="4F81BD"/>
              <w:right w:val="single" w:sz="4" w:space="0" w:color="4F81BD"/>
            </w:tcBorders>
            <w:shd w:val="clear" w:color="auto" w:fill="DBE5F1"/>
            <w:vAlign w:val="center"/>
            <w:hideMark/>
          </w:tcPr>
          <w:p w:rsidR="0063660B" w:rsidRPr="0044436A" w:rsidRDefault="0063660B" w:rsidP="001F51DA">
            <w:pPr>
              <w:spacing w:line="240" w:lineRule="auto"/>
              <w:ind w:left="-541"/>
              <w:jc w:val="center"/>
              <w:rPr>
                <w:rFonts w:ascii="Lato" w:hAnsi="Lato"/>
                <w:color w:val="1F497D"/>
                <w:sz w:val="20"/>
                <w:szCs w:val="20"/>
              </w:rPr>
            </w:pPr>
            <w:r w:rsidRPr="0044436A">
              <w:rPr>
                <w:rFonts w:ascii="Lato" w:hAnsi="Lato"/>
                <w:color w:val="1F497D"/>
                <w:sz w:val="20"/>
                <w:szCs w:val="20"/>
              </w:rPr>
              <w:t>Miejscowość</w:t>
            </w:r>
          </w:p>
        </w:tc>
        <w:tc>
          <w:tcPr>
            <w:tcW w:w="2956" w:type="pct"/>
            <w:gridSpan w:val="6"/>
            <w:tcBorders>
              <w:top w:val="single" w:sz="4" w:space="0" w:color="4F81BD"/>
              <w:left w:val="single" w:sz="4" w:space="0" w:color="4F81BD"/>
              <w:bottom w:val="single" w:sz="4" w:space="0" w:color="4F81BD"/>
              <w:right w:val="single" w:sz="4" w:space="0" w:color="4F81BD"/>
            </w:tcBorders>
            <w:shd w:val="clear" w:color="auto" w:fill="DBE5F1"/>
            <w:vAlign w:val="center"/>
          </w:tcPr>
          <w:p w:rsidR="0063660B" w:rsidRPr="0044436A" w:rsidRDefault="0063660B" w:rsidP="001F51DA">
            <w:pPr>
              <w:spacing w:line="240" w:lineRule="auto"/>
              <w:ind w:left="-541"/>
              <w:jc w:val="center"/>
              <w:rPr>
                <w:rFonts w:ascii="Lato" w:hAnsi="Lato"/>
                <w:color w:val="1F497D"/>
                <w:sz w:val="20"/>
                <w:szCs w:val="20"/>
              </w:rPr>
            </w:pPr>
            <w:r w:rsidRPr="0044436A">
              <w:rPr>
                <w:rFonts w:ascii="Lato" w:hAnsi="Lato"/>
                <w:color w:val="1F497D"/>
                <w:sz w:val="20"/>
                <w:szCs w:val="20"/>
              </w:rPr>
              <w:t>Typ oprawy</w:t>
            </w:r>
          </w:p>
        </w:tc>
        <w:tc>
          <w:tcPr>
            <w:tcW w:w="704" w:type="pct"/>
            <w:vMerge w:val="restart"/>
            <w:tcBorders>
              <w:top w:val="single" w:sz="4" w:space="0" w:color="4F81BD"/>
              <w:left w:val="single" w:sz="4" w:space="0" w:color="4F81BD"/>
              <w:right w:val="single" w:sz="4" w:space="0" w:color="4F81BD"/>
            </w:tcBorders>
            <w:shd w:val="clear" w:color="auto" w:fill="DBE5F1"/>
            <w:vAlign w:val="center"/>
            <w:hideMark/>
          </w:tcPr>
          <w:p w:rsidR="0063660B" w:rsidRPr="0044436A" w:rsidRDefault="0063660B" w:rsidP="001F51DA">
            <w:pPr>
              <w:spacing w:line="240" w:lineRule="auto"/>
              <w:ind w:firstLine="0"/>
              <w:rPr>
                <w:rFonts w:ascii="Lato" w:hAnsi="Lato"/>
                <w:color w:val="1F497D"/>
                <w:sz w:val="20"/>
                <w:szCs w:val="20"/>
              </w:rPr>
            </w:pPr>
            <w:r w:rsidRPr="0044436A">
              <w:rPr>
                <w:rFonts w:ascii="Lato" w:hAnsi="Lato"/>
                <w:color w:val="1F497D"/>
                <w:sz w:val="20"/>
                <w:szCs w:val="20"/>
              </w:rPr>
              <w:t>Razem, szt.</w:t>
            </w:r>
          </w:p>
        </w:tc>
      </w:tr>
      <w:tr w:rsidR="0063660B" w:rsidRPr="0044436A" w:rsidTr="000F2422">
        <w:trPr>
          <w:cantSplit/>
          <w:trHeight w:val="340"/>
          <w:tblHeader/>
          <w:jc w:val="center"/>
        </w:trPr>
        <w:tc>
          <w:tcPr>
            <w:tcW w:w="1340" w:type="pct"/>
            <w:vMerge/>
            <w:tcBorders>
              <w:left w:val="single" w:sz="4" w:space="0" w:color="4F81BD"/>
              <w:right w:val="single" w:sz="4" w:space="0" w:color="4F81BD"/>
            </w:tcBorders>
            <w:vAlign w:val="center"/>
          </w:tcPr>
          <w:p w:rsidR="0063660B" w:rsidRPr="0044436A" w:rsidRDefault="0063660B" w:rsidP="001F51DA">
            <w:pPr>
              <w:spacing w:line="240" w:lineRule="auto"/>
              <w:ind w:left="-541"/>
              <w:jc w:val="center"/>
              <w:rPr>
                <w:rFonts w:ascii="Lato" w:hAnsi="Lato"/>
                <w:color w:val="1F497D"/>
                <w:sz w:val="20"/>
                <w:szCs w:val="20"/>
              </w:rPr>
            </w:pPr>
          </w:p>
        </w:tc>
        <w:tc>
          <w:tcPr>
            <w:tcW w:w="1971" w:type="pct"/>
            <w:gridSpan w:val="4"/>
            <w:tcBorders>
              <w:top w:val="single" w:sz="4" w:space="0" w:color="4F81BD"/>
              <w:left w:val="single" w:sz="4" w:space="0" w:color="4F81BD"/>
              <w:bottom w:val="single" w:sz="4" w:space="0" w:color="4F81BD"/>
              <w:right w:val="single" w:sz="4" w:space="0" w:color="4F81BD"/>
            </w:tcBorders>
            <w:shd w:val="clear" w:color="auto" w:fill="DBE5F1"/>
            <w:vAlign w:val="center"/>
          </w:tcPr>
          <w:p w:rsidR="0063660B" w:rsidRPr="0044436A" w:rsidRDefault="0063660B" w:rsidP="001F51DA">
            <w:pPr>
              <w:spacing w:line="240" w:lineRule="auto"/>
              <w:ind w:left="-541"/>
              <w:jc w:val="center"/>
              <w:rPr>
                <w:rFonts w:ascii="Lato" w:hAnsi="Lato"/>
                <w:color w:val="1F497D"/>
                <w:sz w:val="20"/>
                <w:szCs w:val="20"/>
              </w:rPr>
            </w:pPr>
            <w:r w:rsidRPr="0044436A">
              <w:rPr>
                <w:rFonts w:ascii="Lato" w:hAnsi="Lato"/>
                <w:color w:val="1F497D"/>
                <w:sz w:val="20"/>
                <w:szCs w:val="20"/>
              </w:rPr>
              <w:t>Sodowe</w:t>
            </w:r>
          </w:p>
        </w:tc>
        <w:tc>
          <w:tcPr>
            <w:tcW w:w="986" w:type="pct"/>
            <w:gridSpan w:val="2"/>
            <w:tcBorders>
              <w:top w:val="single" w:sz="4" w:space="0" w:color="4F81BD"/>
              <w:left w:val="single" w:sz="4" w:space="0" w:color="4F81BD"/>
              <w:bottom w:val="single" w:sz="4" w:space="0" w:color="4F81BD"/>
              <w:right w:val="single" w:sz="4" w:space="0" w:color="4F81BD"/>
            </w:tcBorders>
            <w:shd w:val="clear" w:color="auto" w:fill="DBE5F1"/>
            <w:vAlign w:val="center"/>
          </w:tcPr>
          <w:p w:rsidR="0063660B" w:rsidRPr="0044436A" w:rsidRDefault="0063660B" w:rsidP="001F51DA">
            <w:pPr>
              <w:spacing w:line="240" w:lineRule="auto"/>
              <w:ind w:left="-541"/>
              <w:jc w:val="center"/>
              <w:rPr>
                <w:rFonts w:ascii="Lato" w:hAnsi="Lato"/>
                <w:color w:val="1F497D"/>
                <w:sz w:val="20"/>
                <w:szCs w:val="20"/>
              </w:rPr>
            </w:pPr>
            <w:r w:rsidRPr="0044436A">
              <w:rPr>
                <w:rFonts w:ascii="Lato" w:hAnsi="Lato"/>
                <w:color w:val="1F497D"/>
                <w:sz w:val="20"/>
                <w:szCs w:val="20"/>
              </w:rPr>
              <w:t>Rtęciowe</w:t>
            </w:r>
          </w:p>
        </w:tc>
        <w:tc>
          <w:tcPr>
            <w:tcW w:w="704" w:type="pct"/>
            <w:vMerge/>
            <w:tcBorders>
              <w:left w:val="single" w:sz="4" w:space="0" w:color="4F81BD"/>
              <w:right w:val="single" w:sz="4" w:space="0" w:color="4F81BD"/>
            </w:tcBorders>
            <w:vAlign w:val="center"/>
          </w:tcPr>
          <w:p w:rsidR="0063660B" w:rsidRPr="0044436A" w:rsidRDefault="0063660B" w:rsidP="001F51DA">
            <w:pPr>
              <w:spacing w:line="240" w:lineRule="auto"/>
              <w:ind w:left="-541"/>
              <w:jc w:val="center"/>
              <w:rPr>
                <w:rFonts w:ascii="Lato" w:hAnsi="Lato"/>
                <w:color w:val="1F497D"/>
                <w:sz w:val="20"/>
                <w:szCs w:val="20"/>
              </w:rPr>
            </w:pPr>
          </w:p>
        </w:tc>
      </w:tr>
      <w:tr w:rsidR="0063660B" w:rsidRPr="0044436A" w:rsidTr="000F2422">
        <w:trPr>
          <w:cantSplit/>
          <w:trHeight w:val="340"/>
          <w:tblHeader/>
          <w:jc w:val="center"/>
        </w:trPr>
        <w:tc>
          <w:tcPr>
            <w:tcW w:w="1340" w:type="pct"/>
            <w:vMerge/>
            <w:tcBorders>
              <w:left w:val="single" w:sz="4" w:space="0" w:color="4F81BD"/>
              <w:bottom w:val="single" w:sz="4" w:space="0" w:color="4F81BD"/>
              <w:right w:val="single" w:sz="4" w:space="0" w:color="4F81BD"/>
            </w:tcBorders>
            <w:vAlign w:val="center"/>
          </w:tcPr>
          <w:p w:rsidR="0063660B" w:rsidRPr="0044436A" w:rsidRDefault="0063660B" w:rsidP="001F51DA">
            <w:pPr>
              <w:spacing w:line="240" w:lineRule="auto"/>
              <w:ind w:left="-541"/>
              <w:jc w:val="center"/>
              <w:rPr>
                <w:rFonts w:ascii="Lato" w:hAnsi="Lato"/>
                <w:color w:val="1F497D"/>
                <w:sz w:val="20"/>
                <w:szCs w:val="20"/>
              </w:rPr>
            </w:pPr>
          </w:p>
        </w:tc>
        <w:tc>
          <w:tcPr>
            <w:tcW w:w="494" w:type="pct"/>
            <w:tcBorders>
              <w:top w:val="single" w:sz="4" w:space="0" w:color="4F81BD"/>
              <w:left w:val="single" w:sz="4" w:space="0" w:color="4F81BD"/>
              <w:bottom w:val="single" w:sz="4" w:space="0" w:color="4F81BD"/>
              <w:right w:val="single" w:sz="4" w:space="0" w:color="4F81BD"/>
            </w:tcBorders>
            <w:shd w:val="clear" w:color="auto" w:fill="DBE5F1"/>
            <w:vAlign w:val="center"/>
          </w:tcPr>
          <w:p w:rsidR="0063660B" w:rsidRPr="0044436A" w:rsidRDefault="0063660B" w:rsidP="001F51DA">
            <w:pPr>
              <w:spacing w:line="240" w:lineRule="auto"/>
              <w:ind w:left="-541"/>
              <w:jc w:val="center"/>
              <w:rPr>
                <w:rFonts w:ascii="Lato" w:hAnsi="Lato"/>
                <w:color w:val="1F497D"/>
                <w:sz w:val="20"/>
                <w:szCs w:val="20"/>
              </w:rPr>
            </w:pPr>
            <w:r w:rsidRPr="0044436A">
              <w:rPr>
                <w:rFonts w:ascii="Lato" w:hAnsi="Lato"/>
                <w:color w:val="1F497D"/>
                <w:sz w:val="20"/>
                <w:szCs w:val="20"/>
              </w:rPr>
              <w:t>70W</w:t>
            </w:r>
          </w:p>
        </w:tc>
        <w:tc>
          <w:tcPr>
            <w:tcW w:w="494" w:type="pct"/>
            <w:tcBorders>
              <w:top w:val="single" w:sz="4" w:space="0" w:color="4F81BD"/>
              <w:left w:val="single" w:sz="4" w:space="0" w:color="4F81BD"/>
              <w:bottom w:val="single" w:sz="4" w:space="0" w:color="4F81BD"/>
              <w:right w:val="single" w:sz="4" w:space="0" w:color="4F81BD"/>
            </w:tcBorders>
            <w:shd w:val="clear" w:color="auto" w:fill="DBE5F1"/>
            <w:vAlign w:val="center"/>
          </w:tcPr>
          <w:p w:rsidR="0063660B" w:rsidRPr="0044436A" w:rsidRDefault="0063660B" w:rsidP="001F51DA">
            <w:pPr>
              <w:spacing w:line="240" w:lineRule="auto"/>
              <w:ind w:left="-541"/>
              <w:jc w:val="center"/>
              <w:rPr>
                <w:rFonts w:ascii="Lato" w:hAnsi="Lato"/>
                <w:color w:val="1F497D"/>
                <w:sz w:val="20"/>
                <w:szCs w:val="20"/>
              </w:rPr>
            </w:pPr>
            <w:r w:rsidRPr="0044436A">
              <w:rPr>
                <w:rFonts w:ascii="Lato" w:hAnsi="Lato"/>
                <w:color w:val="1F497D"/>
                <w:sz w:val="20"/>
                <w:szCs w:val="20"/>
              </w:rPr>
              <w:t>150W</w:t>
            </w:r>
          </w:p>
        </w:tc>
        <w:tc>
          <w:tcPr>
            <w:tcW w:w="493" w:type="pct"/>
            <w:tcBorders>
              <w:top w:val="single" w:sz="4" w:space="0" w:color="4F81BD"/>
              <w:left w:val="single" w:sz="4" w:space="0" w:color="4F81BD"/>
              <w:bottom w:val="single" w:sz="4" w:space="0" w:color="4F81BD"/>
              <w:right w:val="single" w:sz="4" w:space="0" w:color="4F81BD"/>
            </w:tcBorders>
            <w:shd w:val="clear" w:color="auto" w:fill="DBE5F1"/>
            <w:vAlign w:val="center"/>
          </w:tcPr>
          <w:p w:rsidR="0063660B" w:rsidRPr="0044436A" w:rsidRDefault="0063660B" w:rsidP="001F51DA">
            <w:pPr>
              <w:spacing w:line="240" w:lineRule="auto"/>
              <w:ind w:left="-541"/>
              <w:jc w:val="center"/>
              <w:rPr>
                <w:rFonts w:ascii="Lato" w:hAnsi="Lato"/>
                <w:color w:val="1F497D"/>
                <w:sz w:val="20"/>
                <w:szCs w:val="20"/>
              </w:rPr>
            </w:pPr>
            <w:r w:rsidRPr="0044436A">
              <w:rPr>
                <w:rFonts w:ascii="Lato" w:hAnsi="Lato"/>
                <w:color w:val="1F497D"/>
                <w:sz w:val="20"/>
                <w:szCs w:val="20"/>
              </w:rPr>
              <w:t>250W</w:t>
            </w:r>
          </w:p>
        </w:tc>
        <w:tc>
          <w:tcPr>
            <w:tcW w:w="490" w:type="pct"/>
            <w:tcBorders>
              <w:top w:val="single" w:sz="4" w:space="0" w:color="4F81BD"/>
              <w:left w:val="single" w:sz="4" w:space="0" w:color="4F81BD"/>
              <w:bottom w:val="single" w:sz="4" w:space="0" w:color="4F81BD"/>
              <w:right w:val="single" w:sz="4" w:space="0" w:color="4F81BD"/>
            </w:tcBorders>
            <w:shd w:val="clear" w:color="auto" w:fill="DBE5F1"/>
            <w:vAlign w:val="center"/>
          </w:tcPr>
          <w:p w:rsidR="0063660B" w:rsidRPr="0044436A" w:rsidRDefault="0063660B" w:rsidP="001F51DA">
            <w:pPr>
              <w:spacing w:line="240" w:lineRule="auto"/>
              <w:ind w:left="-541"/>
              <w:jc w:val="center"/>
              <w:rPr>
                <w:rFonts w:ascii="Lato" w:hAnsi="Lato"/>
                <w:color w:val="1F497D"/>
                <w:sz w:val="20"/>
                <w:szCs w:val="20"/>
              </w:rPr>
            </w:pPr>
            <w:r w:rsidRPr="0044436A">
              <w:rPr>
                <w:rFonts w:ascii="Lato" w:hAnsi="Lato"/>
                <w:color w:val="1F497D"/>
                <w:sz w:val="20"/>
                <w:szCs w:val="20"/>
              </w:rPr>
              <w:t>400W</w:t>
            </w:r>
          </w:p>
        </w:tc>
        <w:tc>
          <w:tcPr>
            <w:tcW w:w="493" w:type="pct"/>
            <w:tcBorders>
              <w:top w:val="single" w:sz="4" w:space="0" w:color="4F81BD"/>
              <w:left w:val="single" w:sz="4" w:space="0" w:color="4F81BD"/>
              <w:bottom w:val="single" w:sz="4" w:space="0" w:color="4F81BD"/>
              <w:right w:val="single" w:sz="4" w:space="0" w:color="4F81BD"/>
            </w:tcBorders>
            <w:shd w:val="clear" w:color="auto" w:fill="DBE5F1"/>
            <w:vAlign w:val="center"/>
          </w:tcPr>
          <w:p w:rsidR="0063660B" w:rsidRPr="0044436A" w:rsidRDefault="0063660B" w:rsidP="001F51DA">
            <w:pPr>
              <w:spacing w:line="240" w:lineRule="auto"/>
              <w:ind w:left="-541"/>
              <w:jc w:val="center"/>
              <w:rPr>
                <w:rFonts w:ascii="Lato" w:hAnsi="Lato"/>
                <w:color w:val="1F497D"/>
                <w:sz w:val="20"/>
                <w:szCs w:val="20"/>
              </w:rPr>
            </w:pPr>
            <w:r w:rsidRPr="0044436A">
              <w:rPr>
                <w:rFonts w:ascii="Lato" w:hAnsi="Lato"/>
                <w:color w:val="1F497D"/>
                <w:sz w:val="20"/>
                <w:szCs w:val="20"/>
              </w:rPr>
              <w:t>125W</w:t>
            </w:r>
          </w:p>
        </w:tc>
        <w:tc>
          <w:tcPr>
            <w:tcW w:w="493" w:type="pct"/>
            <w:tcBorders>
              <w:top w:val="single" w:sz="4" w:space="0" w:color="4F81BD"/>
              <w:left w:val="single" w:sz="4" w:space="0" w:color="4F81BD"/>
              <w:bottom w:val="single" w:sz="4" w:space="0" w:color="4F81BD"/>
              <w:right w:val="single" w:sz="4" w:space="0" w:color="4F81BD"/>
            </w:tcBorders>
            <w:shd w:val="clear" w:color="auto" w:fill="DBE5F1"/>
            <w:vAlign w:val="center"/>
          </w:tcPr>
          <w:p w:rsidR="0063660B" w:rsidRPr="0044436A" w:rsidRDefault="0063660B" w:rsidP="001F51DA">
            <w:pPr>
              <w:spacing w:line="240" w:lineRule="auto"/>
              <w:ind w:left="-541"/>
              <w:jc w:val="center"/>
              <w:rPr>
                <w:rFonts w:ascii="Lato" w:hAnsi="Lato"/>
                <w:color w:val="1F497D"/>
                <w:sz w:val="20"/>
                <w:szCs w:val="20"/>
              </w:rPr>
            </w:pPr>
            <w:r w:rsidRPr="0044436A">
              <w:rPr>
                <w:rFonts w:ascii="Lato" w:hAnsi="Lato"/>
                <w:color w:val="1F497D"/>
                <w:sz w:val="20"/>
                <w:szCs w:val="20"/>
              </w:rPr>
              <w:t>250W</w:t>
            </w:r>
          </w:p>
        </w:tc>
        <w:tc>
          <w:tcPr>
            <w:tcW w:w="704" w:type="pct"/>
            <w:vMerge/>
            <w:tcBorders>
              <w:left w:val="single" w:sz="4" w:space="0" w:color="4F81BD"/>
              <w:bottom w:val="single" w:sz="4" w:space="0" w:color="4F81BD"/>
              <w:right w:val="single" w:sz="4" w:space="0" w:color="4F81BD"/>
            </w:tcBorders>
            <w:vAlign w:val="center"/>
          </w:tcPr>
          <w:p w:rsidR="0063660B" w:rsidRPr="0044436A" w:rsidRDefault="0063660B" w:rsidP="001F51DA">
            <w:pPr>
              <w:spacing w:line="240" w:lineRule="auto"/>
              <w:ind w:left="-541"/>
              <w:jc w:val="center"/>
              <w:rPr>
                <w:rFonts w:ascii="Lato" w:hAnsi="Lato"/>
                <w:color w:val="1F497D"/>
                <w:sz w:val="20"/>
                <w:szCs w:val="20"/>
              </w:rPr>
            </w:pPr>
          </w:p>
        </w:tc>
      </w:tr>
      <w:tr w:rsidR="001F51DA" w:rsidRPr="0044436A"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Bychlew</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7</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28</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2</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37</w:t>
            </w:r>
          </w:p>
        </w:tc>
      </w:tr>
      <w:tr w:rsidR="001F51DA" w:rsidRPr="0044436A"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Gorzew</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5</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7</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12</w:t>
            </w:r>
          </w:p>
        </w:tc>
      </w:tr>
      <w:tr w:rsidR="001F51DA" w:rsidRPr="0044436A"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Górka Pabianicka</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46</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4</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11</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3</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10</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74</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Hermanów</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51</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1</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7</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44436A"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44436A">
              <w:rPr>
                <w:rFonts w:ascii="Lato" w:hAnsi="Lato"/>
                <w:color w:val="1F497D"/>
                <w:sz w:val="20"/>
                <w:szCs w:val="20"/>
              </w:rPr>
              <w:t>59</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Jadwinin</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21</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3</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3</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27</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Janowice</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31</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3</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3</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37</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Konin</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13</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13</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Kudrowice</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7</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42</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49</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Majówka</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13</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15</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Okołowice</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11</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11</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oś. Petrykozy</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10</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11</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Pawlikowice</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53</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4</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59</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Petrykozy</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18</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18</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Piątkowisko</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13</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32</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5</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50</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Porszewice</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15</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3</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21</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Rydzyny</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23</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86</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111</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Szynkielew</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40</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42</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lastRenderedPageBreak/>
              <w:t>Świątniki</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9</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5</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14</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Terenin</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15</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16</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Wysieradz</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15</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15</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Władysławów</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13</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13</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Wola Żytowska</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13</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15</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29</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sidRPr="00BB58A9">
              <w:rPr>
                <w:rFonts w:ascii="Lato" w:hAnsi="Lato"/>
                <w:color w:val="1F497D"/>
                <w:sz w:val="20"/>
                <w:szCs w:val="20"/>
              </w:rPr>
              <w:t>Żytowice</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11</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24</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Pr>
                <w:rFonts w:ascii="Lato" w:hAnsi="Lato"/>
                <w:color w:val="1F497D"/>
                <w:sz w:val="20"/>
                <w:szCs w:val="20"/>
              </w:rPr>
              <w:t>-</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35</w:t>
            </w:r>
          </w:p>
        </w:tc>
      </w:tr>
      <w:tr w:rsidR="001F51DA" w:rsidRPr="00492AA8" w:rsidTr="0063660B">
        <w:trPr>
          <w:trHeight w:val="340"/>
          <w:jc w:val="center"/>
        </w:trPr>
        <w:tc>
          <w:tcPr>
            <w:tcW w:w="1340" w:type="pct"/>
            <w:tcBorders>
              <w:top w:val="single" w:sz="4" w:space="0" w:color="4F81BD"/>
              <w:left w:val="single" w:sz="4" w:space="0" w:color="4F81BD"/>
              <w:bottom w:val="single" w:sz="4" w:space="0" w:color="4F81BD"/>
              <w:right w:val="single" w:sz="4" w:space="0" w:color="4F81BD"/>
            </w:tcBorders>
            <w:vAlign w:val="center"/>
          </w:tcPr>
          <w:p w:rsidR="001F51DA" w:rsidRPr="00BB58A9" w:rsidRDefault="001F51DA" w:rsidP="001F51DA">
            <w:pPr>
              <w:spacing w:line="240" w:lineRule="auto"/>
              <w:ind w:left="-541"/>
              <w:jc w:val="center"/>
              <w:rPr>
                <w:rFonts w:ascii="Lato" w:hAnsi="Lato"/>
                <w:color w:val="1F497D"/>
                <w:sz w:val="20"/>
                <w:szCs w:val="20"/>
              </w:rPr>
            </w:pPr>
            <w:r>
              <w:rPr>
                <w:rFonts w:ascii="Lato" w:hAnsi="Lato"/>
                <w:color w:val="1F497D"/>
                <w:sz w:val="20"/>
                <w:szCs w:val="20"/>
              </w:rPr>
              <w:t>Suma:</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419</w:t>
            </w:r>
          </w:p>
        </w:tc>
        <w:tc>
          <w:tcPr>
            <w:tcW w:w="49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214</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97</w:t>
            </w:r>
          </w:p>
        </w:tc>
        <w:tc>
          <w:tcPr>
            <w:tcW w:w="490"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26</w:t>
            </w:r>
          </w:p>
        </w:tc>
        <w:tc>
          <w:tcPr>
            <w:tcW w:w="493"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10</w:t>
            </w:r>
          </w:p>
        </w:tc>
        <w:tc>
          <w:tcPr>
            <w:tcW w:w="704" w:type="pct"/>
            <w:tcBorders>
              <w:top w:val="single" w:sz="4" w:space="0" w:color="4F81BD"/>
              <w:left w:val="single" w:sz="4" w:space="0" w:color="4F81BD"/>
              <w:bottom w:val="single" w:sz="4" w:space="0" w:color="4F81BD"/>
              <w:right w:val="single" w:sz="4" w:space="0" w:color="4F81BD"/>
            </w:tcBorders>
            <w:vAlign w:val="center"/>
          </w:tcPr>
          <w:p w:rsidR="001F51DA" w:rsidRPr="003D2DD5" w:rsidRDefault="001F51DA" w:rsidP="001F51DA">
            <w:pPr>
              <w:spacing w:line="240" w:lineRule="auto"/>
              <w:ind w:left="-541"/>
              <w:jc w:val="center"/>
              <w:rPr>
                <w:rFonts w:ascii="Lato" w:hAnsi="Lato"/>
                <w:color w:val="1F497D"/>
                <w:sz w:val="20"/>
                <w:szCs w:val="20"/>
              </w:rPr>
            </w:pPr>
            <w:r w:rsidRPr="003D2DD5">
              <w:rPr>
                <w:rFonts w:ascii="Lato" w:hAnsi="Lato"/>
                <w:color w:val="1F497D"/>
                <w:sz w:val="20"/>
                <w:szCs w:val="20"/>
              </w:rPr>
              <w:t>768</w:t>
            </w:r>
          </w:p>
        </w:tc>
      </w:tr>
    </w:tbl>
    <w:p w:rsidR="001F51DA" w:rsidRDefault="00D73558" w:rsidP="00402E0C">
      <w:pPr>
        <w:pStyle w:val="Tekstpodstawowy2"/>
        <w:spacing w:before="120" w:after="0" w:line="312" w:lineRule="auto"/>
        <w:ind w:firstLine="709"/>
        <w:jc w:val="center"/>
        <w:rPr>
          <w:rFonts w:ascii="Lato" w:hAnsi="Lato"/>
          <w:i/>
          <w:sz w:val="20"/>
        </w:rPr>
      </w:pPr>
      <w:r w:rsidRPr="008444B2">
        <w:rPr>
          <w:rFonts w:ascii="Lato" w:hAnsi="Lato"/>
          <w:i/>
          <w:sz w:val="20"/>
        </w:rPr>
        <w:t>Źródło:</w:t>
      </w:r>
      <w:r>
        <w:rPr>
          <w:rFonts w:ascii="Lato" w:hAnsi="Lato"/>
          <w:i/>
          <w:sz w:val="20"/>
        </w:rPr>
        <w:t xml:space="preserve"> Urząd Gminy </w:t>
      </w:r>
      <w:r w:rsidR="00814421">
        <w:rPr>
          <w:rFonts w:ascii="Lato" w:hAnsi="Lato"/>
          <w:i/>
          <w:sz w:val="20"/>
        </w:rPr>
        <w:t xml:space="preserve">w </w:t>
      </w:r>
      <w:r>
        <w:rPr>
          <w:rFonts w:ascii="Lato" w:hAnsi="Lato"/>
          <w:i/>
          <w:sz w:val="20"/>
        </w:rPr>
        <w:t>Pabianic</w:t>
      </w:r>
      <w:r w:rsidR="00814421">
        <w:rPr>
          <w:rFonts w:ascii="Lato" w:hAnsi="Lato"/>
          <w:i/>
          <w:sz w:val="20"/>
        </w:rPr>
        <w:t>ach</w:t>
      </w:r>
    </w:p>
    <w:p w:rsidR="0048562C" w:rsidRPr="00D73558" w:rsidRDefault="0048562C" w:rsidP="00D73558">
      <w:pPr>
        <w:pStyle w:val="Tekstpodstawowy2"/>
        <w:spacing w:before="120" w:line="312" w:lineRule="auto"/>
        <w:ind w:firstLine="709"/>
        <w:jc w:val="center"/>
        <w:rPr>
          <w:rFonts w:ascii="Lato" w:hAnsi="Lato"/>
          <w:color w:val="000000"/>
        </w:rPr>
      </w:pPr>
    </w:p>
    <w:p w:rsidR="00F73385" w:rsidRPr="00D73558" w:rsidRDefault="00371BB5" w:rsidP="00AB431C">
      <w:pPr>
        <w:pStyle w:val="Nagwek4"/>
        <w:numPr>
          <w:ilvl w:val="3"/>
          <w:numId w:val="59"/>
        </w:numPr>
        <w:ind w:left="993" w:right="52" w:hanging="993"/>
        <w:jc w:val="both"/>
        <w:rPr>
          <w:rFonts w:ascii="Lato" w:hAnsi="Lato"/>
          <w:b w:val="0"/>
          <w:i w:val="0"/>
          <w:color w:val="365F91"/>
        </w:rPr>
      </w:pPr>
      <w:r w:rsidRPr="00D73558">
        <w:rPr>
          <w:rFonts w:ascii="Lato" w:hAnsi="Lato"/>
          <w:b w:val="0"/>
          <w:i w:val="0"/>
          <w:color w:val="365F91"/>
        </w:rPr>
        <w:t>Odbiorcy i zużycie energii elektryczne</w:t>
      </w:r>
      <w:r w:rsidR="00FA21CE" w:rsidRPr="00D73558">
        <w:rPr>
          <w:rFonts w:ascii="Lato" w:hAnsi="Lato"/>
          <w:b w:val="0"/>
          <w:i w:val="0"/>
          <w:color w:val="365F91"/>
        </w:rPr>
        <w:t>j</w:t>
      </w:r>
    </w:p>
    <w:p w:rsidR="00D415E9" w:rsidRDefault="00D415E9" w:rsidP="00617C1D">
      <w:pPr>
        <w:pStyle w:val="tabela"/>
        <w:widowControl/>
        <w:overflowPunct/>
        <w:autoSpaceDE/>
        <w:adjustRightInd/>
        <w:spacing w:before="0" w:line="312" w:lineRule="auto"/>
        <w:ind w:firstLine="709"/>
        <w:rPr>
          <w:rFonts w:ascii="Lato" w:hAnsi="Lato"/>
          <w:sz w:val="22"/>
          <w:szCs w:val="22"/>
        </w:rPr>
      </w:pPr>
      <w:r w:rsidRPr="00D73558">
        <w:rPr>
          <w:rFonts w:ascii="Lato" w:hAnsi="Lato"/>
          <w:sz w:val="22"/>
          <w:szCs w:val="22"/>
        </w:rPr>
        <w:t>W poni</w:t>
      </w:r>
      <w:r w:rsidR="00327293" w:rsidRPr="00D73558">
        <w:rPr>
          <w:rFonts w:ascii="Lato" w:hAnsi="Lato"/>
          <w:sz w:val="22"/>
          <w:szCs w:val="22"/>
        </w:rPr>
        <w:t xml:space="preserve">ższych </w:t>
      </w:r>
      <w:r w:rsidRPr="00D73558">
        <w:rPr>
          <w:rFonts w:ascii="Lato" w:hAnsi="Lato"/>
          <w:sz w:val="22"/>
          <w:szCs w:val="22"/>
        </w:rPr>
        <w:t xml:space="preserve">tabelach przedstawiono </w:t>
      </w:r>
      <w:r w:rsidR="002F491D">
        <w:rPr>
          <w:rFonts w:ascii="Lato" w:hAnsi="Lato"/>
          <w:sz w:val="22"/>
          <w:szCs w:val="22"/>
        </w:rPr>
        <w:t>wartości</w:t>
      </w:r>
      <w:r w:rsidR="00327293" w:rsidRPr="00D73558">
        <w:rPr>
          <w:rFonts w:ascii="Lato" w:hAnsi="Lato"/>
          <w:sz w:val="22"/>
          <w:szCs w:val="22"/>
        </w:rPr>
        <w:t xml:space="preserve"> </w:t>
      </w:r>
      <w:r w:rsidR="0052460F">
        <w:rPr>
          <w:rFonts w:ascii="Lato" w:hAnsi="Lato"/>
          <w:sz w:val="22"/>
          <w:szCs w:val="22"/>
        </w:rPr>
        <w:t xml:space="preserve">liczby odbiorców oraz </w:t>
      </w:r>
      <w:r w:rsidR="00327293" w:rsidRPr="00D73558">
        <w:rPr>
          <w:rFonts w:ascii="Lato" w:hAnsi="Lato"/>
          <w:sz w:val="22"/>
          <w:szCs w:val="22"/>
        </w:rPr>
        <w:t xml:space="preserve">zużycia energii elektrycznej w </w:t>
      </w:r>
      <w:r w:rsidR="002F491D">
        <w:rPr>
          <w:rFonts w:ascii="Lato" w:hAnsi="Lato"/>
          <w:sz w:val="22"/>
          <w:szCs w:val="22"/>
        </w:rPr>
        <w:t>roku 2018 oszacowane na podstawie danych GUS</w:t>
      </w:r>
      <w:r w:rsidRPr="00D73558">
        <w:rPr>
          <w:rFonts w:ascii="Lato" w:hAnsi="Lato"/>
          <w:sz w:val="22"/>
          <w:szCs w:val="22"/>
        </w:rPr>
        <w:t xml:space="preserve"> </w:t>
      </w:r>
      <w:r w:rsidR="002F491D">
        <w:rPr>
          <w:rFonts w:ascii="Lato" w:hAnsi="Lato"/>
          <w:sz w:val="22"/>
          <w:szCs w:val="22"/>
        </w:rPr>
        <w:t xml:space="preserve">oraz </w:t>
      </w:r>
      <w:r w:rsidR="0052460F">
        <w:rPr>
          <w:rFonts w:ascii="Lato" w:hAnsi="Lato"/>
          <w:sz w:val="22"/>
          <w:szCs w:val="22"/>
        </w:rPr>
        <w:t>PGE</w:t>
      </w:r>
      <w:r w:rsidRPr="00D73558">
        <w:rPr>
          <w:rFonts w:ascii="Lato" w:hAnsi="Lato"/>
          <w:sz w:val="22"/>
          <w:szCs w:val="22"/>
        </w:rPr>
        <w:t xml:space="preserve"> Dystrybucja S. A.</w:t>
      </w:r>
    </w:p>
    <w:p w:rsidR="00A17B5A" w:rsidRDefault="00A17B5A" w:rsidP="00617C1D">
      <w:pPr>
        <w:pStyle w:val="tabela"/>
        <w:widowControl/>
        <w:overflowPunct/>
        <w:autoSpaceDE/>
        <w:adjustRightInd/>
        <w:spacing w:before="0" w:line="312" w:lineRule="auto"/>
        <w:ind w:firstLine="709"/>
        <w:rPr>
          <w:rFonts w:ascii="Lato" w:hAnsi="Lato"/>
          <w:sz w:val="22"/>
          <w:szCs w:val="22"/>
        </w:rPr>
      </w:pPr>
    </w:p>
    <w:p w:rsidR="00A17B5A" w:rsidRPr="00A17B5A" w:rsidRDefault="00A17B5A" w:rsidP="00A17B5A">
      <w:pPr>
        <w:spacing w:before="120" w:after="120" w:line="240" w:lineRule="auto"/>
        <w:ind w:firstLine="0"/>
        <w:jc w:val="both"/>
        <w:rPr>
          <w:rFonts w:ascii="Lato" w:hAnsi="Lato"/>
          <w:color w:val="000000"/>
        </w:rPr>
      </w:pPr>
      <w:bookmarkStart w:id="142" w:name="_Toc20219175"/>
      <w:r w:rsidRPr="0044436A">
        <w:rPr>
          <w:rFonts w:ascii="Lato" w:hAnsi="Lato"/>
          <w:b/>
          <w:color w:val="1F497D"/>
          <w:sz w:val="20"/>
          <w:szCs w:val="20"/>
        </w:rPr>
        <w:t xml:space="preserve">Tabela </w:t>
      </w:r>
      <w:r w:rsidRPr="0044436A">
        <w:rPr>
          <w:rFonts w:ascii="Lato" w:hAnsi="Lato"/>
          <w:b/>
          <w:color w:val="1F497D"/>
          <w:sz w:val="20"/>
          <w:szCs w:val="20"/>
        </w:rPr>
        <w:fldChar w:fldCharType="begin"/>
      </w:r>
      <w:r w:rsidRPr="0044436A">
        <w:rPr>
          <w:rFonts w:ascii="Lato" w:hAnsi="Lato"/>
          <w:b/>
          <w:color w:val="1F497D"/>
          <w:sz w:val="20"/>
          <w:szCs w:val="20"/>
        </w:rPr>
        <w:instrText xml:space="preserve"> STYLEREF 1 \s </w:instrText>
      </w:r>
      <w:r w:rsidRPr="0044436A">
        <w:rPr>
          <w:rFonts w:ascii="Lato" w:hAnsi="Lato"/>
          <w:b/>
          <w:color w:val="1F497D"/>
          <w:sz w:val="20"/>
          <w:szCs w:val="20"/>
        </w:rPr>
        <w:fldChar w:fldCharType="separate"/>
      </w:r>
      <w:r w:rsidR="0040205B">
        <w:rPr>
          <w:rFonts w:ascii="Lato" w:hAnsi="Lato"/>
          <w:b/>
          <w:noProof/>
          <w:color w:val="1F497D"/>
          <w:sz w:val="20"/>
          <w:szCs w:val="20"/>
        </w:rPr>
        <w:t>2</w:t>
      </w:r>
      <w:r w:rsidRPr="0044436A">
        <w:rPr>
          <w:rFonts w:ascii="Lato" w:hAnsi="Lato"/>
          <w:b/>
          <w:color w:val="1F497D"/>
          <w:sz w:val="20"/>
          <w:szCs w:val="20"/>
        </w:rPr>
        <w:fldChar w:fldCharType="end"/>
      </w:r>
      <w:r w:rsidRPr="0044436A">
        <w:rPr>
          <w:rFonts w:ascii="Lato" w:hAnsi="Lato"/>
          <w:b/>
          <w:color w:val="1F497D"/>
          <w:sz w:val="20"/>
          <w:szCs w:val="20"/>
        </w:rPr>
        <w:noBreakHyphen/>
      </w:r>
      <w:r w:rsidRPr="0044436A">
        <w:rPr>
          <w:rFonts w:ascii="Lato" w:hAnsi="Lato"/>
          <w:b/>
          <w:color w:val="1F497D"/>
          <w:sz w:val="20"/>
          <w:szCs w:val="20"/>
        </w:rPr>
        <w:fldChar w:fldCharType="begin"/>
      </w:r>
      <w:r w:rsidRPr="0044436A">
        <w:rPr>
          <w:rFonts w:ascii="Lato" w:hAnsi="Lato"/>
          <w:b/>
          <w:color w:val="1F497D"/>
          <w:sz w:val="20"/>
          <w:szCs w:val="20"/>
        </w:rPr>
        <w:instrText xml:space="preserve"> SEQ Tabela \* ARABIC \s 1 </w:instrText>
      </w:r>
      <w:r w:rsidRPr="0044436A">
        <w:rPr>
          <w:rFonts w:ascii="Lato" w:hAnsi="Lato"/>
          <w:b/>
          <w:color w:val="1F497D"/>
          <w:sz w:val="20"/>
          <w:szCs w:val="20"/>
        </w:rPr>
        <w:fldChar w:fldCharType="separate"/>
      </w:r>
      <w:r w:rsidR="0040205B">
        <w:rPr>
          <w:rFonts w:ascii="Lato" w:hAnsi="Lato"/>
          <w:b/>
          <w:noProof/>
          <w:color w:val="1F497D"/>
          <w:sz w:val="20"/>
          <w:szCs w:val="20"/>
        </w:rPr>
        <w:t>9</w:t>
      </w:r>
      <w:r w:rsidRPr="0044436A">
        <w:rPr>
          <w:rFonts w:ascii="Lato" w:hAnsi="Lato"/>
          <w:b/>
          <w:color w:val="1F497D"/>
          <w:sz w:val="20"/>
          <w:szCs w:val="20"/>
        </w:rPr>
        <w:fldChar w:fldCharType="end"/>
      </w:r>
      <w:r w:rsidRPr="0044436A">
        <w:rPr>
          <w:rFonts w:ascii="Lato" w:hAnsi="Lato"/>
          <w:b/>
          <w:color w:val="1F497D"/>
          <w:sz w:val="20"/>
          <w:szCs w:val="20"/>
        </w:rPr>
        <w:t xml:space="preserve"> </w:t>
      </w:r>
      <w:r>
        <w:rPr>
          <w:rFonts w:ascii="Lato" w:hAnsi="Lato"/>
          <w:b/>
          <w:color w:val="1F497D"/>
          <w:sz w:val="20"/>
          <w:szCs w:val="20"/>
        </w:rPr>
        <w:t>Zużycie energii elektrycznej na terenie Gminy Pabianice w roku 2018</w:t>
      </w:r>
      <w:bookmarkEnd w:id="142"/>
    </w:p>
    <w:tbl>
      <w:tblPr>
        <w:tblW w:w="5000" w:type="pct"/>
        <w:jc w:val="center"/>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4A0" w:firstRow="1" w:lastRow="0" w:firstColumn="1" w:lastColumn="0" w:noHBand="0" w:noVBand="1"/>
      </w:tblPr>
      <w:tblGrid>
        <w:gridCol w:w="1062"/>
        <w:gridCol w:w="4211"/>
        <w:gridCol w:w="4280"/>
      </w:tblGrid>
      <w:tr w:rsidR="002F491D" w:rsidRPr="00A17B5A" w:rsidTr="00A17B5A">
        <w:trPr>
          <w:trHeight w:val="992"/>
          <w:jc w:val="center"/>
        </w:trPr>
        <w:tc>
          <w:tcPr>
            <w:tcW w:w="556" w:type="pct"/>
            <w:shd w:val="clear" w:color="auto" w:fill="DBE5F1"/>
            <w:vAlign w:val="center"/>
            <w:hideMark/>
          </w:tcPr>
          <w:p w:rsidR="002F491D" w:rsidRPr="00A17B5A" w:rsidRDefault="002F491D" w:rsidP="002F491D">
            <w:pPr>
              <w:spacing w:line="240" w:lineRule="auto"/>
              <w:ind w:firstLine="0"/>
              <w:jc w:val="center"/>
              <w:rPr>
                <w:rFonts w:ascii="Lato" w:hAnsi="Lato" w:cs="Tahoma"/>
                <w:b/>
                <w:bCs/>
                <w:color w:val="1F497D"/>
                <w:sz w:val="20"/>
                <w:szCs w:val="20"/>
              </w:rPr>
            </w:pPr>
            <w:r w:rsidRPr="00A17B5A">
              <w:rPr>
                <w:rFonts w:ascii="Lato" w:hAnsi="Lato" w:cs="Tahoma"/>
                <w:b/>
                <w:bCs/>
                <w:color w:val="1F497D"/>
                <w:sz w:val="20"/>
                <w:szCs w:val="20"/>
              </w:rPr>
              <w:t>Lp.</w:t>
            </w:r>
          </w:p>
        </w:tc>
        <w:tc>
          <w:tcPr>
            <w:tcW w:w="2204" w:type="pct"/>
            <w:shd w:val="clear" w:color="auto" w:fill="DBE5F1"/>
            <w:noWrap/>
            <w:vAlign w:val="center"/>
          </w:tcPr>
          <w:p w:rsidR="002F491D" w:rsidRPr="00A17B5A" w:rsidRDefault="002F491D" w:rsidP="002F491D">
            <w:pPr>
              <w:spacing w:line="240" w:lineRule="auto"/>
              <w:ind w:firstLine="0"/>
              <w:jc w:val="center"/>
              <w:rPr>
                <w:rFonts w:ascii="Lato" w:hAnsi="Lato" w:cs="Tahoma"/>
                <w:b/>
                <w:bCs/>
                <w:color w:val="1F497D"/>
                <w:sz w:val="20"/>
                <w:szCs w:val="20"/>
              </w:rPr>
            </w:pPr>
            <w:r w:rsidRPr="00A17B5A">
              <w:rPr>
                <w:rFonts w:ascii="Lato" w:hAnsi="Lato" w:cs="Tahoma"/>
                <w:b/>
                <w:bCs/>
                <w:color w:val="1F497D"/>
                <w:sz w:val="20"/>
                <w:szCs w:val="20"/>
              </w:rPr>
              <w:t>Grupa odbiorców</w:t>
            </w:r>
          </w:p>
        </w:tc>
        <w:tc>
          <w:tcPr>
            <w:tcW w:w="2240" w:type="pct"/>
            <w:shd w:val="clear" w:color="auto" w:fill="DBE5F1"/>
            <w:noWrap/>
            <w:vAlign w:val="center"/>
          </w:tcPr>
          <w:p w:rsidR="002F491D" w:rsidRPr="00A17B5A" w:rsidRDefault="002F491D" w:rsidP="002F491D">
            <w:pPr>
              <w:spacing w:line="240" w:lineRule="auto"/>
              <w:ind w:firstLine="0"/>
              <w:jc w:val="center"/>
              <w:rPr>
                <w:rFonts w:ascii="Lato" w:hAnsi="Lato" w:cs="Tahoma"/>
                <w:b/>
                <w:bCs/>
                <w:color w:val="1F497D"/>
                <w:sz w:val="20"/>
                <w:szCs w:val="20"/>
              </w:rPr>
            </w:pPr>
            <w:r w:rsidRPr="00A17B5A">
              <w:rPr>
                <w:rFonts w:ascii="Lato" w:hAnsi="Lato" w:cs="Tahoma"/>
                <w:b/>
                <w:bCs/>
                <w:color w:val="1F497D"/>
                <w:sz w:val="20"/>
                <w:szCs w:val="20"/>
              </w:rPr>
              <w:t>MWh</w:t>
            </w:r>
          </w:p>
        </w:tc>
      </w:tr>
      <w:tr w:rsidR="002F491D" w:rsidRPr="00A17B5A" w:rsidTr="00A17B5A">
        <w:trPr>
          <w:trHeight w:val="315"/>
          <w:jc w:val="center"/>
        </w:trPr>
        <w:tc>
          <w:tcPr>
            <w:tcW w:w="556" w:type="pct"/>
            <w:vAlign w:val="center"/>
            <w:hideMark/>
          </w:tcPr>
          <w:p w:rsidR="002F491D" w:rsidRPr="00A17B5A" w:rsidRDefault="002F491D" w:rsidP="002F491D">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1</w:t>
            </w:r>
          </w:p>
        </w:tc>
        <w:tc>
          <w:tcPr>
            <w:tcW w:w="2204" w:type="pct"/>
            <w:noWrap/>
            <w:vAlign w:val="center"/>
          </w:tcPr>
          <w:p w:rsidR="002F491D" w:rsidRPr="00A17B5A" w:rsidRDefault="00A17B5A" w:rsidP="002F491D">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Handel usługi przedsiębiorstwa</w:t>
            </w:r>
          </w:p>
        </w:tc>
        <w:tc>
          <w:tcPr>
            <w:tcW w:w="2240" w:type="pct"/>
            <w:noWrap/>
            <w:vAlign w:val="center"/>
          </w:tcPr>
          <w:p w:rsidR="002F491D" w:rsidRPr="00A17B5A" w:rsidRDefault="00A17B5A" w:rsidP="002F491D">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3 650</w:t>
            </w:r>
          </w:p>
        </w:tc>
      </w:tr>
      <w:tr w:rsidR="002F491D" w:rsidRPr="00A17B5A" w:rsidTr="00A17B5A">
        <w:trPr>
          <w:trHeight w:val="315"/>
          <w:jc w:val="center"/>
        </w:trPr>
        <w:tc>
          <w:tcPr>
            <w:tcW w:w="556" w:type="pct"/>
            <w:vAlign w:val="center"/>
          </w:tcPr>
          <w:p w:rsidR="002F491D" w:rsidRPr="00A17B5A" w:rsidRDefault="002F491D" w:rsidP="002F491D">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2</w:t>
            </w:r>
          </w:p>
        </w:tc>
        <w:tc>
          <w:tcPr>
            <w:tcW w:w="2204" w:type="pct"/>
            <w:noWrap/>
            <w:vAlign w:val="center"/>
          </w:tcPr>
          <w:p w:rsidR="002F491D" w:rsidRPr="00A17B5A" w:rsidRDefault="00A17B5A" w:rsidP="00A17B5A">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Użyteczność publiczna</w:t>
            </w:r>
          </w:p>
        </w:tc>
        <w:tc>
          <w:tcPr>
            <w:tcW w:w="2240" w:type="pct"/>
            <w:noWrap/>
            <w:vAlign w:val="center"/>
          </w:tcPr>
          <w:p w:rsidR="002F491D" w:rsidRPr="00A17B5A" w:rsidRDefault="00A17B5A" w:rsidP="002F491D">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730</w:t>
            </w:r>
          </w:p>
        </w:tc>
      </w:tr>
      <w:tr w:rsidR="002F491D" w:rsidRPr="00A17B5A" w:rsidTr="00A17B5A">
        <w:trPr>
          <w:trHeight w:val="315"/>
          <w:jc w:val="center"/>
        </w:trPr>
        <w:tc>
          <w:tcPr>
            <w:tcW w:w="556" w:type="pct"/>
            <w:vAlign w:val="center"/>
          </w:tcPr>
          <w:p w:rsidR="002F491D" w:rsidRPr="00A17B5A" w:rsidRDefault="002F491D" w:rsidP="002F491D">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3</w:t>
            </w:r>
          </w:p>
        </w:tc>
        <w:tc>
          <w:tcPr>
            <w:tcW w:w="2204" w:type="pct"/>
            <w:noWrap/>
            <w:vAlign w:val="center"/>
          </w:tcPr>
          <w:p w:rsidR="002F491D" w:rsidRPr="00A17B5A" w:rsidRDefault="00A17B5A" w:rsidP="002F491D">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Oświetlenie uliczne</w:t>
            </w:r>
          </w:p>
        </w:tc>
        <w:tc>
          <w:tcPr>
            <w:tcW w:w="2240" w:type="pct"/>
            <w:noWrap/>
            <w:vAlign w:val="center"/>
          </w:tcPr>
          <w:p w:rsidR="002F491D" w:rsidRPr="00A17B5A" w:rsidRDefault="00A17B5A" w:rsidP="002F491D">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387</w:t>
            </w:r>
          </w:p>
        </w:tc>
      </w:tr>
      <w:tr w:rsidR="00A17B5A" w:rsidRPr="00A17B5A" w:rsidTr="00A17B5A">
        <w:trPr>
          <w:trHeight w:val="315"/>
          <w:jc w:val="center"/>
        </w:trPr>
        <w:tc>
          <w:tcPr>
            <w:tcW w:w="556" w:type="pct"/>
            <w:vAlign w:val="center"/>
          </w:tcPr>
          <w:p w:rsidR="00A17B5A" w:rsidRPr="00A17B5A" w:rsidRDefault="00A17B5A" w:rsidP="002F491D">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4</w:t>
            </w:r>
          </w:p>
        </w:tc>
        <w:tc>
          <w:tcPr>
            <w:tcW w:w="2204" w:type="pct"/>
            <w:noWrap/>
            <w:vAlign w:val="center"/>
          </w:tcPr>
          <w:p w:rsidR="00A17B5A" w:rsidRPr="00A17B5A" w:rsidRDefault="00A17B5A" w:rsidP="002F491D">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Mieszkalnictwo</w:t>
            </w:r>
          </w:p>
        </w:tc>
        <w:tc>
          <w:tcPr>
            <w:tcW w:w="2240" w:type="pct"/>
            <w:noWrap/>
            <w:vAlign w:val="center"/>
          </w:tcPr>
          <w:p w:rsidR="00A17B5A" w:rsidRPr="00A17B5A" w:rsidRDefault="00A17B5A" w:rsidP="002F491D">
            <w:pPr>
              <w:spacing w:line="240" w:lineRule="auto"/>
              <w:ind w:firstLine="0"/>
              <w:jc w:val="center"/>
              <w:rPr>
                <w:rFonts w:ascii="Lato" w:hAnsi="Lato" w:cs="Tahoma"/>
                <w:color w:val="1F497D"/>
                <w:sz w:val="20"/>
                <w:szCs w:val="20"/>
              </w:rPr>
            </w:pPr>
            <w:r w:rsidRPr="00A17B5A">
              <w:rPr>
                <w:rFonts w:ascii="Lato" w:hAnsi="Lato" w:cs="Tahoma"/>
                <w:color w:val="1F497D"/>
                <w:sz w:val="20"/>
                <w:szCs w:val="20"/>
              </w:rPr>
              <w:t>6 434</w:t>
            </w:r>
          </w:p>
        </w:tc>
      </w:tr>
      <w:tr w:rsidR="002F491D" w:rsidRPr="00A17B5A" w:rsidTr="00A17B5A">
        <w:trPr>
          <w:trHeight w:val="315"/>
          <w:jc w:val="center"/>
        </w:trPr>
        <w:tc>
          <w:tcPr>
            <w:tcW w:w="2760" w:type="pct"/>
            <w:gridSpan w:val="2"/>
            <w:vAlign w:val="center"/>
          </w:tcPr>
          <w:p w:rsidR="002F491D" w:rsidRPr="00A17B5A" w:rsidRDefault="002F491D" w:rsidP="002F491D">
            <w:pPr>
              <w:spacing w:line="240" w:lineRule="auto"/>
              <w:ind w:firstLine="0"/>
              <w:jc w:val="center"/>
              <w:rPr>
                <w:rFonts w:ascii="Lato" w:hAnsi="Lato" w:cs="Tahoma"/>
                <w:b/>
                <w:color w:val="1F497D"/>
                <w:sz w:val="20"/>
                <w:szCs w:val="20"/>
              </w:rPr>
            </w:pPr>
            <w:r w:rsidRPr="00A17B5A">
              <w:rPr>
                <w:rFonts w:ascii="Lato" w:hAnsi="Lato" w:cs="Tahoma"/>
                <w:b/>
                <w:color w:val="1F497D"/>
                <w:sz w:val="20"/>
                <w:szCs w:val="20"/>
              </w:rPr>
              <w:t>Łącznie</w:t>
            </w:r>
          </w:p>
        </w:tc>
        <w:tc>
          <w:tcPr>
            <w:tcW w:w="2240" w:type="pct"/>
            <w:noWrap/>
            <w:vAlign w:val="center"/>
          </w:tcPr>
          <w:p w:rsidR="002F491D" w:rsidRPr="00A17B5A" w:rsidRDefault="00A17B5A" w:rsidP="002F491D">
            <w:pPr>
              <w:spacing w:line="240" w:lineRule="auto"/>
              <w:ind w:firstLine="0"/>
              <w:jc w:val="center"/>
              <w:rPr>
                <w:rFonts w:ascii="Lato" w:hAnsi="Lato" w:cs="Tahoma"/>
                <w:b/>
                <w:color w:val="1F497D"/>
                <w:sz w:val="20"/>
                <w:szCs w:val="20"/>
              </w:rPr>
            </w:pPr>
            <w:r w:rsidRPr="00A17B5A">
              <w:rPr>
                <w:rFonts w:ascii="Lato" w:hAnsi="Lato" w:cs="Tahoma"/>
                <w:b/>
                <w:color w:val="1F497D"/>
                <w:sz w:val="20"/>
                <w:szCs w:val="20"/>
              </w:rPr>
              <w:t>11 201</w:t>
            </w:r>
          </w:p>
        </w:tc>
      </w:tr>
    </w:tbl>
    <w:p w:rsidR="00402E0C" w:rsidRDefault="00402E0C" w:rsidP="00402E0C">
      <w:pPr>
        <w:pStyle w:val="Tekstpodstawowy2"/>
        <w:spacing w:before="120" w:after="0" w:line="312" w:lineRule="auto"/>
        <w:ind w:firstLine="709"/>
        <w:jc w:val="center"/>
        <w:rPr>
          <w:rFonts w:ascii="Lato" w:hAnsi="Lato"/>
          <w:i/>
          <w:sz w:val="20"/>
        </w:rPr>
      </w:pPr>
      <w:r w:rsidRPr="008444B2">
        <w:rPr>
          <w:rFonts w:ascii="Lato" w:hAnsi="Lato"/>
          <w:i/>
          <w:sz w:val="20"/>
        </w:rPr>
        <w:t>Źródło:</w:t>
      </w:r>
      <w:r>
        <w:rPr>
          <w:rFonts w:ascii="Lato" w:hAnsi="Lato"/>
          <w:i/>
          <w:sz w:val="20"/>
        </w:rPr>
        <w:t xml:space="preserve"> Analizy własne</w:t>
      </w:r>
    </w:p>
    <w:p w:rsidR="00371BB5" w:rsidRPr="00052C99" w:rsidRDefault="00371BB5" w:rsidP="00AB431C">
      <w:pPr>
        <w:pStyle w:val="Nagwek4"/>
        <w:numPr>
          <w:ilvl w:val="3"/>
          <w:numId w:val="59"/>
        </w:numPr>
        <w:ind w:left="993" w:right="52" w:hanging="993"/>
        <w:jc w:val="both"/>
        <w:rPr>
          <w:rFonts w:ascii="Lato" w:hAnsi="Lato"/>
          <w:b w:val="0"/>
          <w:i w:val="0"/>
          <w:color w:val="365F91"/>
        </w:rPr>
      </w:pPr>
      <w:r w:rsidRPr="00052C99">
        <w:rPr>
          <w:rFonts w:ascii="Lato" w:hAnsi="Lato"/>
          <w:b w:val="0"/>
          <w:i w:val="0"/>
          <w:color w:val="365F91"/>
        </w:rPr>
        <w:t xml:space="preserve">Plany rozwojowe systemu elektroenergetycznego na terenie </w:t>
      </w:r>
      <w:r w:rsidR="00160EFA" w:rsidRPr="00052C99">
        <w:rPr>
          <w:rFonts w:ascii="Lato" w:hAnsi="Lato"/>
          <w:b w:val="0"/>
          <w:i w:val="0"/>
          <w:color w:val="365F91"/>
        </w:rPr>
        <w:t>gminy</w:t>
      </w:r>
    </w:p>
    <w:p w:rsidR="00D02370" w:rsidRPr="00D02370" w:rsidRDefault="00D02370" w:rsidP="00D02370">
      <w:pPr>
        <w:pStyle w:val="tabela"/>
        <w:spacing w:before="0" w:line="312" w:lineRule="auto"/>
        <w:ind w:firstLine="709"/>
        <w:rPr>
          <w:rFonts w:ascii="Lato" w:hAnsi="Lato"/>
          <w:sz w:val="22"/>
          <w:szCs w:val="22"/>
        </w:rPr>
      </w:pPr>
      <w:r w:rsidRPr="00052C99">
        <w:rPr>
          <w:rFonts w:ascii="Lato" w:hAnsi="Lato"/>
          <w:sz w:val="22"/>
          <w:szCs w:val="22"/>
        </w:rPr>
        <w:t>Na terenie</w:t>
      </w:r>
      <w:r w:rsidRPr="00D02370">
        <w:rPr>
          <w:rFonts w:ascii="Lato" w:hAnsi="Lato"/>
          <w:sz w:val="22"/>
          <w:szCs w:val="22"/>
        </w:rPr>
        <w:t xml:space="preserve"> </w:t>
      </w:r>
      <w:r w:rsidR="003402A7">
        <w:rPr>
          <w:rFonts w:ascii="Lato" w:hAnsi="Lato"/>
          <w:sz w:val="22"/>
          <w:szCs w:val="22"/>
        </w:rPr>
        <w:t xml:space="preserve">gminy przedsiębiorstwo </w:t>
      </w:r>
      <w:r w:rsidRPr="00D02370">
        <w:rPr>
          <w:rFonts w:ascii="Lato" w:hAnsi="Lato"/>
          <w:sz w:val="22"/>
          <w:szCs w:val="22"/>
        </w:rPr>
        <w:t>PGE Dystrybucja S.A. w latach 2019 - 2023 będzie realizowa</w:t>
      </w:r>
      <w:r w:rsidR="003402A7">
        <w:rPr>
          <w:rFonts w:ascii="Lato" w:hAnsi="Lato"/>
          <w:sz w:val="22"/>
          <w:szCs w:val="22"/>
        </w:rPr>
        <w:t>ło</w:t>
      </w:r>
      <w:r w:rsidRPr="00D02370">
        <w:rPr>
          <w:rFonts w:ascii="Lato" w:hAnsi="Lato"/>
          <w:sz w:val="22"/>
          <w:szCs w:val="22"/>
        </w:rPr>
        <w:t xml:space="preserve"> Program zwiększenia udziału linii kablowych SN do 30%. Częściową przebudową linii napowietrznych na kablowe zostanie objęta także Gmina Pabianice. W Gminie będzie kontynuowany proces wymiany linii napowietrznych średnieg</w:t>
      </w:r>
      <w:r w:rsidR="00D03562">
        <w:rPr>
          <w:rFonts w:ascii="Lato" w:hAnsi="Lato"/>
          <w:sz w:val="22"/>
          <w:szCs w:val="22"/>
        </w:rPr>
        <w:t>o i niskiego napięcia gołych na </w:t>
      </w:r>
      <w:r w:rsidRPr="00D02370">
        <w:rPr>
          <w:rFonts w:ascii="Lato" w:hAnsi="Lato"/>
          <w:sz w:val="22"/>
          <w:szCs w:val="22"/>
        </w:rPr>
        <w:t>izolowane. Wpłynie to istotnie na pewność zasilania odbiorców oraz zmniejszenie awaryjności</w:t>
      </w:r>
      <w:r>
        <w:rPr>
          <w:rFonts w:ascii="Lato" w:hAnsi="Lato"/>
          <w:sz w:val="22"/>
          <w:szCs w:val="22"/>
        </w:rPr>
        <w:t xml:space="preserve"> sieci i czasu trwania przerw w</w:t>
      </w:r>
      <w:r w:rsidR="000F2422">
        <w:rPr>
          <w:rFonts w:ascii="Lato" w:hAnsi="Lato"/>
          <w:sz w:val="22"/>
          <w:szCs w:val="22"/>
        </w:rPr>
        <w:t xml:space="preserve"> </w:t>
      </w:r>
      <w:r w:rsidRPr="00D02370">
        <w:rPr>
          <w:rFonts w:ascii="Lato" w:hAnsi="Lato"/>
          <w:sz w:val="22"/>
          <w:szCs w:val="22"/>
        </w:rPr>
        <w:t>dostawie energii elektrycznej.</w:t>
      </w:r>
    </w:p>
    <w:p w:rsidR="00D02370" w:rsidRPr="00D02370" w:rsidRDefault="00D02370" w:rsidP="00D02370">
      <w:pPr>
        <w:pStyle w:val="tabela"/>
        <w:spacing w:before="0" w:line="312" w:lineRule="auto"/>
        <w:ind w:firstLine="709"/>
        <w:rPr>
          <w:rFonts w:ascii="Lato" w:hAnsi="Lato"/>
          <w:sz w:val="22"/>
          <w:szCs w:val="22"/>
        </w:rPr>
      </w:pPr>
      <w:r w:rsidRPr="00D02370">
        <w:rPr>
          <w:rFonts w:ascii="Lato" w:hAnsi="Lato"/>
          <w:sz w:val="22"/>
          <w:szCs w:val="22"/>
        </w:rPr>
        <w:t>W latach 2023 - 2024 planowana jest przebudowa dwutorowych linii napowietrznych</w:t>
      </w:r>
      <w:r>
        <w:rPr>
          <w:rFonts w:ascii="Lato" w:hAnsi="Lato"/>
          <w:sz w:val="22"/>
          <w:szCs w:val="22"/>
        </w:rPr>
        <w:t xml:space="preserve"> 110 </w:t>
      </w:r>
      <w:r w:rsidRPr="00D02370">
        <w:rPr>
          <w:rFonts w:ascii="Lato" w:hAnsi="Lato"/>
          <w:sz w:val="22"/>
          <w:szCs w:val="22"/>
        </w:rPr>
        <w:t xml:space="preserve">kV relacji GPZ Pabianice </w:t>
      </w:r>
      <w:r w:rsidR="000F2422">
        <w:rPr>
          <w:rFonts w:ascii="Lato" w:hAnsi="Lato"/>
          <w:sz w:val="22"/>
          <w:szCs w:val="22"/>
        </w:rPr>
        <w:t>–</w:t>
      </w:r>
      <w:r w:rsidRPr="00D02370">
        <w:rPr>
          <w:rFonts w:ascii="Lato" w:hAnsi="Lato"/>
          <w:sz w:val="22"/>
          <w:szCs w:val="22"/>
        </w:rPr>
        <w:t xml:space="preserve"> GPZ Janów na odcinku o dł</w:t>
      </w:r>
      <w:r w:rsidR="00D03562">
        <w:rPr>
          <w:rFonts w:ascii="Lato" w:hAnsi="Lato"/>
          <w:sz w:val="22"/>
          <w:szCs w:val="22"/>
        </w:rPr>
        <w:t>ugości ok. 17 km, polegająca na </w:t>
      </w:r>
      <w:r w:rsidRPr="00D02370">
        <w:rPr>
          <w:rFonts w:ascii="Lato" w:hAnsi="Lato"/>
          <w:sz w:val="22"/>
          <w:szCs w:val="22"/>
        </w:rPr>
        <w:t>zwiększeni u przekroju linii z 180 mm</w:t>
      </w:r>
      <w:r w:rsidRPr="00283868">
        <w:rPr>
          <w:rFonts w:ascii="Lato" w:hAnsi="Lato"/>
          <w:sz w:val="22"/>
          <w:szCs w:val="22"/>
          <w:vertAlign w:val="superscript"/>
        </w:rPr>
        <w:t>2</w:t>
      </w:r>
      <w:r w:rsidRPr="00D02370">
        <w:rPr>
          <w:rFonts w:ascii="Lato" w:hAnsi="Lato"/>
          <w:sz w:val="22"/>
          <w:szCs w:val="22"/>
        </w:rPr>
        <w:t xml:space="preserve"> na 300 mm</w:t>
      </w:r>
      <w:r w:rsidRPr="00283868">
        <w:rPr>
          <w:rFonts w:ascii="Lato" w:hAnsi="Lato"/>
          <w:sz w:val="22"/>
          <w:szCs w:val="22"/>
          <w:vertAlign w:val="superscript"/>
        </w:rPr>
        <w:t>2</w:t>
      </w:r>
      <w:r w:rsidRPr="00D02370">
        <w:rPr>
          <w:rFonts w:ascii="Lato" w:hAnsi="Lato"/>
          <w:sz w:val="22"/>
          <w:szCs w:val="22"/>
        </w:rPr>
        <w:t>, celem zwiększenia ich przepustowości.</w:t>
      </w:r>
    </w:p>
    <w:p w:rsidR="003667EC" w:rsidRDefault="00D02370" w:rsidP="00D02370">
      <w:pPr>
        <w:pStyle w:val="tabela"/>
        <w:widowControl/>
        <w:overflowPunct/>
        <w:autoSpaceDE/>
        <w:adjustRightInd/>
        <w:spacing w:before="0" w:line="312" w:lineRule="auto"/>
        <w:ind w:firstLine="709"/>
        <w:rPr>
          <w:rFonts w:ascii="Lato" w:hAnsi="Lato"/>
          <w:sz w:val="22"/>
          <w:szCs w:val="22"/>
          <w:highlight w:val="yellow"/>
        </w:rPr>
      </w:pPr>
      <w:r w:rsidRPr="00D02370">
        <w:rPr>
          <w:rFonts w:ascii="Lato" w:hAnsi="Lato"/>
          <w:sz w:val="22"/>
          <w:szCs w:val="22"/>
        </w:rPr>
        <w:lastRenderedPageBreak/>
        <w:t>W aktualnie obowiązującym Planie Rozwoju przewidziano środki finansowe na rozbudowę sieci średnich i niskich napięć celem umożliwienia sukcesywnego przyłączania nowych klientów.</w:t>
      </w:r>
    </w:p>
    <w:p w:rsidR="00AC5E9B" w:rsidRDefault="00AC5E9B" w:rsidP="00AC5E9B">
      <w:pPr>
        <w:pStyle w:val="tabela"/>
        <w:ind w:firstLine="709"/>
        <w:rPr>
          <w:rFonts w:ascii="Lato" w:hAnsi="Lato"/>
          <w:sz w:val="22"/>
          <w:szCs w:val="22"/>
          <w:highlight w:val="yellow"/>
        </w:rPr>
      </w:pPr>
      <w:r>
        <w:rPr>
          <w:rFonts w:ascii="Lato" w:hAnsi="Lato"/>
          <w:sz w:val="22"/>
          <w:szCs w:val="22"/>
        </w:rPr>
        <w:t>Zgodnie z in</w:t>
      </w:r>
      <w:r w:rsidRPr="009730D2">
        <w:rPr>
          <w:rFonts w:ascii="Lato" w:hAnsi="Lato"/>
          <w:sz w:val="22"/>
          <w:szCs w:val="22"/>
        </w:rPr>
        <w:t xml:space="preserve">formacjami przekazanymi przez przedsiębiorstwo w planach inwestycyjnych PSE S.A. do roku 2023 zakładana jest modernizacja linii 220 kV Rogowiec-Pabianice (lokalizacja istniejących linii 220 kV przedstawiona jest na mapie w załączniku nr </w:t>
      </w:r>
      <w:r w:rsidR="009D303A" w:rsidRPr="009730D2">
        <w:rPr>
          <w:rFonts w:ascii="Lato" w:hAnsi="Lato"/>
          <w:sz w:val="22"/>
          <w:szCs w:val="22"/>
        </w:rPr>
        <w:t>5</w:t>
      </w:r>
      <w:r w:rsidRPr="009730D2">
        <w:rPr>
          <w:rFonts w:ascii="Lato" w:hAnsi="Lato"/>
          <w:sz w:val="22"/>
          <w:szCs w:val="22"/>
        </w:rPr>
        <w:t xml:space="preserve"> kolorem zielonym). Ponadto na terenie gminy Pabianice planowana jest inwestycja pn. "Budowa linii 400</w:t>
      </w:r>
      <w:r w:rsidRPr="00AC5E9B">
        <w:rPr>
          <w:rFonts w:ascii="Lato" w:hAnsi="Lato"/>
          <w:sz w:val="22"/>
          <w:szCs w:val="22"/>
        </w:rPr>
        <w:t xml:space="preserve"> kV relacji Rogowiec - Pabianice Bis - Pątnów" . Inwestycja ujęta jest w Koncepcji Przestrzennego Zagospodarowania Kraju do roku 2030</w:t>
      </w:r>
      <w:r>
        <w:rPr>
          <w:rFonts w:ascii="Lato" w:hAnsi="Lato"/>
          <w:sz w:val="22"/>
          <w:szCs w:val="22"/>
        </w:rPr>
        <w:t>,</w:t>
      </w:r>
      <w:r w:rsidRPr="00AC5E9B">
        <w:rPr>
          <w:rFonts w:ascii="Lato" w:hAnsi="Lato"/>
          <w:sz w:val="22"/>
          <w:szCs w:val="22"/>
        </w:rPr>
        <w:t xml:space="preserve"> a także obowiązującym Planie Zagospodarowania Województwa Łódzkiego, przyjętym uchwałą Nr LV/679/1 8 </w:t>
      </w:r>
      <w:r>
        <w:rPr>
          <w:rFonts w:ascii="Lato" w:hAnsi="Lato"/>
          <w:sz w:val="22"/>
          <w:szCs w:val="22"/>
        </w:rPr>
        <w:t>Sejmiku Województwa Łódzkiego z </w:t>
      </w:r>
      <w:r w:rsidRPr="00AC5E9B">
        <w:rPr>
          <w:rFonts w:ascii="Lato" w:hAnsi="Lato"/>
          <w:sz w:val="22"/>
          <w:szCs w:val="22"/>
        </w:rPr>
        <w:t xml:space="preserve">dnia 28 sierpnia 2018 r. w sprawie uchwalenia „Planu zagospodarowania przestrzennego województwa łódzkiego oraz planu zagospodarowania przestrzennego miejskiego obszaru funkcjonalnego Łodzi". </w:t>
      </w:r>
    </w:p>
    <w:p w:rsidR="006B024A" w:rsidRPr="00B650F6" w:rsidRDefault="006B024A" w:rsidP="00907272">
      <w:pPr>
        <w:pStyle w:val="Nagwek2"/>
        <w:rPr>
          <w:rFonts w:ascii="Lato" w:hAnsi="Lato" w:cs="Times New Roman"/>
        </w:rPr>
      </w:pPr>
      <w:bookmarkStart w:id="143" w:name="_Toc413090688"/>
      <w:bookmarkStart w:id="144" w:name="_Toc336419312"/>
      <w:bookmarkStart w:id="145" w:name="_Toc336943566"/>
      <w:bookmarkStart w:id="146" w:name="_Toc20218512"/>
      <w:bookmarkEnd w:id="143"/>
      <w:r w:rsidRPr="00B650F6">
        <w:rPr>
          <w:rFonts w:ascii="Lato" w:hAnsi="Lato" w:cs="Times New Roman"/>
        </w:rPr>
        <w:t xml:space="preserve">Stan środowiska na obszarze </w:t>
      </w:r>
      <w:bookmarkEnd w:id="144"/>
      <w:bookmarkEnd w:id="145"/>
      <w:r w:rsidR="00160EFA" w:rsidRPr="00B650F6">
        <w:rPr>
          <w:rFonts w:ascii="Lato" w:hAnsi="Lato" w:cs="Times New Roman"/>
        </w:rPr>
        <w:t>gminy</w:t>
      </w:r>
      <w:bookmarkEnd w:id="146"/>
    </w:p>
    <w:p w:rsidR="003A4B72" w:rsidRPr="00E76D01" w:rsidRDefault="003A4B72" w:rsidP="00617C1D">
      <w:pPr>
        <w:pStyle w:val="StylTekstpodstawowyArial11pt"/>
        <w:ind w:firstLine="709"/>
        <w:rPr>
          <w:rFonts w:ascii="Lato" w:hAnsi="Lato"/>
        </w:rPr>
      </w:pPr>
      <w:bookmarkStart w:id="147" w:name="_Toc207772895"/>
      <w:bookmarkStart w:id="148" w:name="_Toc268522657"/>
      <w:bookmarkStart w:id="149" w:name="_Toc138649322"/>
      <w:bookmarkStart w:id="150" w:name="_Toc140645046"/>
      <w:bookmarkStart w:id="151" w:name="_Toc147632825"/>
      <w:r w:rsidRPr="00E76D01">
        <w:rPr>
          <w:rFonts w:ascii="Lato" w:hAnsi="Lato"/>
        </w:rPr>
        <w:t xml:space="preserve">System zaopatrzenia w ciepło na terenie Gminy </w:t>
      </w:r>
      <w:r w:rsidR="00B650F6" w:rsidRPr="00E76D01">
        <w:rPr>
          <w:rFonts w:ascii="Lato" w:hAnsi="Lato"/>
        </w:rPr>
        <w:t>Pabianice</w:t>
      </w:r>
      <w:r w:rsidRPr="00E76D01">
        <w:rPr>
          <w:rFonts w:ascii="Lato" w:hAnsi="Lato"/>
        </w:rPr>
        <w:t xml:space="preserve"> oparty jest zasadniczo o spalanie paliw stałych (głównie węgla kamiennego). W dużej części budynków w gminie ogrzewanie odbywa się poprzez spalanie paliw stałych, głównie węgla kamiennego.</w:t>
      </w:r>
    </w:p>
    <w:p w:rsidR="00230823" w:rsidRPr="00387E9F" w:rsidRDefault="003A4B72" w:rsidP="00617C1D">
      <w:pPr>
        <w:pStyle w:val="StylTekstpodstawowyArial11pt"/>
        <w:rPr>
          <w:rFonts w:ascii="Lato" w:hAnsi="Lato"/>
        </w:rPr>
      </w:pPr>
      <w:r w:rsidRPr="00387E9F">
        <w:rPr>
          <w:rFonts w:ascii="Lato" w:hAnsi="Lato"/>
        </w:rPr>
        <w:t>Negatywne oddziaływanie na środowisko ma również spalanie paliw w silnikach spalinowych napędzających pojazdy mechaniczne. W niniejszym rozdziale p</w:t>
      </w:r>
      <w:r w:rsidR="00D03562">
        <w:rPr>
          <w:rFonts w:ascii="Lato" w:hAnsi="Lato"/>
        </w:rPr>
        <w:t>rzedstawiono stan środowiska na </w:t>
      </w:r>
      <w:r w:rsidRPr="00387E9F">
        <w:rPr>
          <w:rFonts w:ascii="Lato" w:hAnsi="Lato"/>
        </w:rPr>
        <w:t xml:space="preserve">terenie Gminy </w:t>
      </w:r>
      <w:r w:rsidR="00387E9F" w:rsidRPr="00387E9F">
        <w:rPr>
          <w:rFonts w:ascii="Lato" w:hAnsi="Lato"/>
        </w:rPr>
        <w:t>Pabianice</w:t>
      </w:r>
      <w:r w:rsidRPr="00387E9F">
        <w:rPr>
          <w:rFonts w:ascii="Lato" w:hAnsi="Lato"/>
        </w:rPr>
        <w:t>.</w:t>
      </w:r>
    </w:p>
    <w:p w:rsidR="003667EC" w:rsidRPr="00D352C4" w:rsidRDefault="003667EC" w:rsidP="00617C1D">
      <w:pPr>
        <w:pStyle w:val="StylTekstpodstawowyArial11pt"/>
        <w:rPr>
          <w:rFonts w:ascii="Lato" w:hAnsi="Lato"/>
          <w:highlight w:val="yellow"/>
        </w:rPr>
      </w:pPr>
    </w:p>
    <w:p w:rsidR="00230823" w:rsidRPr="00B650F6" w:rsidRDefault="00230823" w:rsidP="00AB431C">
      <w:pPr>
        <w:pStyle w:val="Akapitzlist"/>
        <w:keepNext/>
        <w:numPr>
          <w:ilvl w:val="2"/>
          <w:numId w:val="38"/>
        </w:numPr>
        <w:tabs>
          <w:tab w:val="left" w:pos="709"/>
        </w:tabs>
        <w:spacing w:before="180" w:after="180" w:line="288" w:lineRule="auto"/>
        <w:ind w:left="709" w:hanging="709"/>
        <w:jc w:val="both"/>
        <w:outlineLvl w:val="2"/>
        <w:rPr>
          <w:rFonts w:ascii="Lato" w:hAnsi="Lato"/>
          <w:bCs/>
          <w:color w:val="365F91"/>
          <w:lang w:eastAsia="en-US"/>
        </w:rPr>
      </w:pPr>
      <w:bookmarkStart w:id="152" w:name="_Toc392150299"/>
      <w:bookmarkStart w:id="153" w:name="_Toc20218513"/>
      <w:r w:rsidRPr="00B650F6">
        <w:rPr>
          <w:rFonts w:ascii="Lato" w:hAnsi="Lato"/>
          <w:bCs/>
          <w:color w:val="365F91"/>
          <w:lang w:eastAsia="en-US"/>
        </w:rPr>
        <w:t>Charakterystyka głównych zanieczyszczeń atmosferycznych</w:t>
      </w:r>
      <w:bookmarkEnd w:id="152"/>
      <w:bookmarkEnd w:id="153"/>
    </w:p>
    <w:p w:rsidR="003A4B72" w:rsidRPr="00B650F6" w:rsidRDefault="003A4B72" w:rsidP="00617C1D">
      <w:pPr>
        <w:widowControl w:val="0"/>
        <w:ind w:firstLine="709"/>
        <w:jc w:val="both"/>
        <w:rPr>
          <w:rFonts w:ascii="Lato" w:hAnsi="Lato"/>
        </w:rPr>
      </w:pPr>
      <w:r w:rsidRPr="00B650F6">
        <w:rPr>
          <w:rFonts w:ascii="Lato" w:hAnsi="Lato"/>
        </w:rPr>
        <w:t>Emisja zanieczyszczeń składa się głównie z dwóch grup: zanieczyszczenia lotne stałe (pyłowe) i zanieczyszczenia gazowe (organiczne i nieorganiczne). Do zanieczyszczeń pyłowych należą np. popiół lotny, sadza, związki ołowiu, miedzi, chromu, kadmu i innych metali ciężkich.</w:t>
      </w:r>
    </w:p>
    <w:p w:rsidR="003A4B72" w:rsidRPr="00B650F6" w:rsidRDefault="003A4B72" w:rsidP="00617C1D">
      <w:pPr>
        <w:widowControl w:val="0"/>
        <w:ind w:firstLine="709"/>
        <w:jc w:val="both"/>
        <w:rPr>
          <w:rFonts w:ascii="Lato" w:hAnsi="Lato"/>
        </w:rPr>
      </w:pPr>
      <w:r w:rsidRPr="00B650F6">
        <w:rPr>
          <w:rFonts w:ascii="Lato" w:hAnsi="Lato"/>
        </w:rPr>
        <w:t>Zanieczyszczenia gazowe są to tlenki węgla (CO i CO</w:t>
      </w:r>
      <w:r w:rsidRPr="00B650F6">
        <w:rPr>
          <w:rFonts w:ascii="Lato" w:hAnsi="Lato"/>
          <w:vertAlign w:val="subscript"/>
        </w:rPr>
        <w:t>2</w:t>
      </w:r>
      <w:r w:rsidRPr="00B650F6">
        <w:rPr>
          <w:rFonts w:ascii="Lato" w:hAnsi="Lato"/>
        </w:rPr>
        <w:t>), siarki (SO</w:t>
      </w:r>
      <w:r w:rsidRPr="00B650F6">
        <w:rPr>
          <w:rFonts w:ascii="Lato" w:hAnsi="Lato"/>
          <w:vertAlign w:val="subscript"/>
        </w:rPr>
        <w:t>2</w:t>
      </w:r>
      <w:r w:rsidRPr="00B650F6">
        <w:rPr>
          <w:rFonts w:ascii="Lato" w:hAnsi="Lato"/>
        </w:rPr>
        <w:t>) i azotu (NO</w:t>
      </w:r>
      <w:r w:rsidR="003667EC" w:rsidRPr="00B650F6">
        <w:rPr>
          <w:rFonts w:ascii="Lato" w:hAnsi="Lato"/>
          <w:vertAlign w:val="subscript"/>
        </w:rPr>
        <w:t>X</w:t>
      </w:r>
      <w:r w:rsidRPr="00B650F6">
        <w:rPr>
          <w:rFonts w:ascii="Lato" w:hAnsi="Lato"/>
        </w:rPr>
        <w:t>), amoniak (NH</w:t>
      </w:r>
      <w:r w:rsidRPr="00B650F6">
        <w:rPr>
          <w:rFonts w:ascii="Lato" w:hAnsi="Lato"/>
          <w:vertAlign w:val="subscript"/>
        </w:rPr>
        <w:t>3</w:t>
      </w:r>
      <w:r w:rsidRPr="00B650F6">
        <w:rPr>
          <w:rFonts w:ascii="Lato" w:hAnsi="Lato"/>
        </w:rPr>
        <w:t xml:space="preserve">) fluor, węglowodory (łańcuchowe i aromatyczne) oraz fenole.  </w:t>
      </w:r>
    </w:p>
    <w:p w:rsidR="003A4B72" w:rsidRPr="00B650F6" w:rsidRDefault="003A4B72" w:rsidP="00617C1D">
      <w:pPr>
        <w:widowControl w:val="0"/>
        <w:ind w:firstLine="709"/>
        <w:jc w:val="both"/>
        <w:rPr>
          <w:rFonts w:ascii="Lato" w:hAnsi="Lato"/>
        </w:rPr>
      </w:pPr>
      <w:r w:rsidRPr="00B650F6">
        <w:rPr>
          <w:rFonts w:ascii="Lato" w:hAnsi="Lato"/>
        </w:rPr>
        <w:t>Do zanieczyszczeń energetycznych należą: dwutlenek węgla – CO</w:t>
      </w:r>
      <w:r w:rsidRPr="00B650F6">
        <w:rPr>
          <w:rFonts w:ascii="Lato" w:hAnsi="Lato"/>
          <w:vertAlign w:val="subscript"/>
        </w:rPr>
        <w:t>2</w:t>
      </w:r>
      <w:r w:rsidRPr="00B650F6">
        <w:rPr>
          <w:rFonts w:ascii="Lato" w:hAnsi="Lato"/>
        </w:rPr>
        <w:t>, tlenek węgla - CO, dwutlenek siarki – SO</w:t>
      </w:r>
      <w:r w:rsidRPr="00B650F6">
        <w:rPr>
          <w:rFonts w:ascii="Lato" w:hAnsi="Lato"/>
          <w:vertAlign w:val="subscript"/>
        </w:rPr>
        <w:t>2</w:t>
      </w:r>
      <w:r w:rsidRPr="00B650F6">
        <w:rPr>
          <w:rFonts w:ascii="Lato" w:hAnsi="Lato"/>
        </w:rPr>
        <w:t>, tlenki azotu - NO</w:t>
      </w:r>
      <w:r w:rsidRPr="00B650F6">
        <w:rPr>
          <w:rFonts w:ascii="Lato" w:hAnsi="Lato"/>
          <w:vertAlign w:val="subscript"/>
        </w:rPr>
        <w:t>X</w:t>
      </w:r>
      <w:r w:rsidRPr="00B650F6">
        <w:rPr>
          <w:rFonts w:ascii="Lato" w:hAnsi="Lato"/>
        </w:rPr>
        <w:t xml:space="preserve">, pyły oraz benzo(a)piren. </w:t>
      </w:r>
    </w:p>
    <w:p w:rsidR="003A4B72" w:rsidRPr="00B650F6" w:rsidRDefault="003A4B72" w:rsidP="00617C1D">
      <w:pPr>
        <w:widowControl w:val="0"/>
        <w:ind w:firstLine="709"/>
        <w:jc w:val="both"/>
        <w:rPr>
          <w:rFonts w:ascii="Lato" w:hAnsi="Lato"/>
        </w:rPr>
      </w:pPr>
      <w:r w:rsidRPr="00B650F6">
        <w:rPr>
          <w:rFonts w:ascii="Lato" w:hAnsi="Lato"/>
        </w:rPr>
        <w:t>W trakcie prowadzenia różnego rodzaju procesów technologicznych dodatkowo, poza wyżej wymienionymi, do atmosfery emitowane mogą być zanieczyszczenia w postaci różnego rodzaju związków organicznych, a wśród nich silnie toksyczne węglowodory aromatyczne.</w:t>
      </w:r>
    </w:p>
    <w:p w:rsidR="003A4B72" w:rsidRPr="00B650F6" w:rsidRDefault="003A4B72" w:rsidP="00617C1D">
      <w:pPr>
        <w:widowControl w:val="0"/>
        <w:ind w:firstLine="709"/>
        <w:jc w:val="both"/>
        <w:rPr>
          <w:rFonts w:ascii="Lato" w:hAnsi="Lato"/>
        </w:rPr>
      </w:pPr>
      <w:r w:rsidRPr="00B650F6">
        <w:rPr>
          <w:rFonts w:ascii="Lato" w:hAnsi="Lato"/>
        </w:rPr>
        <w:t>Natomiast głównymi związkami wpływającymi na powst</w:t>
      </w:r>
      <w:r w:rsidR="00D03562">
        <w:rPr>
          <w:rFonts w:ascii="Lato" w:hAnsi="Lato"/>
        </w:rPr>
        <w:t>awanie efektu cieplarnianego są </w:t>
      </w:r>
      <w:r w:rsidRPr="00B650F6">
        <w:rPr>
          <w:rFonts w:ascii="Lato" w:hAnsi="Lato"/>
        </w:rPr>
        <w:t>dwutlenek węgla odpowiadający w około 55% za efekt cieplarniany oraz w 20% metan – CH</w:t>
      </w:r>
      <w:r w:rsidRPr="00C2097B">
        <w:rPr>
          <w:rFonts w:ascii="Lato" w:hAnsi="Lato"/>
          <w:vertAlign w:val="subscript"/>
        </w:rPr>
        <w:t>4</w:t>
      </w:r>
      <w:r w:rsidRPr="00B650F6">
        <w:rPr>
          <w:rFonts w:ascii="Lato" w:hAnsi="Lato"/>
        </w:rPr>
        <w:t>. Dwutlenek siarki i tlenki azotu niezależnie od szkodliwości związanej z bezpośrednim oddziaływaniem na organizmy żywe są równocześnie źródłem kwaśnych deszczy.</w:t>
      </w:r>
    </w:p>
    <w:p w:rsidR="003A4B72" w:rsidRPr="00B650F6" w:rsidRDefault="003A4B72" w:rsidP="00617C1D">
      <w:pPr>
        <w:widowControl w:val="0"/>
        <w:ind w:firstLine="709"/>
        <w:jc w:val="both"/>
        <w:rPr>
          <w:rFonts w:ascii="Lato" w:hAnsi="Lato"/>
        </w:rPr>
      </w:pPr>
      <w:r w:rsidRPr="00B650F6">
        <w:rPr>
          <w:rFonts w:ascii="Lato" w:hAnsi="Lato"/>
        </w:rPr>
        <w:t>Zanieczyszczeniami widocznymi, uciążliwymi i odcz</w:t>
      </w:r>
      <w:r w:rsidR="00B650F6" w:rsidRPr="00B650F6">
        <w:rPr>
          <w:rFonts w:ascii="Lato" w:hAnsi="Lato"/>
        </w:rPr>
        <w:t>uwalnymi bezpośrednio są pyły w </w:t>
      </w:r>
      <w:r w:rsidRPr="00B650F6">
        <w:rPr>
          <w:rFonts w:ascii="Lato" w:hAnsi="Lato"/>
        </w:rPr>
        <w:t>szerokim spektrum frakcji.</w:t>
      </w:r>
    </w:p>
    <w:p w:rsidR="003A4B72" w:rsidRPr="00B650F6" w:rsidRDefault="003A4B72" w:rsidP="00617C1D">
      <w:pPr>
        <w:widowControl w:val="0"/>
        <w:ind w:firstLine="709"/>
        <w:jc w:val="both"/>
        <w:rPr>
          <w:rFonts w:ascii="Lato" w:hAnsi="Lato"/>
        </w:rPr>
      </w:pPr>
      <w:r w:rsidRPr="00B650F6">
        <w:rPr>
          <w:rFonts w:ascii="Lato" w:hAnsi="Lato"/>
        </w:rPr>
        <w:lastRenderedPageBreak/>
        <w:t>Najbardziej toksycznymi związkami są węglowodory aromatyczne (WWA), posiadające właściwości kancerogenne. Najsilniejsze działanie rakotwórcze wykazują WWA mające więcej niż trzy pierścienie benzenowe w cząsteczce. Najbardziej znanym wśród nich jest benzo(a)piren, którego emisja związana jest również z procesem spalania węgla zwłaszcza w niskosprawnych paleniskach indywidualnych.</w:t>
      </w:r>
    </w:p>
    <w:p w:rsidR="003A4B72" w:rsidRPr="00B650F6" w:rsidRDefault="003A4B72" w:rsidP="00617C1D">
      <w:pPr>
        <w:widowControl w:val="0"/>
        <w:ind w:firstLine="709"/>
        <w:jc w:val="both"/>
        <w:rPr>
          <w:rFonts w:ascii="Lato" w:hAnsi="Lato"/>
        </w:rPr>
      </w:pPr>
      <w:r w:rsidRPr="00B650F6">
        <w:rPr>
          <w:rFonts w:ascii="Lato" w:hAnsi="Lato"/>
        </w:rPr>
        <w:t>Żadne ze wspomnianych zanieczyszczeń nie występuje pojedynczo</w:t>
      </w:r>
      <w:r w:rsidR="006673D1" w:rsidRPr="00B650F6">
        <w:rPr>
          <w:rFonts w:ascii="Lato" w:hAnsi="Lato"/>
        </w:rPr>
        <w:t>, niejednokrotnie ulegają one w</w:t>
      </w:r>
      <w:r w:rsidR="000F2422">
        <w:rPr>
          <w:rFonts w:ascii="Lato" w:hAnsi="Lato"/>
        </w:rPr>
        <w:t xml:space="preserve"> </w:t>
      </w:r>
      <w:r w:rsidRPr="00B650F6">
        <w:rPr>
          <w:rFonts w:ascii="Lato" w:hAnsi="Lato"/>
        </w:rPr>
        <w:t xml:space="preserve">powietrzu dalszym przemianom. W działaniu </w:t>
      </w:r>
      <w:r w:rsidR="00D03562">
        <w:rPr>
          <w:rFonts w:ascii="Lato" w:hAnsi="Lato"/>
        </w:rPr>
        <w:t>na organizmy żywe obserwuje się </w:t>
      </w:r>
      <w:r w:rsidRPr="00B650F6">
        <w:rPr>
          <w:rFonts w:ascii="Lato" w:hAnsi="Lato"/>
        </w:rPr>
        <w:t>występowanie zjawiska synergizmu, tj. działania skojarzonego, wywołującego efekt większy ni</w:t>
      </w:r>
      <w:r w:rsidR="006673D1" w:rsidRPr="00B650F6">
        <w:rPr>
          <w:rFonts w:ascii="Lato" w:hAnsi="Lato"/>
        </w:rPr>
        <w:t>ż ten, który powinien wynikać z </w:t>
      </w:r>
      <w:r w:rsidRPr="00B650F6">
        <w:rPr>
          <w:rFonts w:ascii="Lato" w:hAnsi="Lato"/>
        </w:rPr>
        <w:t>sumy efektów poszczególnych składników.</w:t>
      </w:r>
    </w:p>
    <w:p w:rsidR="003A4B72" w:rsidRPr="00B650F6" w:rsidRDefault="003A4B72" w:rsidP="00617C1D">
      <w:pPr>
        <w:widowControl w:val="0"/>
        <w:ind w:firstLine="709"/>
        <w:jc w:val="both"/>
        <w:rPr>
          <w:rFonts w:ascii="Lato" w:hAnsi="Lato"/>
        </w:rPr>
      </w:pPr>
      <w:r w:rsidRPr="00B650F6">
        <w:rPr>
          <w:rFonts w:ascii="Lato" w:hAnsi="Lato"/>
        </w:rPr>
        <w:t xml:space="preserve">Na stopień oddziaływania mają również wpływ warunki klimatyczne takie jak: temperatura, nasłonecznienie, wilgotność powietrza oraz kierunek i prędkość wiatru. </w:t>
      </w:r>
    </w:p>
    <w:p w:rsidR="00230823" w:rsidRPr="00B650F6" w:rsidRDefault="003A4B72" w:rsidP="00617C1D">
      <w:pPr>
        <w:widowControl w:val="0"/>
        <w:ind w:firstLine="709"/>
        <w:jc w:val="both"/>
        <w:rPr>
          <w:rFonts w:ascii="Lato" w:hAnsi="Lato"/>
        </w:rPr>
      </w:pPr>
      <w:r w:rsidRPr="00B650F6">
        <w:rPr>
          <w:rFonts w:ascii="Lato" w:hAnsi="Lato"/>
        </w:rPr>
        <w:t>Wielkości dopuszczalnych poziomów stężeń niektórych s</w:t>
      </w:r>
      <w:r w:rsidR="00B650F6" w:rsidRPr="00B650F6">
        <w:rPr>
          <w:rFonts w:ascii="Lato" w:hAnsi="Lato"/>
        </w:rPr>
        <w:t>ubstancji zanieczyszczających w </w:t>
      </w:r>
      <w:r w:rsidRPr="00B650F6">
        <w:rPr>
          <w:rFonts w:ascii="Lato" w:hAnsi="Lato"/>
        </w:rPr>
        <w:t xml:space="preserve">powietrzu określone są w Rozporządzeniu Ministra Środowiska z </w:t>
      </w:r>
      <w:r w:rsidR="00B650F6" w:rsidRPr="00B650F6">
        <w:rPr>
          <w:rFonts w:ascii="Lato" w:hAnsi="Lato"/>
        </w:rPr>
        <w:t>dnia 24 sierpnia 2012r. (Dz. U. </w:t>
      </w:r>
      <w:r w:rsidRPr="00B650F6">
        <w:rPr>
          <w:rFonts w:ascii="Lato" w:hAnsi="Lato"/>
        </w:rPr>
        <w:t>poz. 1031). Dopuszczalne stężenia zanieczyszczeń oraz dopuszczalna częstość przekraczania dopuszczalnego stężenia w roku kalendarzowym, zgodnie z obowiązującym rozporządzeniem, zestawiono w poniższej tabeli.</w:t>
      </w:r>
    </w:p>
    <w:p w:rsidR="003667EC" w:rsidRPr="00B650F6" w:rsidRDefault="003667EC" w:rsidP="003A4B72">
      <w:pPr>
        <w:widowControl w:val="0"/>
        <w:jc w:val="both"/>
        <w:rPr>
          <w:rFonts w:ascii="Lato" w:hAnsi="Lato"/>
        </w:rPr>
      </w:pPr>
    </w:p>
    <w:p w:rsidR="00230823" w:rsidRPr="00B650F6" w:rsidRDefault="00230823" w:rsidP="00301FA4">
      <w:pPr>
        <w:pStyle w:val="Legenda"/>
        <w:rPr>
          <w:rFonts w:ascii="Lato" w:hAnsi="Lato"/>
          <w:color w:val="1F497D"/>
          <w:sz w:val="20"/>
          <w:szCs w:val="20"/>
        </w:rPr>
      </w:pPr>
      <w:bookmarkStart w:id="154" w:name="_Toc336419471"/>
      <w:bookmarkStart w:id="155" w:name="_Toc336943638"/>
      <w:bookmarkStart w:id="156" w:name="_Toc341695833"/>
      <w:bookmarkStart w:id="157" w:name="_Toc20219176"/>
      <w:r w:rsidRPr="00B650F6">
        <w:rPr>
          <w:rFonts w:ascii="Lato" w:hAnsi="Lato"/>
          <w:color w:val="1F497D"/>
          <w:sz w:val="20"/>
          <w:szCs w:val="20"/>
        </w:rPr>
        <w:t xml:space="preserve">Tabela </w:t>
      </w:r>
      <w:r w:rsidR="004042AE" w:rsidRPr="00B650F6">
        <w:rPr>
          <w:rFonts w:ascii="Lato" w:hAnsi="Lato"/>
          <w:color w:val="1F497D"/>
          <w:sz w:val="20"/>
          <w:szCs w:val="20"/>
        </w:rPr>
        <w:fldChar w:fldCharType="begin"/>
      </w:r>
      <w:r w:rsidR="005430ED" w:rsidRPr="00B650F6">
        <w:rPr>
          <w:rFonts w:ascii="Lato" w:hAnsi="Lato"/>
          <w:color w:val="1F497D"/>
          <w:sz w:val="20"/>
          <w:szCs w:val="20"/>
        </w:rPr>
        <w:instrText xml:space="preserve"> STYLEREF 1 \s </w:instrText>
      </w:r>
      <w:r w:rsidR="004042AE" w:rsidRPr="00B650F6">
        <w:rPr>
          <w:rFonts w:ascii="Lato" w:hAnsi="Lato"/>
          <w:color w:val="1F497D"/>
          <w:sz w:val="20"/>
          <w:szCs w:val="20"/>
        </w:rPr>
        <w:fldChar w:fldCharType="separate"/>
      </w:r>
      <w:r w:rsidR="0040205B">
        <w:rPr>
          <w:rFonts w:ascii="Lato" w:hAnsi="Lato"/>
          <w:noProof/>
          <w:color w:val="1F497D"/>
          <w:sz w:val="20"/>
          <w:szCs w:val="20"/>
        </w:rPr>
        <w:t>2</w:t>
      </w:r>
      <w:r w:rsidR="004042AE" w:rsidRPr="00B650F6">
        <w:rPr>
          <w:rFonts w:ascii="Lato" w:hAnsi="Lato"/>
          <w:color w:val="1F497D"/>
          <w:sz w:val="20"/>
          <w:szCs w:val="20"/>
        </w:rPr>
        <w:fldChar w:fldCharType="end"/>
      </w:r>
      <w:r w:rsidR="005430ED" w:rsidRPr="00B650F6">
        <w:rPr>
          <w:rFonts w:ascii="Lato" w:hAnsi="Lato"/>
          <w:color w:val="1F497D"/>
          <w:sz w:val="20"/>
          <w:szCs w:val="20"/>
        </w:rPr>
        <w:noBreakHyphen/>
      </w:r>
      <w:r w:rsidR="004042AE" w:rsidRPr="00B650F6">
        <w:rPr>
          <w:rFonts w:ascii="Lato" w:hAnsi="Lato"/>
          <w:color w:val="1F497D"/>
          <w:sz w:val="20"/>
          <w:szCs w:val="20"/>
        </w:rPr>
        <w:fldChar w:fldCharType="begin"/>
      </w:r>
      <w:r w:rsidR="005430ED" w:rsidRPr="00B650F6">
        <w:rPr>
          <w:rFonts w:ascii="Lato" w:hAnsi="Lato"/>
          <w:color w:val="1F497D"/>
          <w:sz w:val="20"/>
          <w:szCs w:val="20"/>
        </w:rPr>
        <w:instrText xml:space="preserve"> SEQ Tabela \* ARABIC \s 1 </w:instrText>
      </w:r>
      <w:r w:rsidR="004042AE" w:rsidRPr="00B650F6">
        <w:rPr>
          <w:rFonts w:ascii="Lato" w:hAnsi="Lato"/>
          <w:color w:val="1F497D"/>
          <w:sz w:val="20"/>
          <w:szCs w:val="20"/>
        </w:rPr>
        <w:fldChar w:fldCharType="separate"/>
      </w:r>
      <w:r w:rsidR="0040205B">
        <w:rPr>
          <w:rFonts w:ascii="Lato" w:hAnsi="Lato"/>
          <w:noProof/>
          <w:color w:val="1F497D"/>
          <w:sz w:val="20"/>
          <w:szCs w:val="20"/>
        </w:rPr>
        <w:t>10</w:t>
      </w:r>
      <w:r w:rsidR="004042AE" w:rsidRPr="00B650F6">
        <w:rPr>
          <w:rFonts w:ascii="Lato" w:hAnsi="Lato"/>
          <w:color w:val="1F497D"/>
          <w:sz w:val="20"/>
          <w:szCs w:val="20"/>
        </w:rPr>
        <w:fldChar w:fldCharType="end"/>
      </w:r>
      <w:bookmarkEnd w:id="154"/>
      <w:bookmarkEnd w:id="155"/>
      <w:bookmarkEnd w:id="156"/>
      <w:r w:rsidR="008A5685" w:rsidRPr="00B650F6">
        <w:rPr>
          <w:rFonts w:ascii="Lato" w:hAnsi="Lato"/>
          <w:color w:val="1F497D"/>
          <w:sz w:val="20"/>
          <w:szCs w:val="20"/>
        </w:rPr>
        <w:t xml:space="preserve"> </w:t>
      </w:r>
      <w:r w:rsidRPr="00B650F6">
        <w:rPr>
          <w:rFonts w:ascii="Lato" w:hAnsi="Lato"/>
          <w:color w:val="1F497D"/>
          <w:sz w:val="20"/>
          <w:szCs w:val="20"/>
        </w:rPr>
        <w:t>Dopuszczalne normy w zakresie jakości powietrza – kryterium ochrony zdrowia</w:t>
      </w:r>
      <w:bookmarkEnd w:id="157"/>
    </w:p>
    <w:tbl>
      <w:tblPr>
        <w:tblW w:w="5000" w:type="pct"/>
        <w:jc w:val="center"/>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000" w:firstRow="0" w:lastRow="0" w:firstColumn="0" w:lastColumn="0" w:noHBand="0" w:noVBand="0"/>
      </w:tblPr>
      <w:tblGrid>
        <w:gridCol w:w="1797"/>
        <w:gridCol w:w="2068"/>
        <w:gridCol w:w="2190"/>
        <w:gridCol w:w="2319"/>
        <w:gridCol w:w="1179"/>
      </w:tblGrid>
      <w:tr w:rsidR="00F422C9" w:rsidRPr="00B650F6" w:rsidTr="00344F67">
        <w:trPr>
          <w:jc w:val="center"/>
        </w:trPr>
        <w:tc>
          <w:tcPr>
            <w:tcW w:w="940"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Substancja</w:t>
            </w:r>
          </w:p>
        </w:tc>
        <w:tc>
          <w:tcPr>
            <w:tcW w:w="1082"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Okres uśredniania wyników pomiarów</w:t>
            </w:r>
          </w:p>
        </w:tc>
        <w:tc>
          <w:tcPr>
            <w:tcW w:w="1146" w:type="pct"/>
            <w:shd w:val="clear" w:color="auto" w:fill="DBE5F1"/>
            <w:vAlign w:val="center"/>
          </w:tcPr>
          <w:p w:rsidR="00F422C9" w:rsidRPr="00B650F6" w:rsidRDefault="00F422C9" w:rsidP="00A0007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Dopuszczalny poziom substancji w powietrzu</w:t>
            </w:r>
            <w:r w:rsidR="00A00079" w:rsidRPr="00B650F6">
              <w:rPr>
                <w:rFonts w:ascii="Lato" w:hAnsi="Lato"/>
                <w:bCs/>
                <w:color w:val="17365D"/>
                <w:sz w:val="18"/>
                <w:szCs w:val="18"/>
              </w:rPr>
              <w:t xml:space="preserve">, </w:t>
            </w:r>
            <w:r w:rsidRPr="00B650F6">
              <w:rPr>
                <w:rFonts w:ascii="Lato" w:hAnsi="Lato"/>
                <w:bCs/>
                <w:color w:val="17365D"/>
                <w:sz w:val="18"/>
                <w:szCs w:val="18"/>
              </w:rPr>
              <w:t>µg/m</w:t>
            </w:r>
            <w:r w:rsidRPr="00B650F6">
              <w:rPr>
                <w:rFonts w:ascii="Lato" w:hAnsi="Lato"/>
                <w:bCs/>
                <w:color w:val="17365D"/>
                <w:sz w:val="18"/>
                <w:szCs w:val="18"/>
                <w:vertAlign w:val="superscript"/>
              </w:rPr>
              <w:t>3</w:t>
            </w:r>
          </w:p>
        </w:tc>
        <w:tc>
          <w:tcPr>
            <w:tcW w:w="1214"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Dopuszczalna częstość przekraczania dopuszczalnego poziomu w roku kalendarzowym</w:t>
            </w:r>
          </w:p>
        </w:tc>
        <w:tc>
          <w:tcPr>
            <w:tcW w:w="617"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Termin osiągnięcia</w:t>
            </w:r>
          </w:p>
        </w:tc>
      </w:tr>
      <w:tr w:rsidR="00F422C9" w:rsidRPr="00B650F6" w:rsidTr="00344F67">
        <w:trPr>
          <w:jc w:val="center"/>
        </w:trPr>
        <w:tc>
          <w:tcPr>
            <w:tcW w:w="940"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Benzen</w:t>
            </w: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rok kalendarzowy</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5</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2010</w:t>
            </w:r>
          </w:p>
        </w:tc>
      </w:tr>
      <w:tr w:rsidR="00F422C9" w:rsidRPr="00B650F6" w:rsidTr="00344F67">
        <w:trPr>
          <w:jc w:val="center"/>
        </w:trPr>
        <w:tc>
          <w:tcPr>
            <w:tcW w:w="940" w:type="pct"/>
            <w:vMerge w:val="restar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Dwutlenek azotu</w:t>
            </w: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jedna godzina</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200</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18 razy</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2010</w:t>
            </w:r>
          </w:p>
        </w:tc>
      </w:tr>
      <w:tr w:rsidR="00F422C9" w:rsidRPr="00B650F6" w:rsidTr="00344F67">
        <w:trPr>
          <w:jc w:val="center"/>
        </w:trPr>
        <w:tc>
          <w:tcPr>
            <w:tcW w:w="940" w:type="pct"/>
            <w:vMerge/>
            <w:vAlign w:val="center"/>
          </w:tcPr>
          <w:p w:rsidR="00F422C9" w:rsidRPr="00B650F6" w:rsidRDefault="00F422C9" w:rsidP="00F422C9">
            <w:pPr>
              <w:spacing w:before="40" w:after="40" w:line="240" w:lineRule="auto"/>
              <w:ind w:firstLine="0"/>
              <w:rPr>
                <w:rFonts w:ascii="Lato" w:hAnsi="Lato"/>
                <w:color w:val="17365D"/>
                <w:sz w:val="18"/>
                <w:szCs w:val="18"/>
              </w:rPr>
            </w:pP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rok kalendarzowy</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40</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2010</w:t>
            </w:r>
          </w:p>
        </w:tc>
      </w:tr>
      <w:tr w:rsidR="00F422C9" w:rsidRPr="00B650F6" w:rsidTr="00344F67">
        <w:trPr>
          <w:jc w:val="center"/>
        </w:trPr>
        <w:tc>
          <w:tcPr>
            <w:tcW w:w="940" w:type="pct"/>
            <w:vMerge w:val="restar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Dwutlenek siarki</w:t>
            </w: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jedna godzina</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350</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24 razy</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2005</w:t>
            </w:r>
          </w:p>
        </w:tc>
      </w:tr>
      <w:tr w:rsidR="00F422C9" w:rsidRPr="00B650F6" w:rsidTr="00344F67">
        <w:trPr>
          <w:jc w:val="center"/>
        </w:trPr>
        <w:tc>
          <w:tcPr>
            <w:tcW w:w="940" w:type="pct"/>
            <w:vMerge/>
            <w:vAlign w:val="center"/>
          </w:tcPr>
          <w:p w:rsidR="00F422C9" w:rsidRPr="00B650F6" w:rsidRDefault="00F422C9" w:rsidP="00F422C9">
            <w:pPr>
              <w:spacing w:before="40" w:after="40" w:line="240" w:lineRule="auto"/>
              <w:ind w:firstLine="0"/>
              <w:rPr>
                <w:rFonts w:ascii="Lato" w:hAnsi="Lato"/>
                <w:color w:val="17365D"/>
                <w:sz w:val="18"/>
                <w:szCs w:val="18"/>
              </w:rPr>
            </w:pP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24 godziny</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125</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3 razy</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2005</w:t>
            </w:r>
          </w:p>
        </w:tc>
      </w:tr>
      <w:tr w:rsidR="00F422C9" w:rsidRPr="00B650F6" w:rsidTr="00344F67">
        <w:trPr>
          <w:jc w:val="center"/>
        </w:trPr>
        <w:tc>
          <w:tcPr>
            <w:tcW w:w="940"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Ołów</w:t>
            </w: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rok kalendarzowy</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0,5</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2005</w:t>
            </w:r>
          </w:p>
        </w:tc>
      </w:tr>
      <w:tr w:rsidR="00F422C9" w:rsidRPr="00B650F6" w:rsidTr="00344F67">
        <w:trPr>
          <w:jc w:val="center"/>
        </w:trPr>
        <w:tc>
          <w:tcPr>
            <w:tcW w:w="940"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Ozon</w:t>
            </w: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8 godzin</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120</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25 dni</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2020</w:t>
            </w:r>
          </w:p>
        </w:tc>
      </w:tr>
      <w:tr w:rsidR="00F422C9" w:rsidRPr="00B650F6" w:rsidTr="00344F67">
        <w:trPr>
          <w:jc w:val="center"/>
        </w:trPr>
        <w:tc>
          <w:tcPr>
            <w:tcW w:w="940" w:type="pct"/>
            <w:vMerge w:val="restar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Pył zawieszony PM2.5</w:t>
            </w:r>
          </w:p>
        </w:tc>
        <w:tc>
          <w:tcPr>
            <w:tcW w:w="1082" w:type="pct"/>
            <w:vMerge w:val="restar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rok kalendarzowy</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25</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35 razy</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2015</w:t>
            </w:r>
          </w:p>
        </w:tc>
      </w:tr>
      <w:tr w:rsidR="00F422C9" w:rsidRPr="00B650F6" w:rsidTr="00344F67">
        <w:trPr>
          <w:jc w:val="center"/>
        </w:trPr>
        <w:tc>
          <w:tcPr>
            <w:tcW w:w="940" w:type="pct"/>
            <w:vMerge/>
            <w:vAlign w:val="center"/>
          </w:tcPr>
          <w:p w:rsidR="00F422C9" w:rsidRPr="00B650F6" w:rsidRDefault="00F422C9" w:rsidP="00F422C9">
            <w:pPr>
              <w:spacing w:before="40" w:after="40" w:line="240" w:lineRule="auto"/>
              <w:ind w:firstLine="0"/>
              <w:rPr>
                <w:rFonts w:ascii="Lato" w:hAnsi="Lato"/>
                <w:color w:val="17365D"/>
                <w:sz w:val="18"/>
                <w:szCs w:val="18"/>
              </w:rPr>
            </w:pPr>
          </w:p>
        </w:tc>
        <w:tc>
          <w:tcPr>
            <w:tcW w:w="1082" w:type="pct"/>
            <w:vMerge/>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2020</w:t>
            </w:r>
          </w:p>
        </w:tc>
      </w:tr>
      <w:tr w:rsidR="00F422C9" w:rsidRPr="00B650F6" w:rsidTr="00344F67">
        <w:trPr>
          <w:jc w:val="center"/>
        </w:trPr>
        <w:tc>
          <w:tcPr>
            <w:tcW w:w="940" w:type="pct"/>
            <w:vMerge w:val="restar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Pył zawieszony PM10</w:t>
            </w: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24 godziny</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50</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35 razy</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2005</w:t>
            </w:r>
          </w:p>
        </w:tc>
      </w:tr>
      <w:tr w:rsidR="00F422C9" w:rsidRPr="00B650F6" w:rsidTr="00344F67">
        <w:trPr>
          <w:jc w:val="center"/>
        </w:trPr>
        <w:tc>
          <w:tcPr>
            <w:tcW w:w="940" w:type="pct"/>
            <w:vMerge/>
            <w:vAlign w:val="center"/>
          </w:tcPr>
          <w:p w:rsidR="00F422C9" w:rsidRPr="00B650F6" w:rsidRDefault="00F422C9" w:rsidP="00F422C9">
            <w:pPr>
              <w:spacing w:before="40" w:after="40" w:line="240" w:lineRule="auto"/>
              <w:ind w:firstLine="0"/>
              <w:rPr>
                <w:rFonts w:ascii="Lato" w:hAnsi="Lato"/>
                <w:color w:val="17365D"/>
                <w:sz w:val="18"/>
                <w:szCs w:val="18"/>
              </w:rPr>
            </w:pP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rok kalendarzowy</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40</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2005</w:t>
            </w:r>
          </w:p>
        </w:tc>
      </w:tr>
      <w:tr w:rsidR="00F422C9" w:rsidRPr="00B650F6" w:rsidTr="00344F67">
        <w:trPr>
          <w:jc w:val="center"/>
        </w:trPr>
        <w:tc>
          <w:tcPr>
            <w:tcW w:w="940"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Tlenek węgla</w:t>
            </w: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8 godzin</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10 000</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2005</w:t>
            </w:r>
          </w:p>
        </w:tc>
      </w:tr>
      <w:tr w:rsidR="00F422C9" w:rsidRPr="00B650F6" w:rsidTr="00344F67">
        <w:trPr>
          <w:jc w:val="center"/>
        </w:trPr>
        <w:tc>
          <w:tcPr>
            <w:tcW w:w="940"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Substancja</w:t>
            </w:r>
          </w:p>
        </w:tc>
        <w:tc>
          <w:tcPr>
            <w:tcW w:w="1082"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Okres uśredniania wyników pomiarów</w:t>
            </w:r>
          </w:p>
        </w:tc>
        <w:tc>
          <w:tcPr>
            <w:tcW w:w="1146"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Poziom doc</w:t>
            </w:r>
            <w:r w:rsidR="00125260" w:rsidRPr="00B650F6">
              <w:rPr>
                <w:rFonts w:ascii="Lato" w:hAnsi="Lato"/>
                <w:bCs/>
                <w:color w:val="17365D"/>
                <w:sz w:val="18"/>
                <w:szCs w:val="18"/>
              </w:rPr>
              <w:t xml:space="preserve">elowy substancji w powietrzu, </w:t>
            </w:r>
            <w:r w:rsidRPr="00B650F6">
              <w:rPr>
                <w:rFonts w:ascii="Lato" w:hAnsi="Lato"/>
                <w:bCs/>
                <w:color w:val="17365D"/>
                <w:sz w:val="18"/>
                <w:szCs w:val="18"/>
              </w:rPr>
              <w:t>ng/m</w:t>
            </w:r>
            <w:r w:rsidRPr="00B650F6">
              <w:rPr>
                <w:rFonts w:ascii="Lato" w:hAnsi="Lato"/>
                <w:bCs/>
                <w:color w:val="17365D"/>
                <w:sz w:val="18"/>
                <w:szCs w:val="18"/>
                <w:vertAlign w:val="superscript"/>
              </w:rPr>
              <w:t>3</w:t>
            </w:r>
          </w:p>
        </w:tc>
        <w:tc>
          <w:tcPr>
            <w:tcW w:w="1214"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Dopuszczalna częstość przekraczania poziomu docelowego w roku kalendarzowym</w:t>
            </w:r>
          </w:p>
        </w:tc>
        <w:tc>
          <w:tcPr>
            <w:tcW w:w="617"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Termin osiągnięcia</w:t>
            </w:r>
          </w:p>
        </w:tc>
      </w:tr>
      <w:tr w:rsidR="00F422C9" w:rsidRPr="00B650F6" w:rsidTr="00344F67">
        <w:trPr>
          <w:jc w:val="center"/>
        </w:trPr>
        <w:tc>
          <w:tcPr>
            <w:tcW w:w="940"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Arsen</w:t>
            </w: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rok kalendarzowy</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6</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2013</w:t>
            </w:r>
          </w:p>
        </w:tc>
      </w:tr>
      <w:tr w:rsidR="00F422C9" w:rsidRPr="00B650F6" w:rsidTr="00344F67">
        <w:trPr>
          <w:jc w:val="center"/>
        </w:trPr>
        <w:tc>
          <w:tcPr>
            <w:tcW w:w="940" w:type="pct"/>
            <w:shd w:val="clear" w:color="auto" w:fill="auto"/>
            <w:vAlign w:val="center"/>
          </w:tcPr>
          <w:p w:rsidR="00F422C9" w:rsidRPr="00B650F6" w:rsidRDefault="00347BDF"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Benzo(a</w:t>
            </w:r>
            <w:r w:rsidR="00F422C9" w:rsidRPr="00B650F6">
              <w:rPr>
                <w:rFonts w:ascii="Lato" w:hAnsi="Lato"/>
                <w:color w:val="17365D"/>
                <w:sz w:val="18"/>
                <w:szCs w:val="18"/>
              </w:rPr>
              <w:t>)piren</w:t>
            </w: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rok kalendarzowy</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1</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2013</w:t>
            </w:r>
          </w:p>
        </w:tc>
      </w:tr>
      <w:tr w:rsidR="00F422C9" w:rsidRPr="00B650F6" w:rsidTr="00344F67">
        <w:trPr>
          <w:jc w:val="center"/>
        </w:trPr>
        <w:tc>
          <w:tcPr>
            <w:tcW w:w="940"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Kadm</w:t>
            </w: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rok kalendarzowy</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5</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2013</w:t>
            </w:r>
          </w:p>
        </w:tc>
      </w:tr>
      <w:tr w:rsidR="00F422C9" w:rsidRPr="00B650F6" w:rsidTr="00344F67">
        <w:trPr>
          <w:jc w:val="center"/>
        </w:trPr>
        <w:tc>
          <w:tcPr>
            <w:tcW w:w="940"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Nikiel</w:t>
            </w:r>
          </w:p>
        </w:tc>
        <w:tc>
          <w:tcPr>
            <w:tcW w:w="1082"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rok kalendarzowy</w:t>
            </w:r>
          </w:p>
        </w:tc>
        <w:tc>
          <w:tcPr>
            <w:tcW w:w="1146"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w:t>
            </w:r>
          </w:p>
        </w:tc>
        <w:tc>
          <w:tcPr>
            <w:tcW w:w="121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w:t>
            </w:r>
          </w:p>
        </w:tc>
        <w:tc>
          <w:tcPr>
            <w:tcW w:w="61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2013</w:t>
            </w:r>
          </w:p>
        </w:tc>
      </w:tr>
    </w:tbl>
    <w:p w:rsidR="00230823" w:rsidRPr="00B650F6" w:rsidRDefault="00230823" w:rsidP="00230823">
      <w:pPr>
        <w:jc w:val="both"/>
        <w:rPr>
          <w:rFonts w:ascii="Lato" w:hAnsi="Lato"/>
          <w:sz w:val="18"/>
          <w:szCs w:val="20"/>
        </w:rPr>
      </w:pPr>
      <w:r w:rsidRPr="00B650F6">
        <w:rPr>
          <w:rFonts w:ascii="Lato" w:hAnsi="Lato"/>
          <w:sz w:val="20"/>
        </w:rPr>
        <w:t xml:space="preserve">* </w:t>
      </w:r>
      <w:r w:rsidRPr="00B650F6">
        <w:rPr>
          <w:rFonts w:ascii="Lato" w:hAnsi="Lato"/>
          <w:sz w:val="18"/>
          <w:szCs w:val="20"/>
        </w:rPr>
        <w:t>liczba dni z przekroczeniami poziomu dopuszczalnego w roku kalendarzowym,</w:t>
      </w:r>
      <w:r w:rsidR="00B650F6" w:rsidRPr="00B650F6">
        <w:rPr>
          <w:rFonts w:ascii="Lato" w:hAnsi="Lato"/>
          <w:sz w:val="18"/>
          <w:szCs w:val="20"/>
        </w:rPr>
        <w:t xml:space="preserve"> uśredniona w ciągu ostatnich 3 </w:t>
      </w:r>
      <w:r w:rsidRPr="00B650F6">
        <w:rPr>
          <w:rFonts w:ascii="Lato" w:hAnsi="Lato"/>
          <w:sz w:val="18"/>
          <w:szCs w:val="20"/>
        </w:rPr>
        <w:t>lat. Jeżeli brak jest wyników pomiarów z 3 lat, podstawę klasyfikacji mogą stanowić wyniki z dwóch lub jednego roku.</w:t>
      </w:r>
      <w:bookmarkStart w:id="158" w:name="_Toc343763866"/>
    </w:p>
    <w:p w:rsidR="00230823" w:rsidRPr="00B650F6" w:rsidRDefault="00230823" w:rsidP="00C54B26">
      <w:pPr>
        <w:pStyle w:val="Legenda"/>
        <w:rPr>
          <w:rFonts w:ascii="Lato" w:hAnsi="Lato"/>
          <w:color w:val="1F497D"/>
          <w:sz w:val="20"/>
          <w:szCs w:val="20"/>
        </w:rPr>
      </w:pPr>
      <w:bookmarkStart w:id="159" w:name="_Toc20219177"/>
      <w:r w:rsidRPr="00B650F6">
        <w:rPr>
          <w:rFonts w:ascii="Lato" w:hAnsi="Lato"/>
          <w:color w:val="1F497D"/>
          <w:sz w:val="20"/>
          <w:szCs w:val="20"/>
        </w:rPr>
        <w:lastRenderedPageBreak/>
        <w:t xml:space="preserve">Tabela </w:t>
      </w:r>
      <w:r w:rsidR="004042AE" w:rsidRPr="00B650F6">
        <w:rPr>
          <w:rFonts w:ascii="Lato" w:hAnsi="Lato"/>
          <w:color w:val="1F497D"/>
          <w:sz w:val="20"/>
          <w:szCs w:val="20"/>
        </w:rPr>
        <w:fldChar w:fldCharType="begin"/>
      </w:r>
      <w:r w:rsidR="005430ED" w:rsidRPr="00B650F6">
        <w:rPr>
          <w:rFonts w:ascii="Lato" w:hAnsi="Lato"/>
          <w:color w:val="1F497D"/>
          <w:sz w:val="20"/>
          <w:szCs w:val="20"/>
        </w:rPr>
        <w:instrText xml:space="preserve"> STYLEREF 1 \s </w:instrText>
      </w:r>
      <w:r w:rsidR="004042AE" w:rsidRPr="00B650F6">
        <w:rPr>
          <w:rFonts w:ascii="Lato" w:hAnsi="Lato"/>
          <w:color w:val="1F497D"/>
          <w:sz w:val="20"/>
          <w:szCs w:val="20"/>
        </w:rPr>
        <w:fldChar w:fldCharType="separate"/>
      </w:r>
      <w:r w:rsidR="0040205B">
        <w:rPr>
          <w:rFonts w:ascii="Lato" w:hAnsi="Lato"/>
          <w:noProof/>
          <w:color w:val="1F497D"/>
          <w:sz w:val="20"/>
          <w:szCs w:val="20"/>
        </w:rPr>
        <w:t>2</w:t>
      </w:r>
      <w:r w:rsidR="004042AE" w:rsidRPr="00B650F6">
        <w:rPr>
          <w:rFonts w:ascii="Lato" w:hAnsi="Lato"/>
          <w:color w:val="1F497D"/>
          <w:sz w:val="20"/>
          <w:szCs w:val="20"/>
        </w:rPr>
        <w:fldChar w:fldCharType="end"/>
      </w:r>
      <w:r w:rsidR="005430ED" w:rsidRPr="00B650F6">
        <w:rPr>
          <w:rFonts w:ascii="Lato" w:hAnsi="Lato"/>
          <w:color w:val="1F497D"/>
          <w:sz w:val="20"/>
          <w:szCs w:val="20"/>
        </w:rPr>
        <w:noBreakHyphen/>
      </w:r>
      <w:r w:rsidR="004042AE" w:rsidRPr="00B650F6">
        <w:rPr>
          <w:rFonts w:ascii="Lato" w:hAnsi="Lato"/>
          <w:color w:val="1F497D"/>
          <w:sz w:val="20"/>
          <w:szCs w:val="20"/>
        </w:rPr>
        <w:fldChar w:fldCharType="begin"/>
      </w:r>
      <w:r w:rsidR="005430ED" w:rsidRPr="00B650F6">
        <w:rPr>
          <w:rFonts w:ascii="Lato" w:hAnsi="Lato"/>
          <w:color w:val="1F497D"/>
          <w:sz w:val="20"/>
          <w:szCs w:val="20"/>
        </w:rPr>
        <w:instrText xml:space="preserve"> SEQ Tabela \* ARABIC \s 1 </w:instrText>
      </w:r>
      <w:r w:rsidR="004042AE" w:rsidRPr="00B650F6">
        <w:rPr>
          <w:rFonts w:ascii="Lato" w:hAnsi="Lato"/>
          <w:color w:val="1F497D"/>
          <w:sz w:val="20"/>
          <w:szCs w:val="20"/>
        </w:rPr>
        <w:fldChar w:fldCharType="separate"/>
      </w:r>
      <w:r w:rsidR="0040205B">
        <w:rPr>
          <w:rFonts w:ascii="Lato" w:hAnsi="Lato"/>
          <w:noProof/>
          <w:color w:val="1F497D"/>
          <w:sz w:val="20"/>
          <w:szCs w:val="20"/>
        </w:rPr>
        <w:t>11</w:t>
      </w:r>
      <w:r w:rsidR="004042AE" w:rsidRPr="00B650F6">
        <w:rPr>
          <w:rFonts w:ascii="Lato" w:hAnsi="Lato"/>
          <w:color w:val="1F497D"/>
          <w:sz w:val="20"/>
          <w:szCs w:val="20"/>
        </w:rPr>
        <w:fldChar w:fldCharType="end"/>
      </w:r>
      <w:r w:rsidRPr="00B650F6">
        <w:rPr>
          <w:rFonts w:ascii="Lato" w:hAnsi="Lato"/>
          <w:color w:val="1F497D"/>
          <w:sz w:val="20"/>
          <w:szCs w:val="20"/>
        </w:rPr>
        <w:t xml:space="preserve"> Dopuszczalne normy w zakresie jakości powietrza – kryterium ochrony roślin</w:t>
      </w:r>
      <w:bookmarkEnd w:id="158"/>
      <w:bookmarkEnd w:id="159"/>
    </w:p>
    <w:tbl>
      <w:tblPr>
        <w:tblW w:w="5000" w:type="pct"/>
        <w:jc w:val="center"/>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000" w:firstRow="0" w:lastRow="0" w:firstColumn="0" w:lastColumn="0" w:noHBand="0" w:noVBand="0"/>
      </w:tblPr>
      <w:tblGrid>
        <w:gridCol w:w="1575"/>
        <w:gridCol w:w="3337"/>
        <w:gridCol w:w="2497"/>
        <w:gridCol w:w="2144"/>
      </w:tblGrid>
      <w:tr w:rsidR="00F422C9" w:rsidRPr="00B650F6" w:rsidTr="00344F67">
        <w:trPr>
          <w:cantSplit/>
          <w:jc w:val="center"/>
        </w:trPr>
        <w:tc>
          <w:tcPr>
            <w:tcW w:w="824"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Substancja</w:t>
            </w:r>
          </w:p>
        </w:tc>
        <w:tc>
          <w:tcPr>
            <w:tcW w:w="1746"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Okres uśredniania wyników pomiarów</w:t>
            </w:r>
          </w:p>
        </w:tc>
        <w:tc>
          <w:tcPr>
            <w:tcW w:w="1307"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Dopuszczalny poziom substancji w powietrzu</w:t>
            </w:r>
          </w:p>
        </w:tc>
        <w:tc>
          <w:tcPr>
            <w:tcW w:w="1122"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Termin osiągnięcia poziomów</w:t>
            </w:r>
          </w:p>
        </w:tc>
      </w:tr>
      <w:tr w:rsidR="00F422C9" w:rsidRPr="00B650F6" w:rsidTr="00344F67">
        <w:trPr>
          <w:cantSplit/>
          <w:jc w:val="center"/>
        </w:trPr>
        <w:tc>
          <w:tcPr>
            <w:tcW w:w="824"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Tlenki azotu*</w:t>
            </w:r>
          </w:p>
        </w:tc>
        <w:tc>
          <w:tcPr>
            <w:tcW w:w="1746"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rok kalendarzowy</w:t>
            </w:r>
          </w:p>
        </w:tc>
        <w:tc>
          <w:tcPr>
            <w:tcW w:w="130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30 µg/m</w:t>
            </w:r>
            <w:r w:rsidRPr="00B650F6">
              <w:rPr>
                <w:rFonts w:ascii="Lato" w:hAnsi="Lato"/>
                <w:color w:val="17365D"/>
                <w:sz w:val="18"/>
                <w:szCs w:val="18"/>
                <w:vertAlign w:val="superscript"/>
              </w:rPr>
              <w:t>3</w:t>
            </w:r>
          </w:p>
        </w:tc>
        <w:tc>
          <w:tcPr>
            <w:tcW w:w="1122"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2003</w:t>
            </w:r>
          </w:p>
        </w:tc>
      </w:tr>
      <w:tr w:rsidR="00F422C9" w:rsidRPr="00B650F6" w:rsidTr="00344F67">
        <w:trPr>
          <w:cantSplit/>
          <w:jc w:val="center"/>
        </w:trPr>
        <w:tc>
          <w:tcPr>
            <w:tcW w:w="824"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Dwutlenek siarki</w:t>
            </w:r>
          </w:p>
        </w:tc>
        <w:tc>
          <w:tcPr>
            <w:tcW w:w="1746"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rok kalendarzowy i pora zimowa (okres od 1 X do 31 III)</w:t>
            </w:r>
          </w:p>
        </w:tc>
        <w:tc>
          <w:tcPr>
            <w:tcW w:w="130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 µg/m</w:t>
            </w:r>
            <w:r w:rsidRPr="00B650F6">
              <w:rPr>
                <w:rFonts w:ascii="Lato" w:hAnsi="Lato"/>
                <w:color w:val="17365D"/>
                <w:sz w:val="18"/>
                <w:szCs w:val="18"/>
                <w:vertAlign w:val="superscript"/>
              </w:rPr>
              <w:t>3</w:t>
            </w:r>
          </w:p>
        </w:tc>
        <w:tc>
          <w:tcPr>
            <w:tcW w:w="1122"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2003</w:t>
            </w:r>
          </w:p>
        </w:tc>
      </w:tr>
      <w:tr w:rsidR="00F422C9" w:rsidRPr="00B650F6" w:rsidTr="00344F67">
        <w:trPr>
          <w:cantSplit/>
          <w:jc w:val="center"/>
        </w:trPr>
        <w:tc>
          <w:tcPr>
            <w:tcW w:w="824"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Substancja</w:t>
            </w:r>
          </w:p>
        </w:tc>
        <w:tc>
          <w:tcPr>
            <w:tcW w:w="1746"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Okres uśredniania wyników pomiarów</w:t>
            </w:r>
          </w:p>
        </w:tc>
        <w:tc>
          <w:tcPr>
            <w:tcW w:w="1307" w:type="pct"/>
            <w:shd w:val="clear" w:color="auto" w:fill="DBE5F1"/>
            <w:vAlign w:val="center"/>
          </w:tcPr>
          <w:p w:rsidR="00F422C9" w:rsidRPr="00B650F6" w:rsidRDefault="00F422C9" w:rsidP="00A0007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Poziom docelowy substancji w powietrzu</w:t>
            </w:r>
            <w:r w:rsidR="00A00079" w:rsidRPr="00B650F6">
              <w:rPr>
                <w:rFonts w:ascii="Lato" w:hAnsi="Lato"/>
                <w:bCs/>
                <w:color w:val="17365D"/>
                <w:sz w:val="18"/>
                <w:szCs w:val="18"/>
              </w:rPr>
              <w:t>,</w:t>
            </w:r>
            <w:r w:rsidR="009026E9" w:rsidRPr="00B650F6">
              <w:rPr>
                <w:rFonts w:ascii="Lato" w:hAnsi="Lato"/>
                <w:bCs/>
                <w:color w:val="17365D"/>
                <w:sz w:val="18"/>
                <w:szCs w:val="18"/>
              </w:rPr>
              <w:t xml:space="preserve"> </w:t>
            </w:r>
            <w:r w:rsidRPr="00B650F6">
              <w:rPr>
                <w:rFonts w:ascii="Lato" w:hAnsi="Lato"/>
                <w:color w:val="17365D"/>
                <w:sz w:val="18"/>
                <w:szCs w:val="18"/>
              </w:rPr>
              <w:t>µ</w:t>
            </w:r>
            <w:r w:rsidRPr="00B650F6">
              <w:rPr>
                <w:rFonts w:ascii="Lato" w:hAnsi="Lato"/>
                <w:bCs/>
                <w:color w:val="17365D"/>
                <w:sz w:val="18"/>
                <w:szCs w:val="18"/>
              </w:rPr>
              <w:t>g/m</w:t>
            </w:r>
            <w:r w:rsidRPr="00B650F6">
              <w:rPr>
                <w:rFonts w:ascii="Lato" w:hAnsi="Lato"/>
                <w:bCs/>
                <w:color w:val="17365D"/>
                <w:sz w:val="18"/>
                <w:szCs w:val="18"/>
                <w:vertAlign w:val="superscript"/>
              </w:rPr>
              <w:t>3.</w:t>
            </w:r>
            <w:r w:rsidRPr="00B650F6">
              <w:rPr>
                <w:rFonts w:ascii="Lato" w:hAnsi="Lato"/>
                <w:bCs/>
                <w:color w:val="17365D"/>
                <w:sz w:val="18"/>
                <w:szCs w:val="18"/>
              </w:rPr>
              <w:t>h</w:t>
            </w:r>
          </w:p>
        </w:tc>
        <w:tc>
          <w:tcPr>
            <w:tcW w:w="1122"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Termin osiągnięcia poziomów</w:t>
            </w:r>
          </w:p>
        </w:tc>
      </w:tr>
      <w:tr w:rsidR="00F422C9" w:rsidRPr="00B650F6" w:rsidTr="00344F67">
        <w:trPr>
          <w:cantSplit/>
          <w:jc w:val="center"/>
        </w:trPr>
        <w:tc>
          <w:tcPr>
            <w:tcW w:w="824"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Ozon</w:t>
            </w:r>
          </w:p>
        </w:tc>
        <w:tc>
          <w:tcPr>
            <w:tcW w:w="1746"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okres wegetacyjny (1 V - 31 VII)</w:t>
            </w:r>
          </w:p>
        </w:tc>
        <w:tc>
          <w:tcPr>
            <w:tcW w:w="130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18 000</w:t>
            </w:r>
          </w:p>
        </w:tc>
        <w:tc>
          <w:tcPr>
            <w:tcW w:w="1122"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2010</w:t>
            </w:r>
          </w:p>
        </w:tc>
      </w:tr>
      <w:tr w:rsidR="00F422C9" w:rsidRPr="00B650F6" w:rsidTr="00344F67">
        <w:trPr>
          <w:cantSplit/>
          <w:jc w:val="center"/>
        </w:trPr>
        <w:tc>
          <w:tcPr>
            <w:tcW w:w="824"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Substancja</w:t>
            </w:r>
          </w:p>
        </w:tc>
        <w:tc>
          <w:tcPr>
            <w:tcW w:w="1746"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Okres uśredniania wyników pomiarów</w:t>
            </w:r>
          </w:p>
        </w:tc>
        <w:tc>
          <w:tcPr>
            <w:tcW w:w="1307" w:type="pct"/>
            <w:shd w:val="clear" w:color="auto" w:fill="DBE5F1"/>
            <w:vAlign w:val="center"/>
          </w:tcPr>
          <w:p w:rsidR="00F422C9" w:rsidRPr="00B650F6" w:rsidRDefault="00F422C9" w:rsidP="00A0007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Poziom celów długotermi</w:t>
            </w:r>
            <w:r w:rsidR="00A00079" w:rsidRPr="00B650F6">
              <w:rPr>
                <w:rFonts w:ascii="Lato" w:hAnsi="Lato"/>
                <w:bCs/>
                <w:color w:val="17365D"/>
                <w:sz w:val="18"/>
                <w:szCs w:val="18"/>
              </w:rPr>
              <w:t>nowych  substancji w powietrzu,</w:t>
            </w:r>
            <w:r w:rsidR="009026E9" w:rsidRPr="00B650F6">
              <w:rPr>
                <w:rFonts w:ascii="Lato" w:hAnsi="Lato"/>
                <w:bCs/>
                <w:color w:val="17365D"/>
                <w:sz w:val="18"/>
                <w:szCs w:val="18"/>
              </w:rPr>
              <w:t xml:space="preserve"> </w:t>
            </w:r>
            <w:r w:rsidRPr="00B650F6">
              <w:rPr>
                <w:rFonts w:ascii="Lato" w:hAnsi="Lato"/>
                <w:color w:val="17365D"/>
                <w:sz w:val="18"/>
                <w:szCs w:val="18"/>
              </w:rPr>
              <w:t>µ</w:t>
            </w:r>
            <w:r w:rsidRPr="00B650F6">
              <w:rPr>
                <w:rFonts w:ascii="Lato" w:hAnsi="Lato"/>
                <w:bCs/>
                <w:color w:val="17365D"/>
                <w:sz w:val="18"/>
                <w:szCs w:val="18"/>
              </w:rPr>
              <w:t>g/m</w:t>
            </w:r>
            <w:r w:rsidRPr="00B650F6">
              <w:rPr>
                <w:rFonts w:ascii="Lato" w:hAnsi="Lato"/>
                <w:bCs/>
                <w:color w:val="17365D"/>
                <w:sz w:val="18"/>
                <w:szCs w:val="18"/>
                <w:vertAlign w:val="superscript"/>
              </w:rPr>
              <w:t>3.</w:t>
            </w:r>
            <w:r w:rsidRPr="00B650F6">
              <w:rPr>
                <w:rFonts w:ascii="Lato" w:hAnsi="Lato"/>
                <w:bCs/>
                <w:color w:val="17365D"/>
                <w:sz w:val="18"/>
                <w:szCs w:val="18"/>
              </w:rPr>
              <w:t>h</w:t>
            </w:r>
          </w:p>
        </w:tc>
        <w:tc>
          <w:tcPr>
            <w:tcW w:w="1122"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18"/>
                <w:szCs w:val="18"/>
              </w:rPr>
            </w:pPr>
            <w:r w:rsidRPr="00B650F6">
              <w:rPr>
                <w:rFonts w:ascii="Lato" w:hAnsi="Lato"/>
                <w:bCs/>
                <w:color w:val="17365D"/>
                <w:sz w:val="18"/>
                <w:szCs w:val="18"/>
              </w:rPr>
              <w:t>Termin osiągnięcia poziomów</w:t>
            </w:r>
          </w:p>
        </w:tc>
      </w:tr>
      <w:tr w:rsidR="00F422C9" w:rsidRPr="00B650F6" w:rsidTr="00344F67">
        <w:trPr>
          <w:cantSplit/>
          <w:jc w:val="center"/>
        </w:trPr>
        <w:tc>
          <w:tcPr>
            <w:tcW w:w="824"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Ozon</w:t>
            </w:r>
          </w:p>
        </w:tc>
        <w:tc>
          <w:tcPr>
            <w:tcW w:w="1746" w:type="pct"/>
            <w:shd w:val="clear" w:color="auto" w:fill="auto"/>
            <w:vAlign w:val="center"/>
          </w:tcPr>
          <w:p w:rsidR="00F422C9" w:rsidRPr="00B650F6" w:rsidRDefault="00F422C9" w:rsidP="00F422C9">
            <w:pPr>
              <w:spacing w:before="40" w:after="40" w:line="240" w:lineRule="auto"/>
              <w:ind w:firstLine="0"/>
              <w:rPr>
                <w:rFonts w:ascii="Lato" w:hAnsi="Lato"/>
                <w:color w:val="17365D"/>
                <w:sz w:val="18"/>
                <w:szCs w:val="18"/>
              </w:rPr>
            </w:pPr>
            <w:r w:rsidRPr="00B650F6">
              <w:rPr>
                <w:rFonts w:ascii="Lato" w:hAnsi="Lato"/>
                <w:color w:val="17365D"/>
                <w:sz w:val="18"/>
                <w:szCs w:val="18"/>
              </w:rPr>
              <w:t>okres wegetacyjny (1 V - 31 VII)</w:t>
            </w:r>
          </w:p>
        </w:tc>
        <w:tc>
          <w:tcPr>
            <w:tcW w:w="1307"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6 000</w:t>
            </w:r>
          </w:p>
        </w:tc>
        <w:tc>
          <w:tcPr>
            <w:tcW w:w="1122"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18"/>
                <w:szCs w:val="18"/>
              </w:rPr>
            </w:pPr>
            <w:r w:rsidRPr="00B650F6">
              <w:rPr>
                <w:rFonts w:ascii="Lato" w:hAnsi="Lato"/>
                <w:color w:val="17365D"/>
                <w:sz w:val="18"/>
                <w:szCs w:val="18"/>
              </w:rPr>
              <w:t>2020</w:t>
            </w:r>
          </w:p>
        </w:tc>
      </w:tr>
    </w:tbl>
    <w:p w:rsidR="00230823" w:rsidRPr="00B650F6" w:rsidRDefault="00230823" w:rsidP="00230823">
      <w:pPr>
        <w:jc w:val="center"/>
        <w:rPr>
          <w:rFonts w:ascii="Lato" w:hAnsi="Lato"/>
          <w:sz w:val="20"/>
        </w:rPr>
      </w:pPr>
      <w:r w:rsidRPr="00B650F6">
        <w:rPr>
          <w:rFonts w:ascii="Lato" w:hAnsi="Lato"/>
          <w:sz w:val="20"/>
        </w:rPr>
        <w:t>*</w:t>
      </w:r>
      <w:r w:rsidRPr="00B650F6">
        <w:rPr>
          <w:rFonts w:ascii="Lato" w:hAnsi="Lato"/>
          <w:sz w:val="18"/>
          <w:szCs w:val="20"/>
        </w:rPr>
        <w:t>suma dwutlenku azotu i tlenku azotu w przeliczeniu na dwutlenek azotu</w:t>
      </w:r>
    </w:p>
    <w:p w:rsidR="008A5685" w:rsidRPr="00B650F6" w:rsidRDefault="008A5685" w:rsidP="00C54B26">
      <w:pPr>
        <w:jc w:val="both"/>
        <w:rPr>
          <w:rFonts w:ascii="Lato" w:hAnsi="Lato"/>
        </w:rPr>
      </w:pPr>
    </w:p>
    <w:p w:rsidR="00230823" w:rsidRDefault="00230823" w:rsidP="00617C1D">
      <w:pPr>
        <w:ind w:firstLine="709"/>
        <w:jc w:val="both"/>
        <w:rPr>
          <w:rFonts w:ascii="Lato" w:hAnsi="Lato"/>
        </w:rPr>
      </w:pPr>
      <w:r w:rsidRPr="00B650F6">
        <w:rPr>
          <w:rFonts w:ascii="Lato" w:hAnsi="Lato"/>
        </w:rPr>
        <w:t>W poniższej tabeli zostały określone poziomy alarmowe w zakresie dwutlenku azotu, dwutlenku siarki oraz ozonu.</w:t>
      </w:r>
    </w:p>
    <w:p w:rsidR="004B329B" w:rsidRPr="00B650F6" w:rsidRDefault="004B329B" w:rsidP="00617C1D">
      <w:pPr>
        <w:ind w:firstLine="709"/>
        <w:jc w:val="both"/>
        <w:rPr>
          <w:rFonts w:ascii="Lato" w:hAnsi="Lato"/>
        </w:rPr>
      </w:pPr>
    </w:p>
    <w:p w:rsidR="00230823" w:rsidRPr="00B650F6" w:rsidRDefault="00230823" w:rsidP="00616280">
      <w:pPr>
        <w:spacing w:line="240" w:lineRule="auto"/>
        <w:ind w:firstLine="0"/>
        <w:rPr>
          <w:rFonts w:ascii="Lato" w:hAnsi="Lato"/>
          <w:b/>
          <w:color w:val="1F497D"/>
          <w:spacing w:val="-2"/>
          <w:sz w:val="20"/>
          <w:szCs w:val="20"/>
        </w:rPr>
      </w:pPr>
      <w:bookmarkStart w:id="160" w:name="_Toc343763867"/>
      <w:bookmarkStart w:id="161" w:name="_Toc20219178"/>
      <w:r w:rsidRPr="00B650F6">
        <w:rPr>
          <w:rFonts w:ascii="Lato" w:hAnsi="Lato"/>
          <w:b/>
          <w:color w:val="1F497D"/>
          <w:spacing w:val="-2"/>
          <w:sz w:val="20"/>
          <w:szCs w:val="20"/>
        </w:rPr>
        <w:t xml:space="preserve">Tabela </w:t>
      </w:r>
      <w:r w:rsidR="004042AE" w:rsidRPr="00B650F6">
        <w:rPr>
          <w:rFonts w:ascii="Lato" w:hAnsi="Lato"/>
          <w:b/>
          <w:color w:val="1F497D"/>
          <w:spacing w:val="-2"/>
          <w:sz w:val="20"/>
          <w:szCs w:val="20"/>
        </w:rPr>
        <w:fldChar w:fldCharType="begin"/>
      </w:r>
      <w:r w:rsidR="005430ED" w:rsidRPr="00B650F6">
        <w:rPr>
          <w:rFonts w:ascii="Lato" w:hAnsi="Lato"/>
          <w:b/>
          <w:color w:val="1F497D"/>
          <w:spacing w:val="-2"/>
          <w:sz w:val="20"/>
          <w:szCs w:val="20"/>
        </w:rPr>
        <w:instrText xml:space="preserve"> STYLEREF 1 \s </w:instrText>
      </w:r>
      <w:r w:rsidR="004042AE" w:rsidRPr="00B650F6">
        <w:rPr>
          <w:rFonts w:ascii="Lato" w:hAnsi="Lato"/>
          <w:b/>
          <w:color w:val="1F497D"/>
          <w:spacing w:val="-2"/>
          <w:sz w:val="20"/>
          <w:szCs w:val="20"/>
        </w:rPr>
        <w:fldChar w:fldCharType="separate"/>
      </w:r>
      <w:r w:rsidR="0040205B">
        <w:rPr>
          <w:rFonts w:ascii="Lato" w:hAnsi="Lato"/>
          <w:b/>
          <w:noProof/>
          <w:color w:val="1F497D"/>
          <w:spacing w:val="-2"/>
          <w:sz w:val="20"/>
          <w:szCs w:val="20"/>
        </w:rPr>
        <w:t>2</w:t>
      </w:r>
      <w:r w:rsidR="004042AE" w:rsidRPr="00B650F6">
        <w:rPr>
          <w:rFonts w:ascii="Lato" w:hAnsi="Lato"/>
          <w:b/>
          <w:color w:val="1F497D"/>
          <w:spacing w:val="-2"/>
          <w:sz w:val="20"/>
          <w:szCs w:val="20"/>
        </w:rPr>
        <w:fldChar w:fldCharType="end"/>
      </w:r>
      <w:r w:rsidR="005430ED" w:rsidRPr="00B650F6">
        <w:rPr>
          <w:rFonts w:ascii="Lato" w:hAnsi="Lato"/>
          <w:b/>
          <w:color w:val="1F497D"/>
          <w:spacing w:val="-2"/>
          <w:sz w:val="20"/>
          <w:szCs w:val="20"/>
        </w:rPr>
        <w:noBreakHyphen/>
      </w:r>
      <w:r w:rsidR="004042AE" w:rsidRPr="00B650F6">
        <w:rPr>
          <w:rFonts w:ascii="Lato" w:hAnsi="Lato"/>
          <w:b/>
          <w:color w:val="1F497D"/>
          <w:spacing w:val="-2"/>
          <w:sz w:val="20"/>
          <w:szCs w:val="20"/>
        </w:rPr>
        <w:fldChar w:fldCharType="begin"/>
      </w:r>
      <w:r w:rsidR="005430ED" w:rsidRPr="00B650F6">
        <w:rPr>
          <w:rFonts w:ascii="Lato" w:hAnsi="Lato"/>
          <w:b/>
          <w:color w:val="1F497D"/>
          <w:spacing w:val="-2"/>
          <w:sz w:val="20"/>
          <w:szCs w:val="20"/>
        </w:rPr>
        <w:instrText xml:space="preserve"> SEQ Tabela \* ARABIC \s 1 </w:instrText>
      </w:r>
      <w:r w:rsidR="004042AE" w:rsidRPr="00B650F6">
        <w:rPr>
          <w:rFonts w:ascii="Lato" w:hAnsi="Lato"/>
          <w:b/>
          <w:color w:val="1F497D"/>
          <w:spacing w:val="-2"/>
          <w:sz w:val="20"/>
          <w:szCs w:val="20"/>
        </w:rPr>
        <w:fldChar w:fldCharType="separate"/>
      </w:r>
      <w:r w:rsidR="0040205B">
        <w:rPr>
          <w:rFonts w:ascii="Lato" w:hAnsi="Lato"/>
          <w:b/>
          <w:noProof/>
          <w:color w:val="1F497D"/>
          <w:spacing w:val="-2"/>
          <w:sz w:val="20"/>
          <w:szCs w:val="20"/>
        </w:rPr>
        <w:t>12</w:t>
      </w:r>
      <w:r w:rsidR="004042AE" w:rsidRPr="00B650F6">
        <w:rPr>
          <w:rFonts w:ascii="Lato" w:hAnsi="Lato"/>
          <w:b/>
          <w:color w:val="1F497D"/>
          <w:spacing w:val="-2"/>
          <w:sz w:val="20"/>
          <w:szCs w:val="20"/>
        </w:rPr>
        <w:fldChar w:fldCharType="end"/>
      </w:r>
      <w:r w:rsidRPr="00B650F6">
        <w:rPr>
          <w:rFonts w:ascii="Lato" w:hAnsi="Lato"/>
          <w:b/>
          <w:color w:val="1F497D"/>
          <w:spacing w:val="-2"/>
          <w:sz w:val="20"/>
          <w:szCs w:val="20"/>
        </w:rPr>
        <w:t xml:space="preserve"> Poziomy alarmowe dla niektórych substancji</w:t>
      </w:r>
      <w:bookmarkEnd w:id="160"/>
      <w:bookmarkEnd w:id="161"/>
    </w:p>
    <w:tbl>
      <w:tblPr>
        <w:tblW w:w="5000" w:type="pct"/>
        <w:jc w:val="center"/>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000" w:firstRow="0" w:lastRow="0" w:firstColumn="0" w:lastColumn="0" w:noHBand="0" w:noVBand="0"/>
      </w:tblPr>
      <w:tblGrid>
        <w:gridCol w:w="3671"/>
        <w:gridCol w:w="2854"/>
        <w:gridCol w:w="3028"/>
      </w:tblGrid>
      <w:tr w:rsidR="00F422C9" w:rsidRPr="00B650F6" w:rsidTr="00C46A1A">
        <w:trPr>
          <w:cantSplit/>
          <w:jc w:val="center"/>
        </w:trPr>
        <w:tc>
          <w:tcPr>
            <w:tcW w:w="1921"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20"/>
                <w:szCs w:val="20"/>
              </w:rPr>
            </w:pPr>
            <w:r w:rsidRPr="00B650F6">
              <w:rPr>
                <w:rFonts w:ascii="Lato" w:hAnsi="Lato"/>
                <w:bCs/>
                <w:color w:val="17365D"/>
                <w:sz w:val="20"/>
                <w:szCs w:val="20"/>
              </w:rPr>
              <w:t>Substancja</w:t>
            </w:r>
          </w:p>
        </w:tc>
        <w:tc>
          <w:tcPr>
            <w:tcW w:w="1494" w:type="pct"/>
            <w:shd w:val="clear" w:color="auto" w:fill="DBE5F1"/>
            <w:vAlign w:val="center"/>
          </w:tcPr>
          <w:p w:rsidR="00F422C9" w:rsidRPr="00B650F6" w:rsidRDefault="00F422C9" w:rsidP="00F422C9">
            <w:pPr>
              <w:spacing w:before="40" w:after="40" w:line="240" w:lineRule="auto"/>
              <w:ind w:firstLine="0"/>
              <w:jc w:val="center"/>
              <w:rPr>
                <w:rFonts w:ascii="Lato" w:hAnsi="Lato"/>
                <w:bCs/>
                <w:color w:val="17365D"/>
                <w:sz w:val="20"/>
                <w:szCs w:val="20"/>
              </w:rPr>
            </w:pPr>
            <w:r w:rsidRPr="00B650F6">
              <w:rPr>
                <w:rFonts w:ascii="Lato" w:hAnsi="Lato"/>
                <w:bCs/>
                <w:color w:val="17365D"/>
                <w:sz w:val="20"/>
                <w:szCs w:val="20"/>
              </w:rPr>
              <w:t xml:space="preserve">Okres uśredniania wyników pomiarów </w:t>
            </w:r>
          </w:p>
        </w:tc>
        <w:tc>
          <w:tcPr>
            <w:tcW w:w="1585" w:type="pct"/>
            <w:shd w:val="clear" w:color="auto" w:fill="DBE5F1"/>
            <w:vAlign w:val="center"/>
          </w:tcPr>
          <w:p w:rsidR="00F422C9" w:rsidRPr="00B650F6" w:rsidRDefault="00F422C9" w:rsidP="00A00079">
            <w:pPr>
              <w:spacing w:before="40" w:after="40" w:line="240" w:lineRule="auto"/>
              <w:ind w:firstLine="0"/>
              <w:jc w:val="center"/>
              <w:rPr>
                <w:rFonts w:ascii="Lato" w:hAnsi="Lato"/>
                <w:bCs/>
                <w:color w:val="17365D"/>
                <w:sz w:val="20"/>
                <w:szCs w:val="20"/>
              </w:rPr>
            </w:pPr>
            <w:r w:rsidRPr="00B650F6">
              <w:rPr>
                <w:rFonts w:ascii="Lato" w:hAnsi="Lato"/>
                <w:bCs/>
                <w:color w:val="17365D"/>
                <w:sz w:val="20"/>
                <w:szCs w:val="20"/>
              </w:rPr>
              <w:t>Dopuszczalny poziom substancji w powietrzu</w:t>
            </w:r>
            <w:r w:rsidR="00A00079" w:rsidRPr="00B650F6">
              <w:rPr>
                <w:rFonts w:ascii="Lato" w:hAnsi="Lato"/>
                <w:bCs/>
                <w:color w:val="17365D"/>
                <w:sz w:val="20"/>
                <w:szCs w:val="20"/>
              </w:rPr>
              <w:t>, µ</w:t>
            </w:r>
            <w:r w:rsidRPr="00B650F6">
              <w:rPr>
                <w:rFonts w:ascii="Lato" w:hAnsi="Lato"/>
                <w:bCs/>
                <w:color w:val="17365D"/>
                <w:sz w:val="20"/>
                <w:szCs w:val="20"/>
              </w:rPr>
              <w:t>g/m</w:t>
            </w:r>
            <w:r w:rsidRPr="00B650F6">
              <w:rPr>
                <w:rFonts w:ascii="Lato" w:hAnsi="Lato"/>
                <w:bCs/>
                <w:color w:val="17365D"/>
                <w:sz w:val="20"/>
                <w:szCs w:val="20"/>
                <w:vertAlign w:val="superscript"/>
              </w:rPr>
              <w:t>3</w:t>
            </w:r>
          </w:p>
        </w:tc>
      </w:tr>
      <w:tr w:rsidR="00F422C9" w:rsidRPr="00B650F6" w:rsidTr="00C46A1A">
        <w:trPr>
          <w:cantSplit/>
          <w:jc w:val="center"/>
        </w:trPr>
        <w:tc>
          <w:tcPr>
            <w:tcW w:w="1921" w:type="pct"/>
            <w:shd w:val="clear" w:color="auto" w:fill="auto"/>
            <w:vAlign w:val="center"/>
          </w:tcPr>
          <w:p w:rsidR="00F422C9" w:rsidRPr="00B650F6" w:rsidRDefault="00F422C9" w:rsidP="00F422C9">
            <w:pPr>
              <w:spacing w:before="40" w:after="40" w:line="240" w:lineRule="auto"/>
              <w:ind w:firstLine="0"/>
              <w:rPr>
                <w:rFonts w:ascii="Lato" w:hAnsi="Lato"/>
                <w:color w:val="17365D"/>
                <w:sz w:val="20"/>
                <w:szCs w:val="20"/>
              </w:rPr>
            </w:pPr>
            <w:r w:rsidRPr="00B650F6">
              <w:rPr>
                <w:rFonts w:ascii="Lato" w:hAnsi="Lato"/>
                <w:color w:val="17365D"/>
                <w:sz w:val="20"/>
                <w:szCs w:val="20"/>
              </w:rPr>
              <w:t>Dwutlenek azotu</w:t>
            </w:r>
          </w:p>
        </w:tc>
        <w:tc>
          <w:tcPr>
            <w:tcW w:w="149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20"/>
                <w:szCs w:val="20"/>
              </w:rPr>
            </w:pPr>
            <w:r w:rsidRPr="00B650F6">
              <w:rPr>
                <w:rFonts w:ascii="Lato" w:hAnsi="Lato"/>
                <w:color w:val="17365D"/>
                <w:sz w:val="20"/>
                <w:szCs w:val="20"/>
              </w:rPr>
              <w:t>jedna godzina</w:t>
            </w:r>
          </w:p>
        </w:tc>
        <w:tc>
          <w:tcPr>
            <w:tcW w:w="1585"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20"/>
                <w:szCs w:val="20"/>
              </w:rPr>
            </w:pPr>
            <w:r w:rsidRPr="00B650F6">
              <w:rPr>
                <w:rFonts w:ascii="Lato" w:hAnsi="Lato"/>
                <w:color w:val="17365D"/>
                <w:sz w:val="20"/>
                <w:szCs w:val="20"/>
              </w:rPr>
              <w:t>400*</w:t>
            </w:r>
          </w:p>
        </w:tc>
      </w:tr>
      <w:tr w:rsidR="00F422C9" w:rsidRPr="00B650F6" w:rsidTr="00C46A1A">
        <w:trPr>
          <w:cantSplit/>
          <w:jc w:val="center"/>
        </w:trPr>
        <w:tc>
          <w:tcPr>
            <w:tcW w:w="1921" w:type="pct"/>
            <w:shd w:val="clear" w:color="auto" w:fill="auto"/>
            <w:vAlign w:val="center"/>
          </w:tcPr>
          <w:p w:rsidR="00F422C9" w:rsidRPr="00B650F6" w:rsidRDefault="00F422C9" w:rsidP="00F422C9">
            <w:pPr>
              <w:spacing w:before="40" w:after="40" w:line="240" w:lineRule="auto"/>
              <w:ind w:firstLine="0"/>
              <w:rPr>
                <w:rFonts w:ascii="Lato" w:hAnsi="Lato"/>
                <w:color w:val="17365D"/>
                <w:sz w:val="20"/>
                <w:szCs w:val="20"/>
              </w:rPr>
            </w:pPr>
            <w:r w:rsidRPr="00B650F6">
              <w:rPr>
                <w:rFonts w:ascii="Lato" w:hAnsi="Lato"/>
                <w:color w:val="17365D"/>
                <w:sz w:val="20"/>
                <w:szCs w:val="20"/>
              </w:rPr>
              <w:t>Dwutlenek siarki</w:t>
            </w:r>
          </w:p>
        </w:tc>
        <w:tc>
          <w:tcPr>
            <w:tcW w:w="149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20"/>
                <w:szCs w:val="20"/>
              </w:rPr>
            </w:pPr>
            <w:r w:rsidRPr="00B650F6">
              <w:rPr>
                <w:rFonts w:ascii="Lato" w:hAnsi="Lato"/>
                <w:color w:val="17365D"/>
                <w:sz w:val="20"/>
                <w:szCs w:val="20"/>
              </w:rPr>
              <w:t>jedna godzina</w:t>
            </w:r>
          </w:p>
        </w:tc>
        <w:tc>
          <w:tcPr>
            <w:tcW w:w="1585"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20"/>
                <w:szCs w:val="20"/>
              </w:rPr>
            </w:pPr>
            <w:r w:rsidRPr="00B650F6">
              <w:rPr>
                <w:rFonts w:ascii="Lato" w:hAnsi="Lato"/>
                <w:color w:val="17365D"/>
                <w:sz w:val="20"/>
                <w:szCs w:val="20"/>
              </w:rPr>
              <w:t>500*</w:t>
            </w:r>
          </w:p>
        </w:tc>
      </w:tr>
      <w:tr w:rsidR="00F422C9" w:rsidRPr="00B650F6" w:rsidTr="00C46A1A">
        <w:trPr>
          <w:cantSplit/>
          <w:jc w:val="center"/>
        </w:trPr>
        <w:tc>
          <w:tcPr>
            <w:tcW w:w="1921" w:type="pct"/>
            <w:shd w:val="clear" w:color="auto" w:fill="auto"/>
            <w:vAlign w:val="center"/>
          </w:tcPr>
          <w:p w:rsidR="00F422C9" w:rsidRPr="00B650F6" w:rsidRDefault="00F422C9" w:rsidP="00F422C9">
            <w:pPr>
              <w:spacing w:before="40" w:after="40" w:line="240" w:lineRule="auto"/>
              <w:ind w:firstLine="0"/>
              <w:rPr>
                <w:rFonts w:ascii="Lato" w:hAnsi="Lato"/>
                <w:color w:val="17365D"/>
                <w:sz w:val="20"/>
                <w:szCs w:val="20"/>
              </w:rPr>
            </w:pPr>
            <w:r w:rsidRPr="00B650F6">
              <w:rPr>
                <w:rFonts w:ascii="Lato" w:hAnsi="Lato"/>
                <w:color w:val="17365D"/>
                <w:sz w:val="20"/>
                <w:szCs w:val="20"/>
              </w:rPr>
              <w:t>Ozon**</w:t>
            </w:r>
          </w:p>
        </w:tc>
        <w:tc>
          <w:tcPr>
            <w:tcW w:w="149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20"/>
                <w:szCs w:val="20"/>
              </w:rPr>
            </w:pPr>
            <w:r w:rsidRPr="00B650F6">
              <w:rPr>
                <w:rFonts w:ascii="Lato" w:hAnsi="Lato"/>
                <w:color w:val="17365D"/>
                <w:sz w:val="20"/>
                <w:szCs w:val="20"/>
              </w:rPr>
              <w:t>jedna godzina</w:t>
            </w:r>
          </w:p>
        </w:tc>
        <w:tc>
          <w:tcPr>
            <w:tcW w:w="1585"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20"/>
                <w:szCs w:val="20"/>
              </w:rPr>
            </w:pPr>
            <w:r w:rsidRPr="00B650F6">
              <w:rPr>
                <w:rFonts w:ascii="Lato" w:hAnsi="Lato"/>
                <w:color w:val="17365D"/>
                <w:sz w:val="20"/>
                <w:szCs w:val="20"/>
              </w:rPr>
              <w:t>240*</w:t>
            </w:r>
          </w:p>
        </w:tc>
      </w:tr>
      <w:tr w:rsidR="00F422C9" w:rsidRPr="00B650F6" w:rsidTr="00C46A1A">
        <w:trPr>
          <w:cantSplit/>
          <w:jc w:val="center"/>
        </w:trPr>
        <w:tc>
          <w:tcPr>
            <w:tcW w:w="1921" w:type="pct"/>
            <w:shd w:val="clear" w:color="auto" w:fill="auto"/>
            <w:vAlign w:val="center"/>
          </w:tcPr>
          <w:p w:rsidR="00F422C9" w:rsidRPr="00B650F6" w:rsidRDefault="00F422C9" w:rsidP="00F422C9">
            <w:pPr>
              <w:spacing w:before="40" w:after="40" w:line="240" w:lineRule="auto"/>
              <w:ind w:firstLine="0"/>
              <w:rPr>
                <w:rFonts w:ascii="Lato" w:hAnsi="Lato"/>
                <w:color w:val="17365D"/>
                <w:sz w:val="20"/>
                <w:szCs w:val="20"/>
              </w:rPr>
            </w:pPr>
            <w:r w:rsidRPr="00B650F6">
              <w:rPr>
                <w:rFonts w:ascii="Lato" w:hAnsi="Lato"/>
                <w:color w:val="17365D"/>
                <w:sz w:val="20"/>
                <w:szCs w:val="20"/>
              </w:rPr>
              <w:t>Pył zawieszony PM10</w:t>
            </w:r>
          </w:p>
        </w:tc>
        <w:tc>
          <w:tcPr>
            <w:tcW w:w="1494"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20"/>
                <w:szCs w:val="20"/>
              </w:rPr>
            </w:pPr>
            <w:r w:rsidRPr="00B650F6">
              <w:rPr>
                <w:rFonts w:ascii="Lato" w:hAnsi="Lato"/>
                <w:color w:val="17365D"/>
                <w:sz w:val="20"/>
                <w:szCs w:val="20"/>
              </w:rPr>
              <w:t>24 godziny</w:t>
            </w:r>
          </w:p>
        </w:tc>
        <w:tc>
          <w:tcPr>
            <w:tcW w:w="1585" w:type="pct"/>
            <w:shd w:val="clear" w:color="auto" w:fill="auto"/>
            <w:vAlign w:val="center"/>
          </w:tcPr>
          <w:p w:rsidR="00F422C9" w:rsidRPr="00B650F6" w:rsidRDefault="00F422C9" w:rsidP="00F422C9">
            <w:pPr>
              <w:spacing w:before="40" w:after="40" w:line="240" w:lineRule="auto"/>
              <w:ind w:firstLine="0"/>
              <w:jc w:val="center"/>
              <w:rPr>
                <w:rFonts w:ascii="Lato" w:hAnsi="Lato"/>
                <w:color w:val="17365D"/>
                <w:sz w:val="20"/>
                <w:szCs w:val="20"/>
              </w:rPr>
            </w:pPr>
            <w:r w:rsidRPr="00B650F6">
              <w:rPr>
                <w:rFonts w:ascii="Lato" w:hAnsi="Lato"/>
                <w:color w:val="17365D"/>
                <w:sz w:val="20"/>
                <w:szCs w:val="20"/>
              </w:rPr>
              <w:t>300</w:t>
            </w:r>
          </w:p>
        </w:tc>
      </w:tr>
    </w:tbl>
    <w:p w:rsidR="00230823" w:rsidRPr="00B650F6" w:rsidRDefault="00230823" w:rsidP="00230823">
      <w:pPr>
        <w:rPr>
          <w:rFonts w:ascii="Lato" w:hAnsi="Lato"/>
          <w:sz w:val="18"/>
          <w:szCs w:val="18"/>
        </w:rPr>
      </w:pPr>
      <w:r w:rsidRPr="00B650F6">
        <w:rPr>
          <w:rFonts w:ascii="Lato" w:hAnsi="Lato"/>
          <w:sz w:val="18"/>
          <w:szCs w:val="18"/>
        </w:rPr>
        <w:t>* wartość występująca przez trzy kolejne godziny w punktach pomiarowych reprezentujących jakość powietrza na obszarze o powierzchni co najmniej 100 km</w:t>
      </w:r>
      <w:r w:rsidRPr="00B650F6">
        <w:rPr>
          <w:rFonts w:ascii="Lato" w:hAnsi="Lato"/>
          <w:sz w:val="18"/>
          <w:szCs w:val="18"/>
          <w:vertAlign w:val="superscript"/>
        </w:rPr>
        <w:t>2</w:t>
      </w:r>
      <w:r w:rsidRPr="00B650F6">
        <w:rPr>
          <w:rFonts w:ascii="Lato" w:hAnsi="Lato"/>
          <w:sz w:val="18"/>
          <w:szCs w:val="18"/>
        </w:rPr>
        <w:t> albo na obszarze strefy zależnie od tego, który z tych obszarów jest mniejszy.</w:t>
      </w:r>
    </w:p>
    <w:p w:rsidR="00230823" w:rsidRPr="004B329B" w:rsidRDefault="00230823" w:rsidP="00230823">
      <w:pPr>
        <w:rPr>
          <w:rFonts w:ascii="Lato" w:hAnsi="Lato"/>
          <w:sz w:val="18"/>
          <w:szCs w:val="18"/>
        </w:rPr>
      </w:pPr>
      <w:r w:rsidRPr="00B650F6">
        <w:rPr>
          <w:rFonts w:ascii="Lato" w:hAnsi="Lato"/>
          <w:sz w:val="18"/>
          <w:szCs w:val="18"/>
        </w:rPr>
        <w:t>** wartość progowa informowania społeczeństwa o ryzyku wystąpienia poziomów alarmowych wynosi 180 µg/m</w:t>
      </w:r>
      <w:r w:rsidRPr="00B650F6">
        <w:rPr>
          <w:rFonts w:ascii="Lato" w:hAnsi="Lato"/>
          <w:sz w:val="18"/>
          <w:szCs w:val="18"/>
          <w:vertAlign w:val="superscript"/>
        </w:rPr>
        <w:t>3</w:t>
      </w:r>
    </w:p>
    <w:p w:rsidR="00301FA4" w:rsidRPr="004B329B" w:rsidRDefault="00301FA4" w:rsidP="004B329B">
      <w:pPr>
        <w:ind w:firstLine="709"/>
        <w:jc w:val="both"/>
        <w:rPr>
          <w:rFonts w:ascii="Lato" w:hAnsi="Lato"/>
        </w:rPr>
      </w:pPr>
    </w:p>
    <w:p w:rsidR="00230823" w:rsidRPr="00A33B66" w:rsidRDefault="00230823" w:rsidP="00907272">
      <w:pPr>
        <w:pStyle w:val="Nagwek2"/>
        <w:rPr>
          <w:rFonts w:ascii="Lato" w:hAnsi="Lato" w:cs="Times New Roman"/>
        </w:rPr>
      </w:pPr>
      <w:bookmarkStart w:id="162" w:name="_Toc392150300"/>
      <w:bookmarkStart w:id="163" w:name="_Toc20218514"/>
      <w:r w:rsidRPr="00A33B66">
        <w:rPr>
          <w:rFonts w:ascii="Lato" w:hAnsi="Lato" w:cs="Times New Roman"/>
        </w:rPr>
        <w:t xml:space="preserve">Ocena stanu atmosfery na terenie województwa oraz </w:t>
      </w:r>
      <w:bookmarkEnd w:id="162"/>
      <w:r w:rsidR="006673D1" w:rsidRPr="00A33B66">
        <w:rPr>
          <w:rFonts w:ascii="Lato" w:hAnsi="Lato" w:cs="Times New Roman"/>
        </w:rPr>
        <w:t xml:space="preserve">Gminy </w:t>
      </w:r>
      <w:r w:rsidR="00190648">
        <w:rPr>
          <w:rFonts w:ascii="Lato" w:hAnsi="Lato" w:cs="Times New Roman"/>
        </w:rPr>
        <w:t>Pabianice</w:t>
      </w:r>
      <w:bookmarkEnd w:id="163"/>
    </w:p>
    <w:p w:rsidR="00230823" w:rsidRPr="00A33B66" w:rsidRDefault="00230823" w:rsidP="00617C1D">
      <w:pPr>
        <w:autoSpaceDE w:val="0"/>
        <w:autoSpaceDN w:val="0"/>
        <w:adjustRightInd w:val="0"/>
        <w:ind w:firstLine="709"/>
        <w:jc w:val="both"/>
        <w:rPr>
          <w:rFonts w:ascii="Lato" w:hAnsi="Lato"/>
        </w:rPr>
      </w:pPr>
      <w:r w:rsidRPr="00A33B66">
        <w:rPr>
          <w:rFonts w:ascii="Lato" w:hAnsi="Lato"/>
        </w:rPr>
        <w:t>O wystąpieniu zanieczyszczeń powietrza decyduje ich emisja do atmosfery, natomiast o poz</w:t>
      </w:r>
      <w:r w:rsidR="00E21D41" w:rsidRPr="00A33B66">
        <w:rPr>
          <w:rFonts w:ascii="Lato" w:hAnsi="Lato"/>
        </w:rPr>
        <w:t>iomie w</w:t>
      </w:r>
      <w:r w:rsidR="00B83BEC">
        <w:rPr>
          <w:rFonts w:ascii="Lato" w:hAnsi="Lato"/>
        </w:rPr>
        <w:t xml:space="preserve"> </w:t>
      </w:r>
      <w:r w:rsidRPr="00A33B66">
        <w:rPr>
          <w:rFonts w:ascii="Lato" w:hAnsi="Lato"/>
        </w:rPr>
        <w:t>znacznym stopniu występujące warunki meteorologiczne. Przy stałej emisji – zmiany stężeń zanieczyszczeń są głównie efektem przemieszczania, transforma</w:t>
      </w:r>
      <w:r w:rsidR="00E21D41" w:rsidRPr="00A33B66">
        <w:rPr>
          <w:rFonts w:ascii="Lato" w:hAnsi="Lato"/>
        </w:rPr>
        <w:t>cji i usuwania zanieczyszczeń z </w:t>
      </w:r>
      <w:r w:rsidRPr="00A33B66">
        <w:rPr>
          <w:rFonts w:ascii="Lato" w:hAnsi="Lato"/>
        </w:rPr>
        <w:t>atmosfery. Stężenie zanieczyszczeń zależy również od pory roku:</w:t>
      </w:r>
    </w:p>
    <w:p w:rsidR="00230823" w:rsidRPr="00A33B66" w:rsidRDefault="00230823" w:rsidP="00617C1D">
      <w:pPr>
        <w:pStyle w:val="Tekstpodstawowy"/>
        <w:numPr>
          <w:ilvl w:val="0"/>
          <w:numId w:val="83"/>
        </w:numPr>
        <w:tabs>
          <w:tab w:val="clear" w:pos="360"/>
        </w:tabs>
        <w:ind w:left="709" w:hanging="425"/>
        <w:rPr>
          <w:rFonts w:ascii="Lato" w:hAnsi="Lato" w:cs="Times New Roman"/>
        </w:rPr>
      </w:pPr>
      <w:r w:rsidRPr="00A33B66">
        <w:rPr>
          <w:rFonts w:ascii="Lato" w:hAnsi="Lato" w:cs="Times New Roman"/>
        </w:rPr>
        <w:t>sezon zimowy</w:t>
      </w:r>
      <w:r w:rsidR="0002679A" w:rsidRPr="00A33B66">
        <w:rPr>
          <w:rFonts w:ascii="Lato" w:hAnsi="Lato" w:cs="Times New Roman"/>
        </w:rPr>
        <w:t xml:space="preserve"> - </w:t>
      </w:r>
      <w:r w:rsidRPr="00A33B66">
        <w:rPr>
          <w:rFonts w:ascii="Lato" w:hAnsi="Lato" w:cs="Times New Roman"/>
        </w:rPr>
        <w:t>charakteryzuje się zwiększonym zanieczyszczeniem atmosfery, głównie przez niskie źródła emisji,</w:t>
      </w:r>
    </w:p>
    <w:p w:rsidR="00230823" w:rsidRPr="00A33B66" w:rsidRDefault="00230823" w:rsidP="00617C1D">
      <w:pPr>
        <w:pStyle w:val="Tekstpodstawowy"/>
        <w:numPr>
          <w:ilvl w:val="0"/>
          <w:numId w:val="83"/>
        </w:numPr>
        <w:tabs>
          <w:tab w:val="clear" w:pos="360"/>
        </w:tabs>
        <w:ind w:left="709" w:hanging="425"/>
        <w:rPr>
          <w:rFonts w:ascii="Lato" w:hAnsi="Lato" w:cs="Times New Roman"/>
        </w:rPr>
      </w:pPr>
      <w:r w:rsidRPr="00A33B66">
        <w:rPr>
          <w:rFonts w:ascii="Lato" w:hAnsi="Lato" w:cs="Times New Roman"/>
        </w:rPr>
        <w:t>sezon letni</w:t>
      </w:r>
      <w:r w:rsidR="0002679A" w:rsidRPr="00A33B66">
        <w:rPr>
          <w:rFonts w:ascii="Lato" w:hAnsi="Lato" w:cs="Times New Roman"/>
        </w:rPr>
        <w:t xml:space="preserve"> - </w:t>
      </w:r>
      <w:r w:rsidRPr="00A33B66">
        <w:rPr>
          <w:rFonts w:ascii="Lato" w:hAnsi="Lato" w:cs="Times New Roman"/>
        </w:rPr>
        <w:t>charakteryzuje się zwiększonym zanieczyszczeniem atmosfery przez skażenia wtórne powstałe w reakcjach fotochemicznych.</w:t>
      </w:r>
    </w:p>
    <w:p w:rsidR="00230823" w:rsidRDefault="00230823" w:rsidP="00617C1D">
      <w:pPr>
        <w:pStyle w:val="tabela"/>
        <w:widowControl/>
        <w:overflowPunct/>
        <w:autoSpaceDE/>
        <w:autoSpaceDN/>
        <w:adjustRightInd/>
        <w:spacing w:before="0" w:line="312" w:lineRule="auto"/>
        <w:ind w:firstLine="0"/>
        <w:textAlignment w:val="auto"/>
        <w:rPr>
          <w:rFonts w:ascii="Lato" w:hAnsi="Lato"/>
          <w:sz w:val="22"/>
          <w:szCs w:val="22"/>
        </w:rPr>
      </w:pPr>
      <w:r w:rsidRPr="00A33B66">
        <w:rPr>
          <w:rFonts w:ascii="Lato" w:hAnsi="Lato"/>
          <w:sz w:val="22"/>
          <w:szCs w:val="22"/>
        </w:rPr>
        <w:t>Czynniki meteorologiczne wpływające na stan zanieczyszczenia atmosfery w zależności od</w:t>
      </w:r>
      <w:r w:rsidR="00B83BEC">
        <w:rPr>
          <w:rFonts w:ascii="Lato" w:hAnsi="Lato"/>
          <w:sz w:val="22"/>
          <w:szCs w:val="22"/>
        </w:rPr>
        <w:t xml:space="preserve"> </w:t>
      </w:r>
      <w:r w:rsidRPr="00A33B66">
        <w:rPr>
          <w:rFonts w:ascii="Lato" w:hAnsi="Lato"/>
          <w:sz w:val="22"/>
          <w:szCs w:val="22"/>
        </w:rPr>
        <w:t xml:space="preserve">pory roku podano w tabeli </w:t>
      </w:r>
      <w:r w:rsidR="00673762" w:rsidRPr="00A33B66">
        <w:rPr>
          <w:rFonts w:ascii="Lato" w:hAnsi="Lato"/>
          <w:sz w:val="22"/>
          <w:szCs w:val="22"/>
        </w:rPr>
        <w:t>2</w:t>
      </w:r>
      <w:r w:rsidRPr="00A33B66">
        <w:rPr>
          <w:rFonts w:ascii="Lato" w:hAnsi="Lato"/>
          <w:sz w:val="22"/>
          <w:szCs w:val="22"/>
        </w:rPr>
        <w:t>-</w:t>
      </w:r>
      <w:r w:rsidR="00D941F6" w:rsidRPr="00A33B66">
        <w:rPr>
          <w:rFonts w:ascii="Lato" w:hAnsi="Lato"/>
          <w:sz w:val="22"/>
          <w:szCs w:val="22"/>
        </w:rPr>
        <w:t>13</w:t>
      </w:r>
      <w:r w:rsidRPr="00A33B66">
        <w:rPr>
          <w:rFonts w:ascii="Lato" w:hAnsi="Lato"/>
          <w:sz w:val="22"/>
          <w:szCs w:val="22"/>
        </w:rPr>
        <w:t>.</w:t>
      </w:r>
    </w:p>
    <w:p w:rsidR="00842C6A" w:rsidRPr="00A33B66" w:rsidRDefault="00842C6A" w:rsidP="00230823">
      <w:pPr>
        <w:pStyle w:val="tabela"/>
        <w:widowControl/>
        <w:overflowPunct/>
        <w:autoSpaceDE/>
        <w:autoSpaceDN/>
        <w:adjustRightInd/>
        <w:spacing w:before="0" w:line="312" w:lineRule="auto"/>
        <w:ind w:firstLine="0"/>
        <w:textAlignment w:val="auto"/>
        <w:rPr>
          <w:rFonts w:ascii="Lato" w:hAnsi="Lato"/>
          <w:sz w:val="22"/>
          <w:szCs w:val="22"/>
        </w:rPr>
      </w:pPr>
    </w:p>
    <w:p w:rsidR="00CE5963" w:rsidRPr="00A33B66" w:rsidRDefault="00CE5963" w:rsidP="00697DFA">
      <w:pPr>
        <w:pStyle w:val="Legenda"/>
        <w:rPr>
          <w:rFonts w:ascii="Lato" w:hAnsi="Lato"/>
          <w:color w:val="1F497D"/>
          <w:sz w:val="20"/>
          <w:szCs w:val="20"/>
        </w:rPr>
      </w:pPr>
      <w:bookmarkStart w:id="164" w:name="_Toc20219179"/>
      <w:r w:rsidRPr="00A33B66">
        <w:rPr>
          <w:rFonts w:ascii="Lato" w:hAnsi="Lato"/>
          <w:color w:val="1F497D"/>
          <w:sz w:val="20"/>
          <w:szCs w:val="20"/>
        </w:rPr>
        <w:lastRenderedPageBreak/>
        <w:t xml:space="preserve">Tabela </w:t>
      </w:r>
      <w:r w:rsidR="004042AE" w:rsidRPr="00A33B66">
        <w:rPr>
          <w:rFonts w:ascii="Lato" w:hAnsi="Lato"/>
          <w:color w:val="1F497D"/>
          <w:sz w:val="20"/>
          <w:szCs w:val="20"/>
        </w:rPr>
        <w:fldChar w:fldCharType="begin"/>
      </w:r>
      <w:r w:rsidR="005430ED" w:rsidRPr="00A33B66">
        <w:rPr>
          <w:rFonts w:ascii="Lato" w:hAnsi="Lato"/>
          <w:color w:val="1F497D"/>
          <w:sz w:val="20"/>
          <w:szCs w:val="20"/>
        </w:rPr>
        <w:instrText xml:space="preserve"> STYLEREF 1 \s </w:instrText>
      </w:r>
      <w:r w:rsidR="004042AE" w:rsidRPr="00A33B66">
        <w:rPr>
          <w:rFonts w:ascii="Lato" w:hAnsi="Lato"/>
          <w:color w:val="1F497D"/>
          <w:sz w:val="20"/>
          <w:szCs w:val="20"/>
        </w:rPr>
        <w:fldChar w:fldCharType="separate"/>
      </w:r>
      <w:r w:rsidR="0040205B">
        <w:rPr>
          <w:rFonts w:ascii="Lato" w:hAnsi="Lato"/>
          <w:noProof/>
          <w:color w:val="1F497D"/>
          <w:sz w:val="20"/>
          <w:szCs w:val="20"/>
        </w:rPr>
        <w:t>2</w:t>
      </w:r>
      <w:r w:rsidR="004042AE" w:rsidRPr="00A33B66">
        <w:rPr>
          <w:rFonts w:ascii="Lato" w:hAnsi="Lato"/>
          <w:color w:val="1F497D"/>
          <w:sz w:val="20"/>
          <w:szCs w:val="20"/>
        </w:rPr>
        <w:fldChar w:fldCharType="end"/>
      </w:r>
      <w:r w:rsidR="005430ED" w:rsidRPr="00A33B66">
        <w:rPr>
          <w:rFonts w:ascii="Lato" w:hAnsi="Lato"/>
          <w:color w:val="1F497D"/>
          <w:sz w:val="20"/>
          <w:szCs w:val="20"/>
        </w:rPr>
        <w:noBreakHyphen/>
      </w:r>
      <w:r w:rsidR="004042AE" w:rsidRPr="00A33B66">
        <w:rPr>
          <w:rFonts w:ascii="Lato" w:hAnsi="Lato"/>
          <w:color w:val="1F497D"/>
          <w:sz w:val="20"/>
          <w:szCs w:val="20"/>
        </w:rPr>
        <w:fldChar w:fldCharType="begin"/>
      </w:r>
      <w:r w:rsidR="005430ED" w:rsidRPr="00A33B66">
        <w:rPr>
          <w:rFonts w:ascii="Lato" w:hAnsi="Lato"/>
          <w:color w:val="1F497D"/>
          <w:sz w:val="20"/>
          <w:szCs w:val="20"/>
        </w:rPr>
        <w:instrText xml:space="preserve"> SEQ Tabela \* ARABIC \s 1 </w:instrText>
      </w:r>
      <w:r w:rsidR="004042AE" w:rsidRPr="00A33B66">
        <w:rPr>
          <w:rFonts w:ascii="Lato" w:hAnsi="Lato"/>
          <w:color w:val="1F497D"/>
          <w:sz w:val="20"/>
          <w:szCs w:val="20"/>
        </w:rPr>
        <w:fldChar w:fldCharType="separate"/>
      </w:r>
      <w:r w:rsidR="0040205B">
        <w:rPr>
          <w:rFonts w:ascii="Lato" w:hAnsi="Lato"/>
          <w:noProof/>
          <w:color w:val="1F497D"/>
          <w:sz w:val="20"/>
          <w:szCs w:val="20"/>
        </w:rPr>
        <w:t>13</w:t>
      </w:r>
      <w:r w:rsidR="004042AE" w:rsidRPr="00A33B66">
        <w:rPr>
          <w:rFonts w:ascii="Lato" w:hAnsi="Lato"/>
          <w:color w:val="1F497D"/>
          <w:sz w:val="20"/>
          <w:szCs w:val="20"/>
        </w:rPr>
        <w:fldChar w:fldCharType="end"/>
      </w:r>
      <w:r w:rsidRPr="00A33B66">
        <w:rPr>
          <w:rFonts w:ascii="Lato" w:hAnsi="Lato"/>
          <w:color w:val="1F497D"/>
          <w:sz w:val="20"/>
          <w:szCs w:val="20"/>
        </w:rPr>
        <w:t xml:space="preserve"> Czynniki meteorologiczne wpływające na stan zanieczyszczenia atmosfery</w:t>
      </w:r>
      <w:bookmarkEnd w:id="164"/>
    </w:p>
    <w:tbl>
      <w:tblPr>
        <w:tblW w:w="5000" w:type="pct"/>
        <w:jc w:val="center"/>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1E0" w:firstRow="1" w:lastRow="1" w:firstColumn="1" w:lastColumn="1" w:noHBand="0" w:noVBand="0"/>
      </w:tblPr>
      <w:tblGrid>
        <w:gridCol w:w="1668"/>
        <w:gridCol w:w="4005"/>
        <w:gridCol w:w="3880"/>
      </w:tblGrid>
      <w:tr w:rsidR="00CE5963" w:rsidRPr="00A33B66" w:rsidTr="00344F67">
        <w:trPr>
          <w:cantSplit/>
          <w:jc w:val="center"/>
        </w:trPr>
        <w:tc>
          <w:tcPr>
            <w:tcW w:w="873" w:type="pct"/>
            <w:vMerge w:val="restart"/>
            <w:shd w:val="clear" w:color="auto" w:fill="DBE5F1"/>
            <w:vAlign w:val="center"/>
          </w:tcPr>
          <w:p w:rsidR="00CE5963" w:rsidRPr="00A33B66" w:rsidRDefault="00CE5963" w:rsidP="004B4CB9">
            <w:pPr>
              <w:spacing w:before="40" w:after="40" w:line="240" w:lineRule="auto"/>
              <w:ind w:left="40" w:firstLine="0"/>
              <w:jc w:val="center"/>
              <w:rPr>
                <w:rFonts w:ascii="Lato" w:eastAsia="Calibri" w:hAnsi="Lato"/>
                <w:color w:val="17365D"/>
                <w:sz w:val="18"/>
                <w:szCs w:val="20"/>
                <w:lang w:eastAsia="en-US"/>
              </w:rPr>
            </w:pPr>
            <w:r w:rsidRPr="00A33B66">
              <w:rPr>
                <w:rFonts w:ascii="Lato" w:eastAsia="Calibri" w:hAnsi="Lato"/>
                <w:color w:val="17365D"/>
                <w:sz w:val="18"/>
                <w:szCs w:val="20"/>
                <w:lang w:eastAsia="en-US"/>
              </w:rPr>
              <w:t>Zmiany stężeń zanieczyszczenia</w:t>
            </w:r>
          </w:p>
        </w:tc>
        <w:tc>
          <w:tcPr>
            <w:tcW w:w="4127" w:type="pct"/>
            <w:gridSpan w:val="2"/>
            <w:shd w:val="clear" w:color="auto" w:fill="DBE5F1"/>
            <w:vAlign w:val="center"/>
          </w:tcPr>
          <w:p w:rsidR="00CE5963" w:rsidRPr="00A33B66" w:rsidRDefault="00CE5963" w:rsidP="004B4CB9">
            <w:pPr>
              <w:spacing w:before="40" w:after="40" w:line="240" w:lineRule="auto"/>
              <w:ind w:left="40" w:firstLine="0"/>
              <w:jc w:val="center"/>
              <w:rPr>
                <w:rFonts w:ascii="Lato" w:eastAsia="Calibri" w:hAnsi="Lato"/>
                <w:color w:val="17365D"/>
                <w:sz w:val="18"/>
                <w:szCs w:val="20"/>
                <w:lang w:eastAsia="en-US"/>
              </w:rPr>
            </w:pPr>
            <w:r w:rsidRPr="00A33B66">
              <w:rPr>
                <w:rFonts w:ascii="Lato" w:eastAsia="Calibri" w:hAnsi="Lato"/>
                <w:color w:val="17365D"/>
                <w:sz w:val="18"/>
                <w:szCs w:val="20"/>
                <w:lang w:eastAsia="en-US"/>
              </w:rPr>
              <w:t>Główne zanieczyszczenia</w:t>
            </w:r>
          </w:p>
        </w:tc>
      </w:tr>
      <w:tr w:rsidR="00CE5963" w:rsidRPr="00A33B66" w:rsidTr="001B4479">
        <w:trPr>
          <w:cantSplit/>
          <w:jc w:val="center"/>
        </w:trPr>
        <w:tc>
          <w:tcPr>
            <w:tcW w:w="873" w:type="pct"/>
            <w:vMerge/>
            <w:shd w:val="clear" w:color="auto" w:fill="DBE5F1"/>
            <w:vAlign w:val="center"/>
          </w:tcPr>
          <w:p w:rsidR="00CE5963" w:rsidRPr="00A33B66" w:rsidRDefault="00CE5963" w:rsidP="004B4CB9">
            <w:pPr>
              <w:spacing w:before="40" w:after="40" w:line="240" w:lineRule="auto"/>
              <w:ind w:left="40" w:firstLine="0"/>
              <w:jc w:val="center"/>
              <w:rPr>
                <w:rFonts w:ascii="Lato" w:eastAsia="Calibri" w:hAnsi="Lato"/>
                <w:color w:val="17365D"/>
                <w:sz w:val="18"/>
                <w:szCs w:val="20"/>
                <w:lang w:eastAsia="en-US"/>
              </w:rPr>
            </w:pPr>
          </w:p>
        </w:tc>
        <w:tc>
          <w:tcPr>
            <w:tcW w:w="2096" w:type="pct"/>
            <w:shd w:val="clear" w:color="auto" w:fill="DBE5F1"/>
            <w:vAlign w:val="center"/>
          </w:tcPr>
          <w:p w:rsidR="00CE5963" w:rsidRPr="00A33B66" w:rsidRDefault="00CE5963" w:rsidP="004B4CB9">
            <w:pPr>
              <w:spacing w:before="40" w:after="40" w:line="240" w:lineRule="auto"/>
              <w:ind w:left="40" w:firstLine="0"/>
              <w:jc w:val="center"/>
              <w:rPr>
                <w:rFonts w:ascii="Lato" w:eastAsia="Calibri" w:hAnsi="Lato"/>
                <w:color w:val="17365D"/>
                <w:sz w:val="18"/>
                <w:szCs w:val="20"/>
                <w:lang w:eastAsia="en-US"/>
              </w:rPr>
            </w:pPr>
            <w:r w:rsidRPr="00A33B66">
              <w:rPr>
                <w:rFonts w:ascii="Lato" w:eastAsia="Calibri" w:hAnsi="Lato"/>
                <w:color w:val="17365D"/>
                <w:sz w:val="18"/>
                <w:szCs w:val="20"/>
                <w:lang w:eastAsia="en-US"/>
              </w:rPr>
              <w:t>Zimą: SO</w:t>
            </w:r>
            <w:r w:rsidRPr="00A33B66">
              <w:rPr>
                <w:rFonts w:ascii="Lato" w:eastAsia="Calibri" w:hAnsi="Lato"/>
                <w:color w:val="17365D"/>
                <w:sz w:val="18"/>
                <w:szCs w:val="20"/>
                <w:vertAlign w:val="subscript"/>
                <w:lang w:eastAsia="en-US"/>
              </w:rPr>
              <w:t>2</w:t>
            </w:r>
            <w:r w:rsidRPr="00A33B66">
              <w:rPr>
                <w:rFonts w:ascii="Lato" w:eastAsia="Calibri" w:hAnsi="Lato"/>
                <w:color w:val="17365D"/>
                <w:sz w:val="18"/>
                <w:szCs w:val="20"/>
                <w:lang w:eastAsia="en-US"/>
              </w:rPr>
              <w:t>, pył zawieszony, CO</w:t>
            </w:r>
          </w:p>
        </w:tc>
        <w:tc>
          <w:tcPr>
            <w:tcW w:w="2031" w:type="pct"/>
            <w:shd w:val="clear" w:color="auto" w:fill="DBE5F1"/>
            <w:vAlign w:val="center"/>
          </w:tcPr>
          <w:p w:rsidR="00CE5963" w:rsidRPr="00A33B66" w:rsidRDefault="00CE5963" w:rsidP="004B4CB9">
            <w:pPr>
              <w:spacing w:before="40" w:after="40" w:line="240" w:lineRule="auto"/>
              <w:ind w:left="40" w:firstLine="0"/>
              <w:jc w:val="center"/>
              <w:rPr>
                <w:rFonts w:ascii="Lato" w:eastAsia="Calibri" w:hAnsi="Lato"/>
                <w:color w:val="17365D"/>
                <w:sz w:val="18"/>
                <w:szCs w:val="20"/>
                <w:vertAlign w:val="subscript"/>
                <w:lang w:eastAsia="en-US"/>
              </w:rPr>
            </w:pPr>
            <w:r w:rsidRPr="00A33B66">
              <w:rPr>
                <w:rFonts w:ascii="Lato" w:eastAsia="Calibri" w:hAnsi="Lato"/>
                <w:color w:val="17365D"/>
                <w:sz w:val="18"/>
                <w:szCs w:val="20"/>
                <w:lang w:eastAsia="en-US"/>
              </w:rPr>
              <w:t>Latem: O</w:t>
            </w:r>
            <w:r w:rsidRPr="00A33B66">
              <w:rPr>
                <w:rFonts w:ascii="Lato" w:eastAsia="Calibri" w:hAnsi="Lato"/>
                <w:color w:val="17365D"/>
                <w:sz w:val="18"/>
                <w:szCs w:val="20"/>
                <w:vertAlign w:val="subscript"/>
                <w:lang w:eastAsia="en-US"/>
              </w:rPr>
              <w:t>3</w:t>
            </w:r>
          </w:p>
        </w:tc>
      </w:tr>
      <w:tr w:rsidR="00CE5963" w:rsidRPr="00A33B66" w:rsidTr="001B4479">
        <w:trPr>
          <w:cantSplit/>
          <w:jc w:val="center"/>
        </w:trPr>
        <w:tc>
          <w:tcPr>
            <w:tcW w:w="873" w:type="pct"/>
            <w:vAlign w:val="center"/>
          </w:tcPr>
          <w:p w:rsidR="00CE5963" w:rsidRPr="00A33B66" w:rsidRDefault="00CE5963" w:rsidP="004B4CB9">
            <w:pPr>
              <w:spacing w:before="30" w:after="30" w:line="240" w:lineRule="auto"/>
              <w:ind w:left="40" w:firstLine="0"/>
              <w:jc w:val="both"/>
              <w:rPr>
                <w:rFonts w:ascii="Lato" w:eastAsia="Calibri" w:hAnsi="Lato"/>
                <w:color w:val="17365D"/>
                <w:sz w:val="18"/>
                <w:szCs w:val="20"/>
                <w:lang w:eastAsia="en-US"/>
              </w:rPr>
            </w:pPr>
            <w:r w:rsidRPr="00A33B66">
              <w:rPr>
                <w:rFonts w:ascii="Lato" w:eastAsia="Calibri" w:hAnsi="Lato"/>
                <w:color w:val="17365D"/>
                <w:sz w:val="18"/>
                <w:szCs w:val="20"/>
                <w:lang w:eastAsia="en-US"/>
              </w:rPr>
              <w:t>Wzrost stężenia zanieczyszczeń</w:t>
            </w:r>
          </w:p>
        </w:tc>
        <w:tc>
          <w:tcPr>
            <w:tcW w:w="2096" w:type="pct"/>
            <w:vAlign w:val="center"/>
          </w:tcPr>
          <w:p w:rsidR="00CE5963" w:rsidRPr="00A33B66" w:rsidRDefault="00CE5963" w:rsidP="004B4CB9">
            <w:pPr>
              <w:spacing w:before="30" w:after="30" w:line="240" w:lineRule="auto"/>
              <w:ind w:left="40" w:firstLine="0"/>
              <w:jc w:val="both"/>
              <w:rPr>
                <w:rFonts w:ascii="Lato" w:eastAsia="Calibri" w:hAnsi="Lato"/>
                <w:color w:val="17365D"/>
                <w:sz w:val="18"/>
                <w:szCs w:val="20"/>
                <w:lang w:eastAsia="en-US"/>
              </w:rPr>
            </w:pPr>
            <w:r w:rsidRPr="00A33B66">
              <w:rPr>
                <w:rFonts w:ascii="Lato" w:eastAsia="Calibri" w:hAnsi="Lato"/>
                <w:color w:val="17365D"/>
                <w:sz w:val="18"/>
                <w:szCs w:val="20"/>
                <w:lang w:eastAsia="en-US"/>
              </w:rPr>
              <w:t>Sytuacja wyżowa:</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wysokie ciśnienie,</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spadek temperatury poniżej 0</w:t>
            </w:r>
            <w:r w:rsidRPr="00A33B66">
              <w:rPr>
                <w:rFonts w:ascii="Lato" w:eastAsia="Calibri" w:hAnsi="Lato"/>
                <w:color w:val="17365D"/>
                <w:sz w:val="18"/>
                <w:szCs w:val="20"/>
                <w:vertAlign w:val="superscript"/>
                <w:lang w:eastAsia="en-US"/>
              </w:rPr>
              <w:t>o</w:t>
            </w:r>
            <w:r w:rsidRPr="00A33B66">
              <w:rPr>
                <w:rFonts w:ascii="Lato" w:eastAsia="Calibri" w:hAnsi="Lato"/>
                <w:color w:val="17365D"/>
                <w:sz w:val="18"/>
                <w:szCs w:val="20"/>
                <w:lang w:eastAsia="en-US"/>
              </w:rPr>
              <w:t>C,</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spadek prędkości wiatru poniżej 2 m/s,</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brak opadów,</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inwersja termiczna,</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mgła</w:t>
            </w:r>
            <w:r w:rsidR="003667EC" w:rsidRPr="00A33B66">
              <w:rPr>
                <w:rFonts w:ascii="Lato" w:eastAsia="Calibri" w:hAnsi="Lato"/>
                <w:color w:val="17365D"/>
                <w:sz w:val="18"/>
                <w:szCs w:val="20"/>
                <w:lang w:eastAsia="en-US"/>
              </w:rPr>
              <w:t>.</w:t>
            </w:r>
          </w:p>
        </w:tc>
        <w:tc>
          <w:tcPr>
            <w:tcW w:w="2031" w:type="pct"/>
            <w:vAlign w:val="center"/>
          </w:tcPr>
          <w:p w:rsidR="00CE5963" w:rsidRPr="00A33B66" w:rsidRDefault="00CE5963" w:rsidP="004B4CB9">
            <w:pPr>
              <w:tabs>
                <w:tab w:val="left" w:pos="290"/>
              </w:tabs>
              <w:spacing w:before="30" w:after="30" w:line="240" w:lineRule="auto"/>
              <w:ind w:left="40" w:firstLine="0"/>
              <w:jc w:val="both"/>
              <w:rPr>
                <w:rFonts w:ascii="Lato" w:eastAsia="Calibri" w:hAnsi="Lato"/>
                <w:color w:val="17365D"/>
                <w:sz w:val="18"/>
                <w:szCs w:val="20"/>
                <w:lang w:eastAsia="en-US"/>
              </w:rPr>
            </w:pPr>
            <w:r w:rsidRPr="00A33B66">
              <w:rPr>
                <w:rFonts w:ascii="Lato" w:eastAsia="Calibri" w:hAnsi="Lato"/>
                <w:color w:val="17365D"/>
                <w:sz w:val="18"/>
                <w:szCs w:val="20"/>
                <w:lang w:eastAsia="en-US"/>
              </w:rPr>
              <w:t>Sytuacja wyżowa:</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wysokie ciśnienie,</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wzrost temperatury powyżej 25oC,</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spadek prędkości wiatru poniżej 2 m/s,</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brak opadów,</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promieniowanie bezpośrednie powyżej 500 W/m2</w:t>
            </w:r>
            <w:r w:rsidR="003667EC" w:rsidRPr="00A33B66">
              <w:rPr>
                <w:rFonts w:ascii="Lato" w:eastAsia="Calibri" w:hAnsi="Lato"/>
                <w:color w:val="17365D"/>
                <w:sz w:val="18"/>
                <w:szCs w:val="20"/>
                <w:lang w:eastAsia="en-US"/>
              </w:rPr>
              <w:t>.</w:t>
            </w:r>
          </w:p>
        </w:tc>
      </w:tr>
      <w:tr w:rsidR="00CE5963" w:rsidRPr="00A33B66" w:rsidTr="001B4479">
        <w:trPr>
          <w:cantSplit/>
          <w:jc w:val="center"/>
        </w:trPr>
        <w:tc>
          <w:tcPr>
            <w:tcW w:w="873" w:type="pct"/>
            <w:vAlign w:val="center"/>
          </w:tcPr>
          <w:p w:rsidR="00CE5963" w:rsidRPr="00A33B66" w:rsidRDefault="00CE5963" w:rsidP="004B4CB9">
            <w:pPr>
              <w:spacing w:before="30" w:after="30" w:line="240" w:lineRule="auto"/>
              <w:ind w:left="40" w:firstLine="0"/>
              <w:jc w:val="both"/>
              <w:rPr>
                <w:rFonts w:ascii="Lato" w:eastAsia="Calibri" w:hAnsi="Lato"/>
                <w:color w:val="17365D"/>
                <w:sz w:val="18"/>
                <w:szCs w:val="20"/>
                <w:lang w:eastAsia="en-US"/>
              </w:rPr>
            </w:pPr>
            <w:r w:rsidRPr="00A33B66">
              <w:rPr>
                <w:rFonts w:ascii="Lato" w:eastAsia="Calibri" w:hAnsi="Lato"/>
                <w:color w:val="17365D"/>
                <w:sz w:val="18"/>
                <w:szCs w:val="20"/>
                <w:lang w:eastAsia="en-US"/>
              </w:rPr>
              <w:t>Spadek stężenia zanieczyszczeń</w:t>
            </w:r>
          </w:p>
        </w:tc>
        <w:tc>
          <w:tcPr>
            <w:tcW w:w="2096" w:type="pct"/>
            <w:vAlign w:val="center"/>
          </w:tcPr>
          <w:p w:rsidR="00CE5963" w:rsidRPr="00A33B66" w:rsidRDefault="00CE5963" w:rsidP="004B4CB9">
            <w:pPr>
              <w:spacing w:before="30" w:after="30" w:line="240" w:lineRule="auto"/>
              <w:ind w:left="40" w:firstLine="0"/>
              <w:jc w:val="both"/>
              <w:rPr>
                <w:rFonts w:ascii="Lato" w:eastAsia="Calibri" w:hAnsi="Lato"/>
                <w:color w:val="17365D"/>
                <w:sz w:val="18"/>
                <w:szCs w:val="20"/>
                <w:lang w:eastAsia="en-US"/>
              </w:rPr>
            </w:pPr>
            <w:r w:rsidRPr="00A33B66">
              <w:rPr>
                <w:rFonts w:ascii="Lato" w:eastAsia="Calibri" w:hAnsi="Lato"/>
                <w:color w:val="17365D"/>
                <w:sz w:val="18"/>
                <w:szCs w:val="20"/>
                <w:lang w:eastAsia="en-US"/>
              </w:rPr>
              <w:t>Sytuacja niżowa:</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niskie ciśnienie,</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wzrost temperatury powyżej 0oC,</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wzrost prędkości wiatru powyżej 5 m/s,</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opady</w:t>
            </w:r>
            <w:r w:rsidR="003667EC" w:rsidRPr="00A33B66">
              <w:rPr>
                <w:rFonts w:ascii="Lato" w:eastAsia="Calibri" w:hAnsi="Lato"/>
                <w:color w:val="17365D"/>
                <w:sz w:val="18"/>
                <w:szCs w:val="20"/>
                <w:lang w:eastAsia="en-US"/>
              </w:rPr>
              <w:t>.</w:t>
            </w:r>
          </w:p>
        </w:tc>
        <w:tc>
          <w:tcPr>
            <w:tcW w:w="2031" w:type="pct"/>
            <w:vAlign w:val="center"/>
          </w:tcPr>
          <w:p w:rsidR="00CE5963" w:rsidRPr="00A33B66" w:rsidRDefault="00CE5963" w:rsidP="004B4CB9">
            <w:pPr>
              <w:tabs>
                <w:tab w:val="left" w:pos="290"/>
              </w:tabs>
              <w:spacing w:before="30" w:after="30" w:line="240" w:lineRule="auto"/>
              <w:ind w:left="40" w:firstLine="0"/>
              <w:jc w:val="both"/>
              <w:rPr>
                <w:rFonts w:ascii="Lato" w:eastAsia="Calibri" w:hAnsi="Lato"/>
                <w:color w:val="17365D"/>
                <w:sz w:val="18"/>
                <w:szCs w:val="20"/>
                <w:lang w:eastAsia="en-US"/>
              </w:rPr>
            </w:pPr>
            <w:r w:rsidRPr="00A33B66">
              <w:rPr>
                <w:rFonts w:ascii="Lato" w:eastAsia="Calibri" w:hAnsi="Lato"/>
                <w:color w:val="17365D"/>
                <w:sz w:val="18"/>
                <w:szCs w:val="20"/>
                <w:lang w:eastAsia="en-US"/>
              </w:rPr>
              <w:t>Sytuacja niżowa:</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niskie ciśnienie,</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spadek temperatury,</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wzrost prędkości wiatru powyżej 5 m/s,</w:t>
            </w:r>
          </w:p>
          <w:p w:rsidR="00CE5963" w:rsidRPr="00A33B66" w:rsidRDefault="00CE5963" w:rsidP="00A33B66">
            <w:pPr>
              <w:numPr>
                <w:ilvl w:val="0"/>
                <w:numId w:val="84"/>
              </w:numPr>
              <w:tabs>
                <w:tab w:val="clear" w:pos="720"/>
                <w:tab w:val="num" w:pos="175"/>
                <w:tab w:val="left" w:pos="261"/>
              </w:tabs>
              <w:spacing w:before="30" w:after="30" w:line="240" w:lineRule="auto"/>
              <w:ind w:left="459"/>
              <w:jc w:val="both"/>
              <w:rPr>
                <w:rFonts w:ascii="Lato" w:eastAsia="Calibri" w:hAnsi="Lato"/>
                <w:color w:val="17365D"/>
                <w:sz w:val="18"/>
                <w:szCs w:val="20"/>
                <w:lang w:eastAsia="en-US"/>
              </w:rPr>
            </w:pPr>
            <w:r w:rsidRPr="00A33B66">
              <w:rPr>
                <w:rFonts w:ascii="Lato" w:eastAsia="Calibri" w:hAnsi="Lato"/>
                <w:color w:val="17365D"/>
                <w:sz w:val="18"/>
                <w:szCs w:val="20"/>
                <w:lang w:eastAsia="en-US"/>
              </w:rPr>
              <w:t>opady</w:t>
            </w:r>
            <w:r w:rsidR="003667EC" w:rsidRPr="00A33B66">
              <w:rPr>
                <w:rFonts w:ascii="Lato" w:eastAsia="Calibri" w:hAnsi="Lato"/>
                <w:color w:val="17365D"/>
                <w:sz w:val="18"/>
                <w:szCs w:val="20"/>
                <w:lang w:eastAsia="en-US"/>
              </w:rPr>
              <w:t>.</w:t>
            </w:r>
          </w:p>
        </w:tc>
      </w:tr>
    </w:tbl>
    <w:p w:rsidR="001B4479" w:rsidRDefault="001B4479" w:rsidP="00CE5963">
      <w:pPr>
        <w:jc w:val="both"/>
        <w:rPr>
          <w:rFonts w:ascii="Lato" w:hAnsi="Lato"/>
        </w:rPr>
      </w:pPr>
    </w:p>
    <w:p w:rsidR="00CE5963" w:rsidRPr="00737D78" w:rsidRDefault="00CE5963" w:rsidP="00617C1D">
      <w:pPr>
        <w:ind w:firstLine="709"/>
        <w:jc w:val="both"/>
        <w:rPr>
          <w:rFonts w:ascii="Lato" w:hAnsi="Lato"/>
        </w:rPr>
      </w:pPr>
      <w:r w:rsidRPr="00A33B66">
        <w:rPr>
          <w:rFonts w:ascii="Lato" w:hAnsi="Lato"/>
        </w:rPr>
        <w:t>Ocenę stanu atmosfery na terenie województwa i gminy przeprowadzono w oparci</w:t>
      </w:r>
      <w:r w:rsidR="00D03562">
        <w:rPr>
          <w:rFonts w:ascii="Lato" w:hAnsi="Lato"/>
        </w:rPr>
        <w:t>u o </w:t>
      </w:r>
      <w:r w:rsidR="006673D1" w:rsidRPr="00A33B66">
        <w:rPr>
          <w:rFonts w:ascii="Lato" w:hAnsi="Lato"/>
        </w:rPr>
        <w:t xml:space="preserve">dane </w:t>
      </w:r>
      <w:r w:rsidR="006673D1" w:rsidRPr="00737D78">
        <w:rPr>
          <w:rFonts w:ascii="Lato" w:hAnsi="Lato"/>
        </w:rPr>
        <w:t>z</w:t>
      </w:r>
      <w:r w:rsidR="00B83BEC">
        <w:rPr>
          <w:rFonts w:ascii="Lato" w:hAnsi="Lato"/>
        </w:rPr>
        <w:t xml:space="preserve"> </w:t>
      </w:r>
      <w:r w:rsidRPr="00737D78">
        <w:rPr>
          <w:rFonts w:ascii="Lato" w:hAnsi="Lato"/>
        </w:rPr>
        <w:t>„</w:t>
      </w:r>
      <w:r w:rsidR="00A33B66" w:rsidRPr="00737D78">
        <w:rPr>
          <w:rFonts w:ascii="Lato" w:hAnsi="Lato"/>
        </w:rPr>
        <w:t>R</w:t>
      </w:r>
      <w:r w:rsidRPr="00737D78">
        <w:rPr>
          <w:rFonts w:ascii="Lato" w:hAnsi="Lato"/>
        </w:rPr>
        <w:t>ocznej oceny jakości powietrza w</w:t>
      </w:r>
      <w:r w:rsidR="009026E9" w:rsidRPr="00737D78">
        <w:rPr>
          <w:rFonts w:ascii="Lato" w:hAnsi="Lato"/>
        </w:rPr>
        <w:t xml:space="preserve"> województwie </w:t>
      </w:r>
      <w:r w:rsidR="00A33B66" w:rsidRPr="00737D78">
        <w:rPr>
          <w:rFonts w:ascii="Lato" w:hAnsi="Lato"/>
        </w:rPr>
        <w:t>łódzkim w</w:t>
      </w:r>
      <w:r w:rsidRPr="00737D78">
        <w:rPr>
          <w:rFonts w:ascii="Lato" w:hAnsi="Lato"/>
        </w:rPr>
        <w:t xml:space="preserve"> 201</w:t>
      </w:r>
      <w:r w:rsidR="001F2F97" w:rsidRPr="00737D78">
        <w:rPr>
          <w:rFonts w:ascii="Lato" w:hAnsi="Lato"/>
        </w:rPr>
        <w:t>7</w:t>
      </w:r>
      <w:r w:rsidR="006673D1" w:rsidRPr="00737D78">
        <w:rPr>
          <w:rFonts w:ascii="Lato" w:hAnsi="Lato"/>
        </w:rPr>
        <w:t xml:space="preserve"> rok</w:t>
      </w:r>
      <w:r w:rsidR="00A33B66" w:rsidRPr="00737D78">
        <w:rPr>
          <w:rFonts w:ascii="Lato" w:hAnsi="Lato"/>
        </w:rPr>
        <w:t>u</w:t>
      </w:r>
      <w:r w:rsidR="006673D1" w:rsidRPr="00737D78">
        <w:rPr>
          <w:rFonts w:ascii="Lato" w:hAnsi="Lato"/>
        </w:rPr>
        <w:t>”. Na</w:t>
      </w:r>
      <w:r w:rsidR="00B83BEC">
        <w:rPr>
          <w:rFonts w:ascii="Lato" w:hAnsi="Lato"/>
        </w:rPr>
        <w:t xml:space="preserve"> </w:t>
      </w:r>
      <w:r w:rsidRPr="00737D78">
        <w:rPr>
          <w:rFonts w:ascii="Lato" w:hAnsi="Lato"/>
        </w:rPr>
        <w:t>kolejnych rysunkach przedstawiono emisję podstawowych zaniecz</w:t>
      </w:r>
      <w:r w:rsidR="000E6F34" w:rsidRPr="00737D78">
        <w:rPr>
          <w:rFonts w:ascii="Lato" w:hAnsi="Lato"/>
        </w:rPr>
        <w:t>yszczeń ze</w:t>
      </w:r>
      <w:r w:rsidR="00B83BEC">
        <w:rPr>
          <w:rFonts w:ascii="Lato" w:hAnsi="Lato"/>
        </w:rPr>
        <w:t xml:space="preserve"> </w:t>
      </w:r>
      <w:r w:rsidR="000E6F34" w:rsidRPr="00737D78">
        <w:rPr>
          <w:rFonts w:ascii="Lato" w:hAnsi="Lato"/>
        </w:rPr>
        <w:t>źródeł punktowych na</w:t>
      </w:r>
      <w:r w:rsidR="00B83BEC">
        <w:rPr>
          <w:rFonts w:ascii="Lato" w:hAnsi="Lato"/>
        </w:rPr>
        <w:t xml:space="preserve"> </w:t>
      </w:r>
      <w:r w:rsidRPr="00737D78">
        <w:rPr>
          <w:rFonts w:ascii="Lato" w:hAnsi="Lato"/>
        </w:rPr>
        <w:t xml:space="preserve">terenie województwa </w:t>
      </w:r>
      <w:r w:rsidR="00737D78" w:rsidRPr="00737D78">
        <w:rPr>
          <w:rFonts w:ascii="Lato" w:hAnsi="Lato"/>
        </w:rPr>
        <w:t>łódz</w:t>
      </w:r>
      <w:r w:rsidRPr="00737D78">
        <w:rPr>
          <w:rFonts w:ascii="Lato" w:hAnsi="Lato"/>
        </w:rPr>
        <w:t>kiego.</w:t>
      </w:r>
    </w:p>
    <w:p w:rsidR="00170B6C" w:rsidRDefault="00170B6C" w:rsidP="00230823">
      <w:pPr>
        <w:pStyle w:val="tabela"/>
        <w:widowControl/>
        <w:overflowPunct/>
        <w:autoSpaceDE/>
        <w:autoSpaceDN/>
        <w:adjustRightInd/>
        <w:spacing w:before="0" w:line="312" w:lineRule="auto"/>
        <w:ind w:firstLine="0"/>
        <w:textAlignment w:val="auto"/>
        <w:rPr>
          <w:rFonts w:ascii="Lato" w:hAnsi="Lato"/>
          <w:sz w:val="22"/>
          <w:szCs w:val="22"/>
          <w:highlight w:val="yellow"/>
        </w:rPr>
      </w:pPr>
    </w:p>
    <w:p w:rsidR="00835EDC" w:rsidRDefault="0006260E" w:rsidP="008D0B36">
      <w:pPr>
        <w:pStyle w:val="tabela"/>
        <w:widowControl/>
        <w:tabs>
          <w:tab w:val="left" w:pos="1701"/>
          <w:tab w:val="left" w:pos="7655"/>
          <w:tab w:val="left" w:pos="7938"/>
        </w:tabs>
        <w:overflowPunct/>
        <w:autoSpaceDE/>
        <w:autoSpaceDN/>
        <w:adjustRightInd/>
        <w:spacing w:before="0" w:line="312" w:lineRule="auto"/>
        <w:ind w:firstLine="0"/>
        <w:jc w:val="center"/>
        <w:textAlignment w:val="auto"/>
        <w:rPr>
          <w:rFonts w:ascii="Lato" w:hAnsi="Lato"/>
          <w:sz w:val="22"/>
          <w:szCs w:val="22"/>
          <w:highlight w:val="yellow"/>
        </w:rPr>
      </w:pPr>
      <w:r>
        <w:rPr>
          <w:rFonts w:ascii="Lato" w:hAnsi="Lato"/>
          <w:noProof/>
          <w:sz w:val="22"/>
          <w:szCs w:val="22"/>
        </w:rPr>
        <w:lastRenderedPageBreak/>
        <w:drawing>
          <wp:inline distT="0" distB="0" distL="0" distR="0" wp14:anchorId="33F99FA7" wp14:editId="0A6EA9F4">
            <wp:extent cx="5486400" cy="61722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6172200"/>
                    </a:xfrm>
                    <a:prstGeom prst="rect">
                      <a:avLst/>
                    </a:prstGeom>
                    <a:noFill/>
                    <a:ln>
                      <a:noFill/>
                    </a:ln>
                  </pic:spPr>
                </pic:pic>
              </a:graphicData>
            </a:graphic>
          </wp:inline>
        </w:drawing>
      </w:r>
    </w:p>
    <w:p w:rsidR="00737D78" w:rsidRPr="00216090" w:rsidRDefault="00737D78" w:rsidP="00737D78">
      <w:pPr>
        <w:pStyle w:val="Legenda"/>
        <w:jc w:val="center"/>
        <w:rPr>
          <w:rFonts w:ascii="Lato" w:hAnsi="Lato"/>
          <w:color w:val="1F497D"/>
          <w:sz w:val="20"/>
          <w:szCs w:val="20"/>
        </w:rPr>
      </w:pPr>
      <w:bookmarkStart w:id="165" w:name="_Toc20219232"/>
      <w:r w:rsidRPr="00216090">
        <w:rPr>
          <w:rFonts w:ascii="Lato" w:hAnsi="Lato"/>
          <w:color w:val="1F497D"/>
          <w:sz w:val="20"/>
          <w:szCs w:val="20"/>
        </w:rPr>
        <w:t xml:space="preserve">Rysunek </w:t>
      </w:r>
      <w:r w:rsidRPr="00216090">
        <w:rPr>
          <w:rFonts w:ascii="Lato" w:hAnsi="Lato"/>
          <w:color w:val="1F497D"/>
          <w:sz w:val="20"/>
          <w:szCs w:val="20"/>
        </w:rPr>
        <w:fldChar w:fldCharType="begin"/>
      </w:r>
      <w:r w:rsidRPr="00216090">
        <w:rPr>
          <w:rFonts w:ascii="Lato" w:hAnsi="Lato"/>
          <w:color w:val="1F497D"/>
          <w:sz w:val="20"/>
          <w:szCs w:val="20"/>
        </w:rPr>
        <w:instrText xml:space="preserve"> STYLEREF 1 \s </w:instrText>
      </w:r>
      <w:r w:rsidRPr="00216090">
        <w:rPr>
          <w:rFonts w:ascii="Lato" w:hAnsi="Lato"/>
          <w:color w:val="1F497D"/>
          <w:sz w:val="20"/>
          <w:szCs w:val="20"/>
        </w:rPr>
        <w:fldChar w:fldCharType="separate"/>
      </w:r>
      <w:r w:rsidR="0040205B">
        <w:rPr>
          <w:rFonts w:ascii="Lato" w:hAnsi="Lato"/>
          <w:noProof/>
          <w:color w:val="1F497D"/>
          <w:sz w:val="20"/>
          <w:szCs w:val="20"/>
        </w:rPr>
        <w:t>2</w:t>
      </w:r>
      <w:r w:rsidRPr="00216090">
        <w:rPr>
          <w:rFonts w:ascii="Lato" w:hAnsi="Lato"/>
          <w:color w:val="1F497D"/>
          <w:sz w:val="20"/>
          <w:szCs w:val="20"/>
        </w:rPr>
        <w:fldChar w:fldCharType="end"/>
      </w:r>
      <w:r w:rsidRPr="00216090">
        <w:rPr>
          <w:rFonts w:ascii="Lato" w:hAnsi="Lato"/>
          <w:color w:val="1F497D"/>
          <w:sz w:val="20"/>
          <w:szCs w:val="20"/>
        </w:rPr>
        <w:noBreakHyphen/>
      </w:r>
      <w:r w:rsidRPr="00216090">
        <w:rPr>
          <w:rFonts w:ascii="Lato" w:hAnsi="Lato"/>
          <w:color w:val="1F497D"/>
          <w:sz w:val="20"/>
          <w:szCs w:val="20"/>
        </w:rPr>
        <w:fldChar w:fldCharType="begin"/>
      </w:r>
      <w:r w:rsidRPr="00216090">
        <w:rPr>
          <w:rFonts w:ascii="Lato" w:hAnsi="Lato"/>
          <w:color w:val="1F497D"/>
          <w:sz w:val="20"/>
          <w:szCs w:val="20"/>
        </w:rPr>
        <w:instrText xml:space="preserve"> SEQ Rysunek \* ARABIC \s 1 </w:instrText>
      </w:r>
      <w:r w:rsidRPr="00216090">
        <w:rPr>
          <w:rFonts w:ascii="Lato" w:hAnsi="Lato"/>
          <w:color w:val="1F497D"/>
          <w:sz w:val="20"/>
          <w:szCs w:val="20"/>
        </w:rPr>
        <w:fldChar w:fldCharType="separate"/>
      </w:r>
      <w:r w:rsidR="0040205B">
        <w:rPr>
          <w:rFonts w:ascii="Lato" w:hAnsi="Lato"/>
          <w:noProof/>
          <w:color w:val="1F497D"/>
          <w:sz w:val="20"/>
          <w:szCs w:val="20"/>
        </w:rPr>
        <w:t>13</w:t>
      </w:r>
      <w:r w:rsidRPr="00216090">
        <w:rPr>
          <w:rFonts w:ascii="Lato" w:hAnsi="Lato"/>
          <w:color w:val="1F497D"/>
          <w:sz w:val="20"/>
          <w:szCs w:val="20"/>
        </w:rPr>
        <w:fldChar w:fldCharType="end"/>
      </w:r>
      <w:r w:rsidRPr="00216090">
        <w:rPr>
          <w:rFonts w:ascii="Lato" w:hAnsi="Lato"/>
          <w:color w:val="1F497D"/>
          <w:sz w:val="20"/>
          <w:szCs w:val="20"/>
        </w:rPr>
        <w:t xml:space="preserve"> Obszary przekroczeń</w:t>
      </w:r>
      <w:r w:rsidRPr="00216090">
        <w:rPr>
          <w:rFonts w:ascii="Lato" w:hAnsi="Lato"/>
          <w:color w:val="1F497D"/>
          <w:sz w:val="20"/>
          <w:szCs w:val="20"/>
          <w:lang w:val="pl-PL"/>
        </w:rPr>
        <w:t xml:space="preserve"> poziomu </w:t>
      </w:r>
      <w:r w:rsidR="00D20AEC">
        <w:rPr>
          <w:rFonts w:ascii="Lato" w:hAnsi="Lato"/>
          <w:color w:val="1F497D"/>
          <w:sz w:val="20"/>
          <w:szCs w:val="20"/>
          <w:lang w:val="pl-PL"/>
        </w:rPr>
        <w:t>celu długoterminowego</w:t>
      </w:r>
      <w:r w:rsidRPr="00216090">
        <w:rPr>
          <w:rFonts w:ascii="Lato" w:hAnsi="Lato"/>
          <w:color w:val="1F497D"/>
          <w:sz w:val="20"/>
          <w:szCs w:val="20"/>
          <w:lang w:val="pl-PL"/>
        </w:rPr>
        <w:t xml:space="preserve"> ozonu</w:t>
      </w:r>
      <w:r w:rsidRPr="00216090">
        <w:rPr>
          <w:rFonts w:ascii="Lato" w:hAnsi="Lato"/>
          <w:color w:val="1F497D"/>
          <w:sz w:val="20"/>
          <w:szCs w:val="20"/>
        </w:rPr>
        <w:t xml:space="preserve"> – kryterium ochrona zdrowia ludzi</w:t>
      </w:r>
      <w:bookmarkEnd w:id="165"/>
    </w:p>
    <w:p w:rsidR="00737D78" w:rsidRPr="00216090" w:rsidRDefault="00737D78" w:rsidP="00737D78">
      <w:pPr>
        <w:ind w:firstLine="0"/>
        <w:jc w:val="center"/>
        <w:rPr>
          <w:rFonts w:ascii="Lato" w:hAnsi="Lato"/>
          <w:color w:val="1F497D"/>
        </w:rPr>
      </w:pPr>
      <w:r w:rsidRPr="00216090">
        <w:rPr>
          <w:rFonts w:ascii="Lato" w:hAnsi="Lato"/>
          <w:bCs/>
          <w:i/>
          <w:spacing w:val="-2"/>
          <w:sz w:val="20"/>
          <w:szCs w:val="20"/>
        </w:rPr>
        <w:t>Źródło: Roczna ocena jakości powietrza w województwie łódzkim w 2017 roku</w:t>
      </w:r>
    </w:p>
    <w:p w:rsidR="00835EDC" w:rsidRPr="00216090" w:rsidRDefault="00835EDC" w:rsidP="00230823">
      <w:pPr>
        <w:pStyle w:val="tabela"/>
        <w:widowControl/>
        <w:overflowPunct/>
        <w:autoSpaceDE/>
        <w:autoSpaceDN/>
        <w:adjustRightInd/>
        <w:spacing w:before="0" w:line="312" w:lineRule="auto"/>
        <w:ind w:firstLine="0"/>
        <w:textAlignment w:val="auto"/>
        <w:rPr>
          <w:rFonts w:ascii="Lato" w:hAnsi="Lato"/>
          <w:sz w:val="22"/>
          <w:szCs w:val="22"/>
        </w:rPr>
      </w:pPr>
    </w:p>
    <w:p w:rsidR="00230823" w:rsidRPr="00216090" w:rsidRDefault="0006260E" w:rsidP="008D0B36">
      <w:pPr>
        <w:pStyle w:val="Legenda"/>
        <w:tabs>
          <w:tab w:val="left" w:pos="1701"/>
          <w:tab w:val="left" w:pos="7655"/>
        </w:tabs>
        <w:jc w:val="center"/>
        <w:rPr>
          <w:rFonts w:ascii="Lato" w:hAnsi="Lato"/>
        </w:rPr>
      </w:pPr>
      <w:bookmarkStart w:id="166" w:name="_Toc328633153"/>
      <w:bookmarkStart w:id="167" w:name="_Toc336419369"/>
      <w:bookmarkStart w:id="168" w:name="_Toc336943687"/>
      <w:bookmarkStart w:id="169" w:name="_Toc341695896"/>
      <w:r>
        <w:rPr>
          <w:rFonts w:ascii="Lato" w:hAnsi="Lato"/>
          <w:noProof/>
          <w:lang w:val="pl-PL" w:eastAsia="pl-PL"/>
        </w:rPr>
        <w:lastRenderedPageBreak/>
        <w:drawing>
          <wp:inline distT="0" distB="0" distL="0" distR="0" wp14:anchorId="527AB8C7" wp14:editId="490F7A8A">
            <wp:extent cx="5314950" cy="614362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4950" cy="6143625"/>
                    </a:xfrm>
                    <a:prstGeom prst="rect">
                      <a:avLst/>
                    </a:prstGeom>
                    <a:noFill/>
                    <a:ln>
                      <a:noFill/>
                    </a:ln>
                  </pic:spPr>
                </pic:pic>
              </a:graphicData>
            </a:graphic>
          </wp:inline>
        </w:drawing>
      </w:r>
    </w:p>
    <w:p w:rsidR="00230823" w:rsidRPr="00216090" w:rsidRDefault="00230823" w:rsidP="00B72C93">
      <w:pPr>
        <w:pStyle w:val="Legenda"/>
        <w:jc w:val="center"/>
        <w:rPr>
          <w:rFonts w:ascii="Lato" w:hAnsi="Lato"/>
          <w:color w:val="1F497D"/>
          <w:sz w:val="20"/>
          <w:szCs w:val="20"/>
        </w:rPr>
      </w:pPr>
      <w:bookmarkStart w:id="170" w:name="_Toc392150498"/>
      <w:bookmarkStart w:id="171" w:name="_Toc20219233"/>
      <w:r w:rsidRPr="00216090">
        <w:rPr>
          <w:rFonts w:ascii="Lato" w:hAnsi="Lato"/>
          <w:color w:val="1F497D"/>
          <w:sz w:val="20"/>
          <w:szCs w:val="20"/>
        </w:rPr>
        <w:t xml:space="preserve">Rysunek </w:t>
      </w:r>
      <w:r w:rsidR="004042AE" w:rsidRPr="00216090">
        <w:rPr>
          <w:rFonts w:ascii="Lato" w:hAnsi="Lato"/>
          <w:color w:val="1F497D"/>
          <w:sz w:val="20"/>
          <w:szCs w:val="20"/>
        </w:rPr>
        <w:fldChar w:fldCharType="begin"/>
      </w:r>
      <w:r w:rsidR="005430ED" w:rsidRPr="00216090">
        <w:rPr>
          <w:rFonts w:ascii="Lato" w:hAnsi="Lato"/>
          <w:color w:val="1F497D"/>
          <w:sz w:val="20"/>
          <w:szCs w:val="20"/>
        </w:rPr>
        <w:instrText xml:space="preserve"> STYLEREF 1 \s </w:instrText>
      </w:r>
      <w:r w:rsidR="004042AE" w:rsidRPr="00216090">
        <w:rPr>
          <w:rFonts w:ascii="Lato" w:hAnsi="Lato"/>
          <w:color w:val="1F497D"/>
          <w:sz w:val="20"/>
          <w:szCs w:val="20"/>
        </w:rPr>
        <w:fldChar w:fldCharType="separate"/>
      </w:r>
      <w:r w:rsidR="0040205B">
        <w:rPr>
          <w:rFonts w:ascii="Lato" w:hAnsi="Lato"/>
          <w:noProof/>
          <w:color w:val="1F497D"/>
          <w:sz w:val="20"/>
          <w:szCs w:val="20"/>
        </w:rPr>
        <w:t>2</w:t>
      </w:r>
      <w:r w:rsidR="004042AE" w:rsidRPr="00216090">
        <w:rPr>
          <w:rFonts w:ascii="Lato" w:hAnsi="Lato"/>
          <w:color w:val="1F497D"/>
          <w:sz w:val="20"/>
          <w:szCs w:val="20"/>
        </w:rPr>
        <w:fldChar w:fldCharType="end"/>
      </w:r>
      <w:r w:rsidR="005430ED" w:rsidRPr="00216090">
        <w:rPr>
          <w:rFonts w:ascii="Lato" w:hAnsi="Lato"/>
          <w:color w:val="1F497D"/>
          <w:sz w:val="20"/>
          <w:szCs w:val="20"/>
        </w:rPr>
        <w:noBreakHyphen/>
      </w:r>
      <w:r w:rsidR="004042AE" w:rsidRPr="00216090">
        <w:rPr>
          <w:rFonts w:ascii="Lato" w:hAnsi="Lato"/>
          <w:color w:val="1F497D"/>
          <w:sz w:val="20"/>
          <w:szCs w:val="20"/>
        </w:rPr>
        <w:fldChar w:fldCharType="begin"/>
      </w:r>
      <w:r w:rsidR="005430ED" w:rsidRPr="00216090">
        <w:rPr>
          <w:rFonts w:ascii="Lato" w:hAnsi="Lato"/>
          <w:color w:val="1F497D"/>
          <w:sz w:val="20"/>
          <w:szCs w:val="20"/>
        </w:rPr>
        <w:instrText xml:space="preserve"> SEQ Rysunek \* ARABIC \s 1 </w:instrText>
      </w:r>
      <w:r w:rsidR="004042AE" w:rsidRPr="00216090">
        <w:rPr>
          <w:rFonts w:ascii="Lato" w:hAnsi="Lato"/>
          <w:color w:val="1F497D"/>
          <w:sz w:val="20"/>
          <w:szCs w:val="20"/>
        </w:rPr>
        <w:fldChar w:fldCharType="separate"/>
      </w:r>
      <w:r w:rsidR="0040205B">
        <w:rPr>
          <w:rFonts w:ascii="Lato" w:hAnsi="Lato"/>
          <w:noProof/>
          <w:color w:val="1F497D"/>
          <w:sz w:val="20"/>
          <w:szCs w:val="20"/>
        </w:rPr>
        <w:t>14</w:t>
      </w:r>
      <w:r w:rsidR="004042AE" w:rsidRPr="00216090">
        <w:rPr>
          <w:rFonts w:ascii="Lato" w:hAnsi="Lato"/>
          <w:color w:val="1F497D"/>
          <w:sz w:val="20"/>
          <w:szCs w:val="20"/>
        </w:rPr>
        <w:fldChar w:fldCharType="end"/>
      </w:r>
      <w:bookmarkEnd w:id="166"/>
      <w:bookmarkEnd w:id="167"/>
      <w:bookmarkEnd w:id="168"/>
      <w:bookmarkEnd w:id="169"/>
      <w:r w:rsidR="00A4007F" w:rsidRPr="00216090">
        <w:rPr>
          <w:rFonts w:ascii="Lato" w:hAnsi="Lato"/>
          <w:color w:val="1F497D"/>
          <w:sz w:val="20"/>
          <w:szCs w:val="20"/>
        </w:rPr>
        <w:t xml:space="preserve"> </w:t>
      </w:r>
      <w:r w:rsidRPr="00216090">
        <w:rPr>
          <w:rFonts w:ascii="Lato" w:hAnsi="Lato"/>
          <w:color w:val="1F497D"/>
          <w:sz w:val="20"/>
          <w:szCs w:val="20"/>
        </w:rPr>
        <w:t xml:space="preserve">Obszary przekroczeń </w:t>
      </w:r>
      <w:bookmarkEnd w:id="170"/>
      <w:r w:rsidR="00A4007F" w:rsidRPr="00216090">
        <w:rPr>
          <w:rFonts w:ascii="Lato" w:hAnsi="Lato"/>
          <w:color w:val="1F497D"/>
          <w:sz w:val="20"/>
          <w:szCs w:val="20"/>
        </w:rPr>
        <w:t>średnich stężeń pyłu zawieszonego PM</w:t>
      </w:r>
      <w:r w:rsidR="00216090">
        <w:rPr>
          <w:rFonts w:ascii="Lato" w:hAnsi="Lato"/>
          <w:color w:val="1F497D"/>
          <w:sz w:val="20"/>
          <w:szCs w:val="20"/>
          <w:lang w:val="pl-PL"/>
        </w:rPr>
        <w:t>2,5</w:t>
      </w:r>
      <w:r w:rsidR="00A4007F" w:rsidRPr="00216090">
        <w:rPr>
          <w:rFonts w:ascii="Lato" w:hAnsi="Lato"/>
          <w:color w:val="1F497D"/>
          <w:sz w:val="20"/>
          <w:szCs w:val="20"/>
        </w:rPr>
        <w:t xml:space="preserve"> – kryterium ochrona zdrowia ludzi</w:t>
      </w:r>
      <w:bookmarkEnd w:id="171"/>
    </w:p>
    <w:p w:rsidR="00BC3C41" w:rsidRDefault="00BC3C41" w:rsidP="00BC3C41">
      <w:pPr>
        <w:ind w:firstLine="0"/>
        <w:jc w:val="center"/>
        <w:rPr>
          <w:rFonts w:ascii="Lato" w:hAnsi="Lato"/>
          <w:bCs/>
          <w:i/>
          <w:spacing w:val="-2"/>
          <w:sz w:val="20"/>
          <w:szCs w:val="20"/>
        </w:rPr>
      </w:pPr>
      <w:bookmarkStart w:id="172" w:name="_Toc328633154"/>
      <w:bookmarkStart w:id="173" w:name="_Toc336419370"/>
      <w:bookmarkStart w:id="174" w:name="_Toc336943688"/>
      <w:bookmarkStart w:id="175" w:name="_Toc341695897"/>
      <w:r w:rsidRPr="00216090">
        <w:rPr>
          <w:rFonts w:ascii="Lato" w:hAnsi="Lato"/>
          <w:bCs/>
          <w:i/>
          <w:spacing w:val="-2"/>
          <w:sz w:val="20"/>
          <w:szCs w:val="20"/>
        </w:rPr>
        <w:t>Źródło: Roczna ocena jakości powietrza w województwie łódzkim w 2017 roku</w:t>
      </w:r>
    </w:p>
    <w:p w:rsidR="00C156FA" w:rsidRPr="00C156FA" w:rsidRDefault="00C156FA" w:rsidP="00BC3C41">
      <w:pPr>
        <w:ind w:firstLine="0"/>
        <w:jc w:val="center"/>
        <w:rPr>
          <w:rFonts w:ascii="Lato" w:hAnsi="Lato"/>
          <w:bCs/>
          <w:i/>
          <w:spacing w:val="-2"/>
          <w:sz w:val="20"/>
          <w:szCs w:val="20"/>
        </w:rPr>
      </w:pPr>
    </w:p>
    <w:p w:rsidR="00230823" w:rsidRPr="00216090" w:rsidRDefault="0006260E" w:rsidP="008D0B36">
      <w:pPr>
        <w:pStyle w:val="Legenda"/>
        <w:tabs>
          <w:tab w:val="left" w:pos="1701"/>
          <w:tab w:val="left" w:pos="7655"/>
        </w:tabs>
        <w:jc w:val="center"/>
        <w:rPr>
          <w:rFonts w:ascii="Lato" w:hAnsi="Lato"/>
        </w:rPr>
      </w:pPr>
      <w:bookmarkStart w:id="176" w:name="_Toc328633155"/>
      <w:bookmarkStart w:id="177" w:name="_Toc336419371"/>
      <w:bookmarkStart w:id="178" w:name="_Toc336943689"/>
      <w:bookmarkStart w:id="179" w:name="_Toc341695898"/>
      <w:bookmarkEnd w:id="172"/>
      <w:bookmarkEnd w:id="173"/>
      <w:bookmarkEnd w:id="174"/>
      <w:bookmarkEnd w:id="175"/>
      <w:r>
        <w:rPr>
          <w:rFonts w:ascii="Lato" w:hAnsi="Lato"/>
          <w:noProof/>
          <w:lang w:val="pl-PL" w:eastAsia="pl-PL"/>
        </w:rPr>
        <w:lastRenderedPageBreak/>
        <w:drawing>
          <wp:inline distT="0" distB="0" distL="0" distR="0" wp14:anchorId="71DCEE93" wp14:editId="43B97390">
            <wp:extent cx="5419725" cy="6105525"/>
            <wp:effectExtent l="0" t="0" r="9525"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9725" cy="6105525"/>
                    </a:xfrm>
                    <a:prstGeom prst="rect">
                      <a:avLst/>
                    </a:prstGeom>
                    <a:noFill/>
                    <a:ln>
                      <a:noFill/>
                    </a:ln>
                  </pic:spPr>
                </pic:pic>
              </a:graphicData>
            </a:graphic>
          </wp:inline>
        </w:drawing>
      </w:r>
    </w:p>
    <w:p w:rsidR="00230823" w:rsidRPr="00216090" w:rsidRDefault="00230823" w:rsidP="00B72C93">
      <w:pPr>
        <w:pStyle w:val="Legenda"/>
        <w:jc w:val="center"/>
        <w:rPr>
          <w:rFonts w:ascii="Lato" w:hAnsi="Lato"/>
          <w:color w:val="1F497D"/>
          <w:sz w:val="20"/>
          <w:szCs w:val="20"/>
        </w:rPr>
      </w:pPr>
      <w:bookmarkStart w:id="180" w:name="_Toc392150500"/>
      <w:bookmarkStart w:id="181" w:name="_Toc20219234"/>
      <w:r w:rsidRPr="00216090">
        <w:rPr>
          <w:rFonts w:ascii="Lato" w:hAnsi="Lato"/>
          <w:color w:val="1F497D"/>
          <w:sz w:val="20"/>
          <w:szCs w:val="20"/>
        </w:rPr>
        <w:t xml:space="preserve">Rysunek </w:t>
      </w:r>
      <w:r w:rsidR="004042AE" w:rsidRPr="00216090">
        <w:rPr>
          <w:rFonts w:ascii="Lato" w:hAnsi="Lato"/>
          <w:color w:val="1F497D"/>
          <w:sz w:val="20"/>
          <w:szCs w:val="20"/>
        </w:rPr>
        <w:fldChar w:fldCharType="begin"/>
      </w:r>
      <w:r w:rsidR="005430ED" w:rsidRPr="00216090">
        <w:rPr>
          <w:rFonts w:ascii="Lato" w:hAnsi="Lato"/>
          <w:color w:val="1F497D"/>
          <w:sz w:val="20"/>
          <w:szCs w:val="20"/>
        </w:rPr>
        <w:instrText xml:space="preserve"> STYLEREF 1 \s </w:instrText>
      </w:r>
      <w:r w:rsidR="004042AE" w:rsidRPr="00216090">
        <w:rPr>
          <w:rFonts w:ascii="Lato" w:hAnsi="Lato"/>
          <w:color w:val="1F497D"/>
          <w:sz w:val="20"/>
          <w:szCs w:val="20"/>
        </w:rPr>
        <w:fldChar w:fldCharType="separate"/>
      </w:r>
      <w:r w:rsidR="0040205B">
        <w:rPr>
          <w:rFonts w:ascii="Lato" w:hAnsi="Lato"/>
          <w:noProof/>
          <w:color w:val="1F497D"/>
          <w:sz w:val="20"/>
          <w:szCs w:val="20"/>
        </w:rPr>
        <w:t>2</w:t>
      </w:r>
      <w:r w:rsidR="004042AE" w:rsidRPr="00216090">
        <w:rPr>
          <w:rFonts w:ascii="Lato" w:hAnsi="Lato"/>
          <w:color w:val="1F497D"/>
          <w:sz w:val="20"/>
          <w:szCs w:val="20"/>
        </w:rPr>
        <w:fldChar w:fldCharType="end"/>
      </w:r>
      <w:r w:rsidR="005430ED" w:rsidRPr="00216090">
        <w:rPr>
          <w:rFonts w:ascii="Lato" w:hAnsi="Lato"/>
          <w:color w:val="1F497D"/>
          <w:sz w:val="20"/>
          <w:szCs w:val="20"/>
        </w:rPr>
        <w:noBreakHyphen/>
      </w:r>
      <w:r w:rsidR="004042AE" w:rsidRPr="00216090">
        <w:rPr>
          <w:rFonts w:ascii="Lato" w:hAnsi="Lato"/>
          <w:color w:val="1F497D"/>
          <w:sz w:val="20"/>
          <w:szCs w:val="20"/>
        </w:rPr>
        <w:fldChar w:fldCharType="begin"/>
      </w:r>
      <w:r w:rsidR="005430ED" w:rsidRPr="00216090">
        <w:rPr>
          <w:rFonts w:ascii="Lato" w:hAnsi="Lato"/>
          <w:color w:val="1F497D"/>
          <w:sz w:val="20"/>
          <w:szCs w:val="20"/>
        </w:rPr>
        <w:instrText xml:space="preserve"> SEQ Rysunek \* ARABIC \s 1 </w:instrText>
      </w:r>
      <w:r w:rsidR="004042AE" w:rsidRPr="00216090">
        <w:rPr>
          <w:rFonts w:ascii="Lato" w:hAnsi="Lato"/>
          <w:color w:val="1F497D"/>
          <w:sz w:val="20"/>
          <w:szCs w:val="20"/>
        </w:rPr>
        <w:fldChar w:fldCharType="separate"/>
      </w:r>
      <w:r w:rsidR="0040205B">
        <w:rPr>
          <w:rFonts w:ascii="Lato" w:hAnsi="Lato"/>
          <w:noProof/>
          <w:color w:val="1F497D"/>
          <w:sz w:val="20"/>
          <w:szCs w:val="20"/>
        </w:rPr>
        <w:t>15</w:t>
      </w:r>
      <w:r w:rsidR="004042AE" w:rsidRPr="00216090">
        <w:rPr>
          <w:rFonts w:ascii="Lato" w:hAnsi="Lato"/>
          <w:color w:val="1F497D"/>
          <w:sz w:val="20"/>
          <w:szCs w:val="20"/>
        </w:rPr>
        <w:fldChar w:fldCharType="end"/>
      </w:r>
      <w:bookmarkEnd w:id="176"/>
      <w:bookmarkEnd w:id="177"/>
      <w:bookmarkEnd w:id="178"/>
      <w:bookmarkEnd w:id="179"/>
      <w:r w:rsidR="00291D28" w:rsidRPr="00216090">
        <w:rPr>
          <w:rFonts w:ascii="Lato" w:hAnsi="Lato"/>
          <w:color w:val="1F497D"/>
          <w:sz w:val="20"/>
          <w:szCs w:val="20"/>
        </w:rPr>
        <w:t xml:space="preserve"> </w:t>
      </w:r>
      <w:r w:rsidRPr="00216090">
        <w:rPr>
          <w:rFonts w:ascii="Lato" w:hAnsi="Lato"/>
          <w:color w:val="1F497D"/>
          <w:sz w:val="20"/>
          <w:szCs w:val="20"/>
        </w:rPr>
        <w:t>Obszary przekroczeń średnich stężeń rocznych pyłu PM</w:t>
      </w:r>
      <w:r w:rsidR="00216090">
        <w:rPr>
          <w:rFonts w:ascii="Lato" w:hAnsi="Lato"/>
          <w:color w:val="1F497D"/>
          <w:sz w:val="20"/>
          <w:szCs w:val="20"/>
          <w:lang w:val="pl-PL"/>
        </w:rPr>
        <w:t>10</w:t>
      </w:r>
      <w:r w:rsidRPr="00216090">
        <w:rPr>
          <w:rFonts w:ascii="Lato" w:hAnsi="Lato"/>
          <w:color w:val="1F497D"/>
          <w:sz w:val="20"/>
          <w:szCs w:val="20"/>
        </w:rPr>
        <w:t xml:space="preserve"> - kryterium ochrona zdrowia ludzi</w:t>
      </w:r>
      <w:bookmarkEnd w:id="180"/>
      <w:bookmarkEnd w:id="181"/>
    </w:p>
    <w:p w:rsidR="00BC3C41" w:rsidRDefault="00BC3C41" w:rsidP="00BC3C41">
      <w:pPr>
        <w:ind w:firstLine="0"/>
        <w:jc w:val="center"/>
        <w:rPr>
          <w:rFonts w:ascii="Lato" w:hAnsi="Lato"/>
          <w:bCs/>
          <w:i/>
          <w:spacing w:val="-2"/>
          <w:sz w:val="20"/>
          <w:szCs w:val="20"/>
        </w:rPr>
      </w:pPr>
      <w:bookmarkStart w:id="182" w:name="_Toc328633156"/>
      <w:bookmarkStart w:id="183" w:name="_Toc336419372"/>
      <w:bookmarkStart w:id="184" w:name="_Toc336943690"/>
      <w:bookmarkStart w:id="185" w:name="_Toc341695899"/>
      <w:r w:rsidRPr="00216090">
        <w:rPr>
          <w:rFonts w:ascii="Lato" w:hAnsi="Lato"/>
          <w:bCs/>
          <w:i/>
          <w:spacing w:val="-2"/>
          <w:sz w:val="20"/>
          <w:szCs w:val="20"/>
        </w:rPr>
        <w:t>Źródło: Roczna ocena jakości powietrza w województwie łódzkim w 2017 roku</w:t>
      </w:r>
    </w:p>
    <w:p w:rsidR="00C156FA" w:rsidRPr="00C156FA" w:rsidRDefault="00C156FA" w:rsidP="00BC3C41">
      <w:pPr>
        <w:ind w:firstLine="0"/>
        <w:jc w:val="center"/>
        <w:rPr>
          <w:rFonts w:ascii="Lato" w:hAnsi="Lato"/>
          <w:bCs/>
          <w:i/>
          <w:spacing w:val="-2"/>
          <w:sz w:val="20"/>
          <w:szCs w:val="20"/>
        </w:rPr>
      </w:pPr>
    </w:p>
    <w:p w:rsidR="00230823" w:rsidRPr="00216090" w:rsidRDefault="0006260E" w:rsidP="008D0B36">
      <w:pPr>
        <w:ind w:firstLine="0"/>
        <w:jc w:val="center"/>
        <w:rPr>
          <w:rFonts w:ascii="Lato" w:hAnsi="Lato"/>
        </w:rPr>
      </w:pPr>
      <w:r>
        <w:rPr>
          <w:rFonts w:ascii="Lato" w:hAnsi="Lato"/>
          <w:bCs/>
          <w:i/>
          <w:noProof/>
          <w:spacing w:val="-2"/>
          <w:sz w:val="20"/>
          <w:szCs w:val="20"/>
        </w:rPr>
        <w:lastRenderedPageBreak/>
        <w:drawing>
          <wp:inline distT="0" distB="0" distL="0" distR="0" wp14:anchorId="3C934663" wp14:editId="79000D17">
            <wp:extent cx="5534025" cy="6115050"/>
            <wp:effectExtent l="0" t="0" r="952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4025" cy="6115050"/>
                    </a:xfrm>
                    <a:prstGeom prst="rect">
                      <a:avLst/>
                    </a:prstGeom>
                    <a:noFill/>
                    <a:ln>
                      <a:noFill/>
                    </a:ln>
                  </pic:spPr>
                </pic:pic>
              </a:graphicData>
            </a:graphic>
          </wp:inline>
        </w:drawing>
      </w:r>
    </w:p>
    <w:p w:rsidR="00230823" w:rsidRPr="00216090" w:rsidRDefault="00230823" w:rsidP="00B72C93">
      <w:pPr>
        <w:pStyle w:val="Legenda"/>
        <w:jc w:val="center"/>
        <w:rPr>
          <w:rFonts w:ascii="Lato" w:hAnsi="Lato"/>
          <w:color w:val="1F497D"/>
          <w:sz w:val="20"/>
          <w:szCs w:val="20"/>
        </w:rPr>
      </w:pPr>
      <w:bookmarkStart w:id="186" w:name="_Toc392150501"/>
      <w:bookmarkStart w:id="187" w:name="_Toc20219235"/>
      <w:r w:rsidRPr="00216090">
        <w:rPr>
          <w:rFonts w:ascii="Lato" w:hAnsi="Lato"/>
          <w:color w:val="1F497D"/>
          <w:sz w:val="20"/>
          <w:szCs w:val="20"/>
        </w:rPr>
        <w:t xml:space="preserve">Rysunek </w:t>
      </w:r>
      <w:r w:rsidR="004042AE" w:rsidRPr="00216090">
        <w:rPr>
          <w:rFonts w:ascii="Lato" w:hAnsi="Lato"/>
          <w:color w:val="1F497D"/>
          <w:sz w:val="20"/>
          <w:szCs w:val="20"/>
        </w:rPr>
        <w:fldChar w:fldCharType="begin"/>
      </w:r>
      <w:r w:rsidR="005430ED" w:rsidRPr="00216090">
        <w:rPr>
          <w:rFonts w:ascii="Lato" w:hAnsi="Lato"/>
          <w:color w:val="1F497D"/>
          <w:sz w:val="20"/>
          <w:szCs w:val="20"/>
        </w:rPr>
        <w:instrText xml:space="preserve"> STYLEREF 1 \s </w:instrText>
      </w:r>
      <w:r w:rsidR="004042AE" w:rsidRPr="00216090">
        <w:rPr>
          <w:rFonts w:ascii="Lato" w:hAnsi="Lato"/>
          <w:color w:val="1F497D"/>
          <w:sz w:val="20"/>
          <w:szCs w:val="20"/>
        </w:rPr>
        <w:fldChar w:fldCharType="separate"/>
      </w:r>
      <w:r w:rsidR="0040205B">
        <w:rPr>
          <w:rFonts w:ascii="Lato" w:hAnsi="Lato"/>
          <w:noProof/>
          <w:color w:val="1F497D"/>
          <w:sz w:val="20"/>
          <w:szCs w:val="20"/>
        </w:rPr>
        <w:t>2</w:t>
      </w:r>
      <w:r w:rsidR="004042AE" w:rsidRPr="00216090">
        <w:rPr>
          <w:rFonts w:ascii="Lato" w:hAnsi="Lato"/>
          <w:color w:val="1F497D"/>
          <w:sz w:val="20"/>
          <w:szCs w:val="20"/>
        </w:rPr>
        <w:fldChar w:fldCharType="end"/>
      </w:r>
      <w:r w:rsidR="005430ED" w:rsidRPr="00216090">
        <w:rPr>
          <w:rFonts w:ascii="Lato" w:hAnsi="Lato"/>
          <w:color w:val="1F497D"/>
          <w:sz w:val="20"/>
          <w:szCs w:val="20"/>
        </w:rPr>
        <w:noBreakHyphen/>
      </w:r>
      <w:r w:rsidR="004042AE" w:rsidRPr="00216090">
        <w:rPr>
          <w:rFonts w:ascii="Lato" w:hAnsi="Lato"/>
          <w:color w:val="1F497D"/>
          <w:sz w:val="20"/>
          <w:szCs w:val="20"/>
        </w:rPr>
        <w:fldChar w:fldCharType="begin"/>
      </w:r>
      <w:r w:rsidR="005430ED" w:rsidRPr="00216090">
        <w:rPr>
          <w:rFonts w:ascii="Lato" w:hAnsi="Lato"/>
          <w:color w:val="1F497D"/>
          <w:sz w:val="20"/>
          <w:szCs w:val="20"/>
        </w:rPr>
        <w:instrText xml:space="preserve"> SEQ Rysunek \* ARABIC \s 1 </w:instrText>
      </w:r>
      <w:r w:rsidR="004042AE" w:rsidRPr="00216090">
        <w:rPr>
          <w:rFonts w:ascii="Lato" w:hAnsi="Lato"/>
          <w:color w:val="1F497D"/>
          <w:sz w:val="20"/>
          <w:szCs w:val="20"/>
        </w:rPr>
        <w:fldChar w:fldCharType="separate"/>
      </w:r>
      <w:r w:rsidR="0040205B">
        <w:rPr>
          <w:rFonts w:ascii="Lato" w:hAnsi="Lato"/>
          <w:noProof/>
          <w:color w:val="1F497D"/>
          <w:sz w:val="20"/>
          <w:szCs w:val="20"/>
        </w:rPr>
        <w:t>16</w:t>
      </w:r>
      <w:r w:rsidR="004042AE" w:rsidRPr="00216090">
        <w:rPr>
          <w:rFonts w:ascii="Lato" w:hAnsi="Lato"/>
          <w:color w:val="1F497D"/>
          <w:sz w:val="20"/>
          <w:szCs w:val="20"/>
        </w:rPr>
        <w:fldChar w:fldCharType="end"/>
      </w:r>
      <w:bookmarkEnd w:id="182"/>
      <w:bookmarkEnd w:id="183"/>
      <w:bookmarkEnd w:id="184"/>
      <w:bookmarkEnd w:id="185"/>
      <w:r w:rsidR="00291D28" w:rsidRPr="00216090">
        <w:rPr>
          <w:rFonts w:ascii="Lato" w:hAnsi="Lato"/>
          <w:color w:val="1F497D"/>
          <w:sz w:val="20"/>
          <w:szCs w:val="20"/>
        </w:rPr>
        <w:t xml:space="preserve"> </w:t>
      </w:r>
      <w:r w:rsidRPr="00216090">
        <w:rPr>
          <w:rFonts w:ascii="Lato" w:hAnsi="Lato"/>
          <w:color w:val="1F497D"/>
          <w:sz w:val="20"/>
          <w:szCs w:val="20"/>
        </w:rPr>
        <w:t>Obszary przekroczeń ś</w:t>
      </w:r>
      <w:r w:rsidR="00E559E3" w:rsidRPr="00216090">
        <w:rPr>
          <w:rFonts w:ascii="Lato" w:hAnsi="Lato"/>
          <w:color w:val="1F497D"/>
          <w:sz w:val="20"/>
          <w:szCs w:val="20"/>
        </w:rPr>
        <w:t>rednich stężeń rocznych benzo(</w:t>
      </w:r>
      <w:r w:rsidR="009026E9" w:rsidRPr="00216090">
        <w:rPr>
          <w:rFonts w:ascii="Lato" w:hAnsi="Lato"/>
          <w:color w:val="1F497D"/>
          <w:sz w:val="20"/>
          <w:szCs w:val="20"/>
        </w:rPr>
        <w:t>a</w:t>
      </w:r>
      <w:r w:rsidR="00E559E3" w:rsidRPr="00216090">
        <w:rPr>
          <w:rFonts w:ascii="Lato" w:hAnsi="Lato"/>
          <w:color w:val="1F497D"/>
          <w:sz w:val="20"/>
          <w:szCs w:val="20"/>
        </w:rPr>
        <w:t>)</w:t>
      </w:r>
      <w:r w:rsidRPr="00216090">
        <w:rPr>
          <w:rFonts w:ascii="Lato" w:hAnsi="Lato"/>
          <w:color w:val="1F497D"/>
          <w:sz w:val="20"/>
          <w:szCs w:val="20"/>
        </w:rPr>
        <w:t>pirenu - kryterium ochrona zdrowia ludzi</w:t>
      </w:r>
      <w:bookmarkEnd w:id="186"/>
      <w:bookmarkEnd w:id="187"/>
    </w:p>
    <w:p w:rsidR="00BC3C41" w:rsidRPr="00C156FA" w:rsidRDefault="00BC3C41" w:rsidP="00BC3C41">
      <w:pPr>
        <w:ind w:firstLine="0"/>
        <w:jc w:val="center"/>
        <w:rPr>
          <w:rFonts w:ascii="Lato" w:hAnsi="Lato"/>
          <w:bCs/>
          <w:i/>
          <w:spacing w:val="-2"/>
          <w:sz w:val="20"/>
          <w:szCs w:val="20"/>
        </w:rPr>
      </w:pPr>
      <w:r w:rsidRPr="00BC3C41">
        <w:rPr>
          <w:rFonts w:ascii="Lato" w:hAnsi="Lato"/>
          <w:bCs/>
          <w:i/>
          <w:spacing w:val="-2"/>
          <w:sz w:val="20"/>
          <w:szCs w:val="20"/>
        </w:rPr>
        <w:t>Źródło: Roczna ocena jakości powietrza w województwie łódzkim w 2017 roku</w:t>
      </w:r>
    </w:p>
    <w:p w:rsidR="00230823" w:rsidRPr="00D352C4" w:rsidRDefault="00230823" w:rsidP="00230823">
      <w:pPr>
        <w:spacing w:before="40" w:after="40"/>
        <w:jc w:val="both"/>
        <w:rPr>
          <w:rFonts w:ascii="Lato" w:hAnsi="Lato"/>
          <w:highlight w:val="yellow"/>
        </w:rPr>
      </w:pPr>
    </w:p>
    <w:p w:rsidR="00230823" w:rsidRPr="00FA451A" w:rsidRDefault="00230823" w:rsidP="00617C1D">
      <w:pPr>
        <w:pStyle w:val="StylTekstpodstawowyArial11pt"/>
        <w:ind w:firstLine="709"/>
        <w:rPr>
          <w:rFonts w:ascii="Lato" w:hAnsi="Lato"/>
        </w:rPr>
      </w:pPr>
      <w:r w:rsidRPr="00FA451A">
        <w:rPr>
          <w:rFonts w:ascii="Lato" w:hAnsi="Lato"/>
        </w:rPr>
        <w:t xml:space="preserve">Na terenie województwa </w:t>
      </w:r>
      <w:r w:rsidR="00FA451A" w:rsidRPr="00FA451A">
        <w:rPr>
          <w:rFonts w:ascii="Lato" w:hAnsi="Lato"/>
        </w:rPr>
        <w:t>łódz</w:t>
      </w:r>
      <w:r w:rsidRPr="00FA451A">
        <w:rPr>
          <w:rFonts w:ascii="Lato" w:hAnsi="Lato"/>
        </w:rPr>
        <w:t>kiego wydzielon</w:t>
      </w:r>
      <w:r w:rsidR="00FA451A" w:rsidRPr="00FA451A">
        <w:rPr>
          <w:rFonts w:ascii="Lato" w:hAnsi="Lato"/>
        </w:rPr>
        <w:t>o 2</w:t>
      </w:r>
      <w:r w:rsidRPr="00FA451A">
        <w:rPr>
          <w:rFonts w:ascii="Lato" w:hAnsi="Lato"/>
        </w:rPr>
        <w:t xml:space="preserve"> stref</w:t>
      </w:r>
      <w:r w:rsidR="00FA451A" w:rsidRPr="00FA451A">
        <w:rPr>
          <w:rFonts w:ascii="Lato" w:hAnsi="Lato"/>
        </w:rPr>
        <w:t>y</w:t>
      </w:r>
      <w:r w:rsidRPr="00FA451A">
        <w:rPr>
          <w:rFonts w:ascii="Lato" w:hAnsi="Lato"/>
        </w:rPr>
        <w:t xml:space="preserve"> zgodnie rozporządzeniem Ministra Środowiska z dnia 10 sierpnia 2012 w sprawie stref, w których dokonuje się o</w:t>
      </w:r>
      <w:r w:rsidR="004C0082" w:rsidRPr="00FA451A">
        <w:rPr>
          <w:rFonts w:ascii="Lato" w:hAnsi="Lato"/>
        </w:rPr>
        <w:t>ceny jakości powietrza (Dz.</w:t>
      </w:r>
      <w:r w:rsidR="00B83BEC">
        <w:rPr>
          <w:rFonts w:ascii="Lato" w:hAnsi="Lato"/>
        </w:rPr>
        <w:t xml:space="preserve"> </w:t>
      </w:r>
      <w:r w:rsidRPr="00FA451A">
        <w:rPr>
          <w:rFonts w:ascii="Lato" w:hAnsi="Lato"/>
        </w:rPr>
        <w:t>U. 2012, poz. 914). Strefy te zostały wymien</w:t>
      </w:r>
      <w:r w:rsidR="00D03562">
        <w:rPr>
          <w:rFonts w:ascii="Lato" w:hAnsi="Lato"/>
        </w:rPr>
        <w:t>ione poniżej i przedstawione na </w:t>
      </w:r>
      <w:r w:rsidRPr="00FA451A">
        <w:rPr>
          <w:rFonts w:ascii="Lato" w:hAnsi="Lato"/>
        </w:rPr>
        <w:t xml:space="preserve">rysunku </w:t>
      </w:r>
      <w:r w:rsidR="0002679A" w:rsidRPr="00FA451A">
        <w:rPr>
          <w:rFonts w:ascii="Lato" w:hAnsi="Lato"/>
        </w:rPr>
        <w:t>2-</w:t>
      </w:r>
      <w:r w:rsidR="00D941F6" w:rsidRPr="00FA451A">
        <w:rPr>
          <w:rFonts w:ascii="Lato" w:hAnsi="Lato"/>
        </w:rPr>
        <w:t>1</w:t>
      </w:r>
      <w:r w:rsidR="00362922">
        <w:rPr>
          <w:rFonts w:ascii="Lato" w:hAnsi="Lato"/>
        </w:rPr>
        <w:t>7</w:t>
      </w:r>
      <w:r w:rsidRPr="00FA451A">
        <w:rPr>
          <w:rFonts w:ascii="Lato" w:hAnsi="Lato"/>
        </w:rPr>
        <w:t>:</w:t>
      </w:r>
    </w:p>
    <w:p w:rsidR="00230823" w:rsidRPr="001073C6" w:rsidRDefault="00230823" w:rsidP="00617C1D">
      <w:pPr>
        <w:pStyle w:val="Tekstpodstawowy"/>
        <w:numPr>
          <w:ilvl w:val="0"/>
          <w:numId w:val="83"/>
        </w:numPr>
        <w:tabs>
          <w:tab w:val="clear" w:pos="360"/>
        </w:tabs>
        <w:ind w:left="709" w:hanging="425"/>
        <w:rPr>
          <w:rFonts w:ascii="Lato" w:hAnsi="Lato" w:cs="Times New Roman"/>
        </w:rPr>
      </w:pPr>
      <w:r w:rsidRPr="001073C6">
        <w:rPr>
          <w:rFonts w:ascii="Lato" w:hAnsi="Lato" w:cs="Times New Roman"/>
        </w:rPr>
        <w:t xml:space="preserve">aglomeracja </w:t>
      </w:r>
      <w:r w:rsidR="00FA451A" w:rsidRPr="001073C6">
        <w:rPr>
          <w:rFonts w:ascii="Lato" w:hAnsi="Lato" w:cs="Times New Roman"/>
        </w:rPr>
        <w:t>łódzka</w:t>
      </w:r>
      <w:r w:rsidRPr="001073C6">
        <w:rPr>
          <w:rFonts w:ascii="Lato" w:hAnsi="Lato" w:cs="Times New Roman"/>
        </w:rPr>
        <w:t>,</w:t>
      </w:r>
    </w:p>
    <w:p w:rsidR="00230823" w:rsidRDefault="00230823" w:rsidP="00617C1D">
      <w:pPr>
        <w:pStyle w:val="Tekstpodstawowy"/>
        <w:numPr>
          <w:ilvl w:val="0"/>
          <w:numId w:val="83"/>
        </w:numPr>
        <w:tabs>
          <w:tab w:val="clear" w:pos="360"/>
        </w:tabs>
        <w:ind w:left="709" w:hanging="425"/>
        <w:rPr>
          <w:rFonts w:ascii="Lato" w:hAnsi="Lato" w:cs="Times New Roman"/>
        </w:rPr>
      </w:pPr>
      <w:r w:rsidRPr="001073C6">
        <w:rPr>
          <w:rFonts w:ascii="Lato" w:hAnsi="Lato" w:cs="Times New Roman"/>
        </w:rPr>
        <w:t xml:space="preserve">strefa </w:t>
      </w:r>
      <w:r w:rsidR="00FA451A" w:rsidRPr="001073C6">
        <w:rPr>
          <w:rFonts w:ascii="Lato" w:hAnsi="Lato" w:cs="Times New Roman"/>
        </w:rPr>
        <w:t>łódzka</w:t>
      </w:r>
      <w:r w:rsidR="0062477D" w:rsidRPr="001073C6">
        <w:rPr>
          <w:rFonts w:ascii="Lato" w:hAnsi="Lato" w:cs="Times New Roman"/>
        </w:rPr>
        <w:t xml:space="preserve"> (do tej strefy należy Gmina </w:t>
      </w:r>
      <w:r w:rsidR="00FA451A" w:rsidRPr="001073C6">
        <w:rPr>
          <w:rFonts w:ascii="Lato" w:hAnsi="Lato" w:cs="Times New Roman"/>
        </w:rPr>
        <w:t>Pabianice</w:t>
      </w:r>
      <w:r w:rsidR="0062477D" w:rsidRPr="001073C6">
        <w:rPr>
          <w:rFonts w:ascii="Lato" w:hAnsi="Lato" w:cs="Times New Roman"/>
        </w:rPr>
        <w:t>)</w:t>
      </w:r>
      <w:r w:rsidRPr="001073C6">
        <w:rPr>
          <w:rFonts w:ascii="Lato" w:hAnsi="Lato" w:cs="Times New Roman"/>
        </w:rPr>
        <w:t>.</w:t>
      </w:r>
    </w:p>
    <w:p w:rsidR="001073C6" w:rsidRPr="001073C6" w:rsidRDefault="001073C6" w:rsidP="001073C6">
      <w:pPr>
        <w:pStyle w:val="Tekstpodstawowy"/>
        <w:ind w:left="709"/>
        <w:rPr>
          <w:rFonts w:ascii="Lato" w:hAnsi="Lato" w:cs="Times New Roman"/>
        </w:rPr>
      </w:pPr>
    </w:p>
    <w:p w:rsidR="00230823" w:rsidRPr="001073C6" w:rsidRDefault="0006260E" w:rsidP="008D0B36">
      <w:pPr>
        <w:pStyle w:val="StylTekstpodstawowyArial11pt"/>
        <w:tabs>
          <w:tab w:val="left" w:pos="1701"/>
          <w:tab w:val="left" w:pos="7655"/>
        </w:tabs>
        <w:jc w:val="center"/>
        <w:rPr>
          <w:rFonts w:ascii="Lato" w:hAnsi="Lato"/>
        </w:rPr>
      </w:pPr>
      <w:r>
        <w:rPr>
          <w:rFonts w:ascii="Lato" w:hAnsi="Lato"/>
          <w:noProof/>
        </w:rPr>
        <w:lastRenderedPageBreak/>
        <w:drawing>
          <wp:inline distT="0" distB="0" distL="0" distR="0" wp14:anchorId="1203365A" wp14:editId="2048CC13">
            <wp:extent cx="5876925" cy="6524625"/>
            <wp:effectExtent l="0" t="0" r="9525"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6925" cy="6524625"/>
                    </a:xfrm>
                    <a:prstGeom prst="rect">
                      <a:avLst/>
                    </a:prstGeom>
                    <a:noFill/>
                    <a:ln>
                      <a:noFill/>
                    </a:ln>
                  </pic:spPr>
                </pic:pic>
              </a:graphicData>
            </a:graphic>
          </wp:inline>
        </w:drawing>
      </w:r>
    </w:p>
    <w:p w:rsidR="00230823" w:rsidRPr="00FA451A" w:rsidRDefault="00230823" w:rsidP="00B72C93">
      <w:pPr>
        <w:pStyle w:val="Legenda"/>
        <w:jc w:val="center"/>
        <w:rPr>
          <w:rFonts w:ascii="Lato" w:hAnsi="Lato"/>
          <w:color w:val="1F497D"/>
          <w:sz w:val="20"/>
          <w:szCs w:val="20"/>
        </w:rPr>
      </w:pPr>
      <w:bookmarkStart w:id="188" w:name="_Toc328633157"/>
      <w:bookmarkStart w:id="189" w:name="_Toc336419373"/>
      <w:bookmarkStart w:id="190" w:name="_Toc336943691"/>
      <w:bookmarkStart w:id="191" w:name="_Toc341695900"/>
      <w:bookmarkStart w:id="192" w:name="_Toc392150502"/>
      <w:bookmarkStart w:id="193" w:name="_Toc20219236"/>
      <w:bookmarkStart w:id="194" w:name="OLE_LINK16"/>
      <w:bookmarkStart w:id="195" w:name="OLE_LINK17"/>
      <w:r w:rsidRPr="001073C6">
        <w:rPr>
          <w:rFonts w:ascii="Lato" w:hAnsi="Lato"/>
          <w:color w:val="1F497D"/>
          <w:sz w:val="20"/>
          <w:szCs w:val="20"/>
        </w:rPr>
        <w:t xml:space="preserve">Rysunek </w:t>
      </w:r>
      <w:r w:rsidR="004042AE" w:rsidRPr="001073C6">
        <w:rPr>
          <w:rFonts w:ascii="Lato" w:hAnsi="Lato"/>
          <w:color w:val="1F497D"/>
          <w:sz w:val="20"/>
          <w:szCs w:val="20"/>
        </w:rPr>
        <w:fldChar w:fldCharType="begin"/>
      </w:r>
      <w:r w:rsidR="005430ED" w:rsidRPr="001073C6">
        <w:rPr>
          <w:rFonts w:ascii="Lato" w:hAnsi="Lato"/>
          <w:color w:val="1F497D"/>
          <w:sz w:val="20"/>
          <w:szCs w:val="20"/>
        </w:rPr>
        <w:instrText xml:space="preserve"> STYLEREF 1 \s </w:instrText>
      </w:r>
      <w:r w:rsidR="004042AE" w:rsidRPr="001073C6">
        <w:rPr>
          <w:rFonts w:ascii="Lato" w:hAnsi="Lato"/>
          <w:color w:val="1F497D"/>
          <w:sz w:val="20"/>
          <w:szCs w:val="20"/>
        </w:rPr>
        <w:fldChar w:fldCharType="separate"/>
      </w:r>
      <w:r w:rsidR="0040205B">
        <w:rPr>
          <w:rFonts w:ascii="Lato" w:hAnsi="Lato"/>
          <w:noProof/>
          <w:color w:val="1F497D"/>
          <w:sz w:val="20"/>
          <w:szCs w:val="20"/>
        </w:rPr>
        <w:t>2</w:t>
      </w:r>
      <w:r w:rsidR="004042AE" w:rsidRPr="001073C6">
        <w:rPr>
          <w:rFonts w:ascii="Lato" w:hAnsi="Lato"/>
          <w:color w:val="1F497D"/>
          <w:sz w:val="20"/>
          <w:szCs w:val="20"/>
        </w:rPr>
        <w:fldChar w:fldCharType="end"/>
      </w:r>
      <w:r w:rsidR="005430ED" w:rsidRPr="001073C6">
        <w:rPr>
          <w:rFonts w:ascii="Lato" w:hAnsi="Lato"/>
          <w:color w:val="1F497D"/>
          <w:sz w:val="20"/>
          <w:szCs w:val="20"/>
        </w:rPr>
        <w:noBreakHyphen/>
      </w:r>
      <w:r w:rsidR="004042AE" w:rsidRPr="001073C6">
        <w:rPr>
          <w:rFonts w:ascii="Lato" w:hAnsi="Lato"/>
          <w:color w:val="1F497D"/>
          <w:sz w:val="20"/>
          <w:szCs w:val="20"/>
        </w:rPr>
        <w:fldChar w:fldCharType="begin"/>
      </w:r>
      <w:r w:rsidR="005430ED" w:rsidRPr="001073C6">
        <w:rPr>
          <w:rFonts w:ascii="Lato" w:hAnsi="Lato"/>
          <w:color w:val="1F497D"/>
          <w:sz w:val="20"/>
          <w:szCs w:val="20"/>
        </w:rPr>
        <w:instrText xml:space="preserve"> SEQ Rysunek \* ARABIC \s 1 </w:instrText>
      </w:r>
      <w:r w:rsidR="004042AE" w:rsidRPr="001073C6">
        <w:rPr>
          <w:rFonts w:ascii="Lato" w:hAnsi="Lato"/>
          <w:color w:val="1F497D"/>
          <w:sz w:val="20"/>
          <w:szCs w:val="20"/>
        </w:rPr>
        <w:fldChar w:fldCharType="separate"/>
      </w:r>
      <w:r w:rsidR="0040205B">
        <w:rPr>
          <w:rFonts w:ascii="Lato" w:hAnsi="Lato"/>
          <w:noProof/>
          <w:color w:val="1F497D"/>
          <w:sz w:val="20"/>
          <w:szCs w:val="20"/>
        </w:rPr>
        <w:t>17</w:t>
      </w:r>
      <w:r w:rsidR="004042AE" w:rsidRPr="001073C6">
        <w:rPr>
          <w:rFonts w:ascii="Lato" w:hAnsi="Lato"/>
          <w:color w:val="1F497D"/>
          <w:sz w:val="20"/>
          <w:szCs w:val="20"/>
        </w:rPr>
        <w:fldChar w:fldCharType="end"/>
      </w:r>
      <w:r w:rsidRPr="001073C6">
        <w:rPr>
          <w:rFonts w:ascii="Lato" w:hAnsi="Lato"/>
          <w:color w:val="1F497D"/>
          <w:sz w:val="20"/>
          <w:szCs w:val="20"/>
        </w:rPr>
        <w:t xml:space="preserve"> Strefy w województwie </w:t>
      </w:r>
      <w:r w:rsidR="00FA451A" w:rsidRPr="001073C6">
        <w:rPr>
          <w:rFonts w:ascii="Lato" w:hAnsi="Lato"/>
          <w:color w:val="1F497D"/>
          <w:sz w:val="20"/>
          <w:szCs w:val="20"/>
          <w:lang w:val="pl-PL"/>
        </w:rPr>
        <w:t>ł</w:t>
      </w:r>
      <w:r w:rsidR="007961B6" w:rsidRPr="001073C6">
        <w:rPr>
          <w:rFonts w:ascii="Lato" w:hAnsi="Lato"/>
          <w:color w:val="1F497D"/>
          <w:sz w:val="20"/>
          <w:szCs w:val="20"/>
          <w:lang w:val="pl-PL"/>
        </w:rPr>
        <w:t>ó</w:t>
      </w:r>
      <w:r w:rsidR="00FA451A" w:rsidRPr="001073C6">
        <w:rPr>
          <w:rFonts w:ascii="Lato" w:hAnsi="Lato"/>
          <w:color w:val="1F497D"/>
          <w:sz w:val="20"/>
          <w:szCs w:val="20"/>
          <w:lang w:val="pl-PL"/>
        </w:rPr>
        <w:t>dz</w:t>
      </w:r>
      <w:r w:rsidR="007961B6" w:rsidRPr="001073C6">
        <w:rPr>
          <w:rFonts w:ascii="Lato" w:hAnsi="Lato"/>
          <w:color w:val="1F497D"/>
          <w:sz w:val="20"/>
          <w:szCs w:val="20"/>
          <w:lang w:val="pl-PL"/>
        </w:rPr>
        <w:t>kim</w:t>
      </w:r>
      <w:r w:rsidRPr="001073C6">
        <w:rPr>
          <w:rFonts w:ascii="Lato" w:hAnsi="Lato"/>
          <w:color w:val="1F497D"/>
          <w:sz w:val="20"/>
          <w:szCs w:val="20"/>
        </w:rPr>
        <w:t>, dla których dokonano ocenę jakości powietrza</w:t>
      </w:r>
      <w:bookmarkEnd w:id="188"/>
      <w:bookmarkEnd w:id="189"/>
      <w:bookmarkEnd w:id="190"/>
      <w:bookmarkEnd w:id="191"/>
      <w:bookmarkEnd w:id="192"/>
      <w:bookmarkEnd w:id="193"/>
    </w:p>
    <w:bookmarkEnd w:id="194"/>
    <w:bookmarkEnd w:id="195"/>
    <w:p w:rsidR="004D1D83" w:rsidRPr="00D352C4" w:rsidRDefault="001B4479" w:rsidP="00701AEF">
      <w:pPr>
        <w:ind w:firstLine="0"/>
        <w:jc w:val="center"/>
        <w:rPr>
          <w:rFonts w:ascii="Lato" w:hAnsi="Lato"/>
          <w:bCs/>
          <w:i/>
          <w:spacing w:val="-2"/>
          <w:sz w:val="20"/>
          <w:szCs w:val="20"/>
          <w:highlight w:val="yellow"/>
        </w:rPr>
      </w:pPr>
      <w:r w:rsidRPr="00FA451A">
        <w:rPr>
          <w:rFonts w:ascii="Lato" w:hAnsi="Lato"/>
          <w:bCs/>
          <w:i/>
          <w:spacing w:val="-2"/>
          <w:sz w:val="20"/>
          <w:szCs w:val="20"/>
        </w:rPr>
        <w:t>Ź</w:t>
      </w:r>
      <w:r w:rsidR="004D1D83" w:rsidRPr="00FA451A">
        <w:rPr>
          <w:rFonts w:ascii="Lato" w:hAnsi="Lato"/>
          <w:bCs/>
          <w:i/>
          <w:spacing w:val="-2"/>
          <w:sz w:val="20"/>
          <w:szCs w:val="20"/>
        </w:rPr>
        <w:t xml:space="preserve">ródło: </w:t>
      </w:r>
      <w:r w:rsidR="00FA451A" w:rsidRPr="00FA451A">
        <w:rPr>
          <w:rFonts w:ascii="Lato" w:hAnsi="Lato"/>
          <w:bCs/>
          <w:i/>
          <w:spacing w:val="-2"/>
          <w:sz w:val="20"/>
          <w:szCs w:val="20"/>
        </w:rPr>
        <w:t>R</w:t>
      </w:r>
      <w:r w:rsidR="004D1D83" w:rsidRPr="00FA451A">
        <w:rPr>
          <w:rFonts w:ascii="Lato" w:hAnsi="Lato"/>
          <w:bCs/>
          <w:i/>
          <w:spacing w:val="-2"/>
          <w:sz w:val="20"/>
          <w:szCs w:val="20"/>
        </w:rPr>
        <w:t xml:space="preserve">oczna ocena jakości powietrza w województwie </w:t>
      </w:r>
      <w:r w:rsidR="00FA451A" w:rsidRPr="00FA451A">
        <w:rPr>
          <w:rFonts w:ascii="Lato" w:hAnsi="Lato"/>
          <w:bCs/>
          <w:i/>
          <w:spacing w:val="-2"/>
          <w:sz w:val="20"/>
          <w:szCs w:val="20"/>
        </w:rPr>
        <w:t>łódzkim w</w:t>
      </w:r>
      <w:r w:rsidR="004D1D83" w:rsidRPr="00FA451A">
        <w:rPr>
          <w:rFonts w:ascii="Lato" w:hAnsi="Lato"/>
          <w:bCs/>
          <w:i/>
          <w:spacing w:val="-2"/>
          <w:sz w:val="20"/>
          <w:szCs w:val="20"/>
        </w:rPr>
        <w:t xml:space="preserve"> 201</w:t>
      </w:r>
      <w:r w:rsidR="00FA451A" w:rsidRPr="00FA451A">
        <w:rPr>
          <w:rFonts w:ascii="Lato" w:hAnsi="Lato"/>
          <w:bCs/>
          <w:i/>
          <w:spacing w:val="-2"/>
          <w:sz w:val="20"/>
          <w:szCs w:val="20"/>
        </w:rPr>
        <w:t>7</w:t>
      </w:r>
      <w:r w:rsidR="001951AF" w:rsidRPr="00FA451A">
        <w:rPr>
          <w:rFonts w:ascii="Lato" w:hAnsi="Lato"/>
          <w:bCs/>
          <w:i/>
          <w:spacing w:val="-2"/>
          <w:sz w:val="20"/>
          <w:szCs w:val="20"/>
        </w:rPr>
        <w:t xml:space="preserve"> </w:t>
      </w:r>
      <w:r w:rsidR="00A92774" w:rsidRPr="00FA451A">
        <w:rPr>
          <w:rFonts w:ascii="Lato" w:hAnsi="Lato"/>
          <w:bCs/>
          <w:i/>
          <w:spacing w:val="-2"/>
          <w:sz w:val="20"/>
          <w:szCs w:val="20"/>
        </w:rPr>
        <w:t>rok</w:t>
      </w:r>
      <w:r w:rsidR="00FA451A" w:rsidRPr="00FA451A">
        <w:rPr>
          <w:rFonts w:ascii="Lato" w:hAnsi="Lato"/>
          <w:bCs/>
          <w:i/>
          <w:spacing w:val="-2"/>
          <w:sz w:val="20"/>
          <w:szCs w:val="20"/>
        </w:rPr>
        <w:t>u</w:t>
      </w:r>
    </w:p>
    <w:p w:rsidR="00230823" w:rsidRPr="00D352C4" w:rsidRDefault="00230823" w:rsidP="00230823">
      <w:pPr>
        <w:pStyle w:val="StylTekstpodstawowyArial11pt"/>
        <w:rPr>
          <w:rFonts w:ascii="Lato" w:hAnsi="Lato"/>
          <w:highlight w:val="yellow"/>
        </w:rPr>
      </w:pPr>
    </w:p>
    <w:p w:rsidR="00B3564B" w:rsidRPr="00842C6A" w:rsidRDefault="00B3564B" w:rsidP="00617C1D">
      <w:pPr>
        <w:pStyle w:val="NormalnyNEDE"/>
        <w:spacing w:after="0" w:line="312" w:lineRule="auto"/>
        <w:ind w:firstLine="709"/>
        <w:rPr>
          <w:rFonts w:ascii="Lato" w:hAnsi="Lato"/>
          <w:sz w:val="22"/>
          <w:szCs w:val="22"/>
        </w:rPr>
      </w:pPr>
      <w:r w:rsidRPr="00842C6A">
        <w:rPr>
          <w:rFonts w:ascii="Lato" w:hAnsi="Lato"/>
          <w:sz w:val="22"/>
          <w:szCs w:val="22"/>
        </w:rPr>
        <w:t xml:space="preserve">Dla wszystkich substancji podlegających ocenie, poszczególne strefy województwa </w:t>
      </w:r>
      <w:r w:rsidR="007961B6" w:rsidRPr="00842C6A">
        <w:rPr>
          <w:rFonts w:ascii="Lato" w:hAnsi="Lato"/>
          <w:sz w:val="22"/>
          <w:szCs w:val="22"/>
          <w:lang w:val="pl-PL"/>
        </w:rPr>
        <w:t>łódzkiego</w:t>
      </w:r>
      <w:r w:rsidRPr="00842C6A">
        <w:rPr>
          <w:rFonts w:ascii="Lato" w:hAnsi="Lato"/>
          <w:sz w:val="22"/>
          <w:szCs w:val="22"/>
        </w:rPr>
        <w:t xml:space="preserve"> zaliczono do jednej z poniższych klas:</w:t>
      </w:r>
    </w:p>
    <w:p w:rsidR="00CC6570" w:rsidRPr="002C49EB" w:rsidRDefault="00CC6570" w:rsidP="00617C1D">
      <w:pPr>
        <w:pStyle w:val="StylTekstpodstawowyArial11pt"/>
        <w:rPr>
          <w:rFonts w:ascii="Lato" w:hAnsi="Lato"/>
          <w:szCs w:val="22"/>
        </w:rPr>
      </w:pPr>
      <w:r w:rsidRPr="002C49EB">
        <w:rPr>
          <w:rFonts w:ascii="Lato" w:hAnsi="Lato"/>
          <w:b/>
          <w:szCs w:val="22"/>
        </w:rPr>
        <w:t xml:space="preserve">klasa A </w:t>
      </w:r>
      <w:r w:rsidR="00B83BEC">
        <w:rPr>
          <w:rFonts w:ascii="Lato" w:hAnsi="Lato"/>
          <w:b/>
          <w:szCs w:val="22"/>
        </w:rPr>
        <w:t>–</w:t>
      </w:r>
      <w:r w:rsidRPr="002C49EB">
        <w:rPr>
          <w:rFonts w:ascii="Lato" w:hAnsi="Lato"/>
          <w:b/>
          <w:szCs w:val="22"/>
        </w:rPr>
        <w:t xml:space="preserve"> </w:t>
      </w:r>
      <w:r w:rsidRPr="002C49EB">
        <w:rPr>
          <w:rFonts w:ascii="Lato" w:hAnsi="Lato"/>
          <w:szCs w:val="22"/>
        </w:rPr>
        <w:t>jeżeli stężenia zanieczyszczenia na jej terenie nie przekraczały odpowiednio poziomów dopuszczalnych,</w:t>
      </w:r>
      <w:r w:rsidR="002D4C47" w:rsidRPr="002C49EB">
        <w:rPr>
          <w:rFonts w:ascii="Lato" w:hAnsi="Lato"/>
          <w:szCs w:val="22"/>
        </w:rPr>
        <w:t xml:space="preserve"> </w:t>
      </w:r>
      <w:r w:rsidRPr="002C49EB">
        <w:rPr>
          <w:rFonts w:ascii="Lato" w:hAnsi="Lato"/>
          <w:szCs w:val="22"/>
        </w:rPr>
        <w:t>poziomów docelowych, poziomów celów długoterminowych,</w:t>
      </w:r>
      <w:r w:rsidR="002D4C47" w:rsidRPr="002C49EB">
        <w:rPr>
          <w:rFonts w:ascii="Lato" w:hAnsi="Lato"/>
          <w:szCs w:val="22"/>
        </w:rPr>
        <w:t xml:space="preserve"> </w:t>
      </w:r>
    </w:p>
    <w:p w:rsidR="00CC6570" w:rsidRPr="002C49EB" w:rsidRDefault="00CC6570" w:rsidP="00617C1D">
      <w:pPr>
        <w:pStyle w:val="StylTekstpodstawowyArial11pt"/>
        <w:rPr>
          <w:rFonts w:ascii="Lato" w:hAnsi="Lato"/>
          <w:szCs w:val="22"/>
        </w:rPr>
      </w:pPr>
      <w:r w:rsidRPr="002C49EB">
        <w:rPr>
          <w:rFonts w:ascii="Lato" w:hAnsi="Lato"/>
          <w:b/>
          <w:szCs w:val="22"/>
        </w:rPr>
        <w:t xml:space="preserve">klasa C </w:t>
      </w:r>
      <w:r w:rsidR="00B83BEC">
        <w:rPr>
          <w:rFonts w:ascii="Lato" w:hAnsi="Lato"/>
          <w:b/>
          <w:szCs w:val="22"/>
        </w:rPr>
        <w:t>–</w:t>
      </w:r>
      <w:r w:rsidRPr="002C49EB">
        <w:rPr>
          <w:rFonts w:ascii="Lato" w:hAnsi="Lato"/>
          <w:b/>
          <w:szCs w:val="22"/>
        </w:rPr>
        <w:t xml:space="preserve"> </w:t>
      </w:r>
      <w:r w:rsidRPr="002C49EB">
        <w:rPr>
          <w:rFonts w:ascii="Lato" w:hAnsi="Lato"/>
          <w:szCs w:val="22"/>
        </w:rPr>
        <w:t>jeżeli stężenia zanieczyszczenia na jej terenie przekraczały poziomy dopuszczalne lub docelowe</w:t>
      </w:r>
      <w:r w:rsidR="002D4C47" w:rsidRPr="002C49EB">
        <w:rPr>
          <w:rFonts w:ascii="Lato" w:hAnsi="Lato"/>
          <w:szCs w:val="22"/>
        </w:rPr>
        <w:t>,</w:t>
      </w:r>
    </w:p>
    <w:p w:rsidR="00CC6570" w:rsidRPr="002C49EB" w:rsidRDefault="00CC6570" w:rsidP="00617C1D">
      <w:pPr>
        <w:pStyle w:val="StylTekstpodstawowyArial11pt"/>
        <w:rPr>
          <w:rFonts w:ascii="Lato" w:hAnsi="Lato"/>
          <w:szCs w:val="22"/>
        </w:rPr>
      </w:pPr>
      <w:r w:rsidRPr="002C49EB">
        <w:rPr>
          <w:rFonts w:ascii="Lato" w:hAnsi="Lato"/>
          <w:b/>
          <w:szCs w:val="22"/>
        </w:rPr>
        <w:t>klasa C1</w:t>
      </w:r>
      <w:r w:rsidRPr="00B83BEC">
        <w:rPr>
          <w:rFonts w:ascii="Lato" w:hAnsi="Lato"/>
          <w:b/>
          <w:szCs w:val="22"/>
        </w:rPr>
        <w:t xml:space="preserve"> </w:t>
      </w:r>
      <w:r w:rsidR="00B83BEC" w:rsidRPr="00B83BEC">
        <w:rPr>
          <w:rFonts w:ascii="Lato" w:hAnsi="Lato"/>
          <w:b/>
          <w:szCs w:val="22"/>
        </w:rPr>
        <w:t>–</w:t>
      </w:r>
      <w:r w:rsidRPr="002C49EB">
        <w:rPr>
          <w:rFonts w:ascii="Lato" w:hAnsi="Lato"/>
          <w:szCs w:val="22"/>
        </w:rPr>
        <w:t xml:space="preserve"> jeżeli stężenia pyłu zawieszonego PM2,5 na jej terenie przekraczały poziom dopuszczalny</w:t>
      </w:r>
      <w:r w:rsidR="002E499D">
        <w:rPr>
          <w:rFonts w:ascii="Lato" w:hAnsi="Lato"/>
          <w:szCs w:val="22"/>
        </w:rPr>
        <w:t xml:space="preserve"> </w:t>
      </w:r>
      <w:r w:rsidRPr="002C49EB">
        <w:rPr>
          <w:rFonts w:ascii="Lato" w:hAnsi="Lato"/>
          <w:szCs w:val="22"/>
        </w:rPr>
        <w:t xml:space="preserve">20 </w:t>
      </w:r>
      <w:r w:rsidRPr="002C49EB">
        <w:rPr>
          <w:rFonts w:ascii="Arial" w:hAnsi="Arial" w:cs="Arial"/>
          <w:szCs w:val="22"/>
        </w:rPr>
        <w:t>μ</w:t>
      </w:r>
      <w:r w:rsidRPr="002C49EB">
        <w:rPr>
          <w:rFonts w:ascii="Lato" w:hAnsi="Lato"/>
          <w:szCs w:val="22"/>
        </w:rPr>
        <w:t>g/m</w:t>
      </w:r>
      <w:r w:rsidRPr="00C51391">
        <w:rPr>
          <w:rFonts w:ascii="Lato" w:hAnsi="Lato"/>
          <w:szCs w:val="22"/>
          <w:vertAlign w:val="superscript"/>
        </w:rPr>
        <w:t>3</w:t>
      </w:r>
      <w:r w:rsidRPr="002C49EB">
        <w:rPr>
          <w:rFonts w:ascii="Lato" w:hAnsi="Lato"/>
          <w:szCs w:val="22"/>
        </w:rPr>
        <w:t xml:space="preserve"> do osi</w:t>
      </w:r>
      <w:r w:rsidRPr="002C49EB">
        <w:rPr>
          <w:rFonts w:ascii="Lato" w:hAnsi="Lato" w:cs="Lato"/>
          <w:szCs w:val="22"/>
        </w:rPr>
        <w:t>ą</w:t>
      </w:r>
      <w:r w:rsidRPr="002C49EB">
        <w:rPr>
          <w:rFonts w:ascii="Lato" w:hAnsi="Lato"/>
          <w:szCs w:val="22"/>
        </w:rPr>
        <w:t>gni</w:t>
      </w:r>
      <w:r w:rsidRPr="002C49EB">
        <w:rPr>
          <w:rFonts w:ascii="Lato" w:hAnsi="Lato" w:cs="Lato"/>
          <w:szCs w:val="22"/>
        </w:rPr>
        <w:t>ę</w:t>
      </w:r>
      <w:r w:rsidRPr="002C49EB">
        <w:rPr>
          <w:rFonts w:ascii="Lato" w:hAnsi="Lato"/>
          <w:szCs w:val="22"/>
        </w:rPr>
        <w:t>cia do dnia 1 stycznia 2020 roku (faza 11),</w:t>
      </w:r>
    </w:p>
    <w:p w:rsidR="00CC6570" w:rsidRPr="002C49EB" w:rsidRDefault="00CC6570" w:rsidP="00617C1D">
      <w:pPr>
        <w:pStyle w:val="StylTekstpodstawowyArial11pt"/>
        <w:rPr>
          <w:rFonts w:ascii="Lato" w:hAnsi="Lato"/>
          <w:szCs w:val="22"/>
        </w:rPr>
      </w:pPr>
      <w:r w:rsidRPr="002C49EB">
        <w:rPr>
          <w:rFonts w:ascii="Lato" w:hAnsi="Lato"/>
          <w:b/>
          <w:szCs w:val="22"/>
        </w:rPr>
        <w:lastRenderedPageBreak/>
        <w:t xml:space="preserve">klasa </w:t>
      </w:r>
      <w:r w:rsidR="002D4C47" w:rsidRPr="002C49EB">
        <w:rPr>
          <w:rFonts w:ascii="Lato" w:hAnsi="Lato"/>
          <w:b/>
          <w:szCs w:val="22"/>
        </w:rPr>
        <w:t>D</w:t>
      </w:r>
      <w:r w:rsidRPr="002C49EB">
        <w:rPr>
          <w:rFonts w:ascii="Lato" w:hAnsi="Lato"/>
          <w:b/>
          <w:szCs w:val="22"/>
        </w:rPr>
        <w:t>1</w:t>
      </w:r>
      <w:r w:rsidRPr="00B83BEC">
        <w:rPr>
          <w:rFonts w:ascii="Lato" w:hAnsi="Lato"/>
          <w:b/>
          <w:szCs w:val="22"/>
        </w:rPr>
        <w:t xml:space="preserve"> </w:t>
      </w:r>
      <w:r w:rsidR="00B83BEC" w:rsidRPr="00B83BEC">
        <w:rPr>
          <w:rFonts w:ascii="Lato" w:hAnsi="Lato"/>
          <w:b/>
          <w:szCs w:val="22"/>
        </w:rPr>
        <w:t>–</w:t>
      </w:r>
      <w:r w:rsidRPr="002C49EB">
        <w:rPr>
          <w:rFonts w:ascii="Lato" w:hAnsi="Lato"/>
          <w:szCs w:val="22"/>
        </w:rPr>
        <w:t xml:space="preserve"> jeżeli stężenia ozonu w powietrzu na jej terenie nie przekraczały poziomu celu długoterminowego,</w:t>
      </w:r>
    </w:p>
    <w:p w:rsidR="00B3564B" w:rsidRPr="002C49EB" w:rsidRDefault="00CC6570" w:rsidP="00617C1D">
      <w:pPr>
        <w:pStyle w:val="StylTekstpodstawowyArial11pt"/>
        <w:rPr>
          <w:rFonts w:ascii="Lato" w:hAnsi="Lato"/>
          <w:szCs w:val="22"/>
        </w:rPr>
      </w:pPr>
      <w:r w:rsidRPr="002C49EB">
        <w:rPr>
          <w:rFonts w:ascii="Lato" w:hAnsi="Lato"/>
          <w:b/>
          <w:szCs w:val="22"/>
        </w:rPr>
        <w:t xml:space="preserve">klasa </w:t>
      </w:r>
      <w:r w:rsidR="002D4C47" w:rsidRPr="002C49EB">
        <w:rPr>
          <w:rFonts w:ascii="Lato" w:hAnsi="Lato"/>
          <w:b/>
          <w:szCs w:val="22"/>
        </w:rPr>
        <w:t>D</w:t>
      </w:r>
      <w:r w:rsidRPr="002C49EB">
        <w:rPr>
          <w:rFonts w:ascii="Lato" w:hAnsi="Lato"/>
          <w:b/>
          <w:szCs w:val="22"/>
        </w:rPr>
        <w:t>2</w:t>
      </w:r>
      <w:r w:rsidRPr="00B83BEC">
        <w:rPr>
          <w:rFonts w:ascii="Lato" w:hAnsi="Lato"/>
          <w:b/>
          <w:szCs w:val="22"/>
        </w:rPr>
        <w:t xml:space="preserve"> </w:t>
      </w:r>
      <w:r w:rsidR="00B83BEC" w:rsidRPr="00B83BEC">
        <w:rPr>
          <w:rFonts w:ascii="Lato" w:hAnsi="Lato"/>
          <w:b/>
          <w:szCs w:val="22"/>
        </w:rPr>
        <w:t>–</w:t>
      </w:r>
      <w:r w:rsidRPr="00B83BEC">
        <w:rPr>
          <w:rFonts w:ascii="Lato" w:hAnsi="Lato"/>
          <w:b/>
          <w:szCs w:val="22"/>
        </w:rPr>
        <w:t xml:space="preserve"> </w:t>
      </w:r>
      <w:r w:rsidRPr="002C49EB">
        <w:rPr>
          <w:rFonts w:ascii="Lato" w:hAnsi="Lato"/>
          <w:szCs w:val="22"/>
        </w:rPr>
        <w:t>jeżeli stężenia ozonu na jej terenie przekraczały poziom celu długoterminowego.</w:t>
      </w:r>
    </w:p>
    <w:p w:rsidR="00B3564B" w:rsidRPr="00D352C4" w:rsidRDefault="00B3564B" w:rsidP="00617C1D">
      <w:pPr>
        <w:pStyle w:val="StylTekstpodstawowyArial11pt"/>
        <w:rPr>
          <w:rFonts w:ascii="Lato" w:hAnsi="Lato"/>
          <w:szCs w:val="22"/>
          <w:highlight w:val="yellow"/>
        </w:rPr>
      </w:pPr>
    </w:p>
    <w:p w:rsidR="00B3564B" w:rsidRPr="002C49EB" w:rsidRDefault="00434D3A" w:rsidP="00617C1D">
      <w:pPr>
        <w:pStyle w:val="StylTekstpodstawowyArial11pt"/>
        <w:rPr>
          <w:rFonts w:ascii="Lato" w:hAnsi="Lato"/>
          <w:szCs w:val="22"/>
        </w:rPr>
      </w:pPr>
      <w:r w:rsidRPr="00434D3A">
        <w:rPr>
          <w:rFonts w:ascii="Lato" w:hAnsi="Lato"/>
          <w:szCs w:val="22"/>
        </w:rPr>
        <w:t>Na terenie strefy łódzkiej, w której znajduje się Gmina Pabianice, klas</w:t>
      </w:r>
      <w:r>
        <w:rPr>
          <w:rFonts w:ascii="Lato" w:hAnsi="Lato"/>
          <w:szCs w:val="22"/>
        </w:rPr>
        <w:t>y</w:t>
      </w:r>
      <w:r w:rsidRPr="00434D3A">
        <w:rPr>
          <w:rFonts w:ascii="Lato" w:hAnsi="Lato"/>
          <w:szCs w:val="22"/>
        </w:rPr>
        <w:t xml:space="preserve"> C </w:t>
      </w:r>
      <w:r>
        <w:rPr>
          <w:rFonts w:ascii="Lato" w:hAnsi="Lato"/>
          <w:szCs w:val="22"/>
        </w:rPr>
        <w:t xml:space="preserve">oraz D2 </w:t>
      </w:r>
      <w:r w:rsidRPr="00434D3A">
        <w:rPr>
          <w:rFonts w:ascii="Lato" w:hAnsi="Lato"/>
          <w:szCs w:val="22"/>
        </w:rPr>
        <w:t>określono dla następujących substancji:</w:t>
      </w:r>
    </w:p>
    <w:p w:rsidR="00B3564B" w:rsidRPr="00617C1D" w:rsidRDefault="00B3564B" w:rsidP="00617C1D">
      <w:pPr>
        <w:pStyle w:val="Tekstpodstawowy"/>
        <w:numPr>
          <w:ilvl w:val="0"/>
          <w:numId w:val="83"/>
        </w:numPr>
        <w:tabs>
          <w:tab w:val="clear" w:pos="360"/>
        </w:tabs>
        <w:ind w:left="709" w:hanging="425"/>
        <w:rPr>
          <w:rFonts w:ascii="Lato" w:hAnsi="Lato" w:cs="Times New Roman"/>
        </w:rPr>
      </w:pPr>
      <w:r w:rsidRPr="00617C1D">
        <w:rPr>
          <w:rFonts w:ascii="Lato" w:hAnsi="Lato" w:cs="Times New Roman"/>
        </w:rPr>
        <w:t>pył zawieszony PM10</w:t>
      </w:r>
      <w:r w:rsidR="00434D3A">
        <w:rPr>
          <w:rFonts w:ascii="Lato" w:hAnsi="Lato" w:cs="Times New Roman"/>
        </w:rPr>
        <w:t xml:space="preserve"> – klasa C</w:t>
      </w:r>
      <w:r w:rsidRPr="00617C1D">
        <w:rPr>
          <w:rFonts w:ascii="Lato" w:hAnsi="Lato" w:cs="Times New Roman"/>
        </w:rPr>
        <w:t>,</w:t>
      </w:r>
    </w:p>
    <w:p w:rsidR="00B3564B" w:rsidRPr="00617C1D" w:rsidRDefault="00B3564B" w:rsidP="00617C1D">
      <w:pPr>
        <w:pStyle w:val="Tekstpodstawowy"/>
        <w:numPr>
          <w:ilvl w:val="0"/>
          <w:numId w:val="83"/>
        </w:numPr>
        <w:tabs>
          <w:tab w:val="clear" w:pos="360"/>
        </w:tabs>
        <w:ind w:left="709" w:hanging="425"/>
        <w:rPr>
          <w:rFonts w:ascii="Lato" w:hAnsi="Lato" w:cs="Times New Roman"/>
        </w:rPr>
      </w:pPr>
      <w:r w:rsidRPr="00617C1D">
        <w:rPr>
          <w:rFonts w:ascii="Lato" w:hAnsi="Lato" w:cs="Times New Roman"/>
        </w:rPr>
        <w:t>pył zawieszony PM2.5</w:t>
      </w:r>
      <w:r w:rsidR="00434D3A">
        <w:rPr>
          <w:rFonts w:ascii="Lato" w:hAnsi="Lato" w:cs="Times New Roman"/>
        </w:rPr>
        <w:t xml:space="preserve"> – klasa C</w:t>
      </w:r>
      <w:r w:rsidRPr="00617C1D">
        <w:rPr>
          <w:rFonts w:ascii="Lato" w:hAnsi="Lato" w:cs="Times New Roman"/>
        </w:rPr>
        <w:t>,</w:t>
      </w:r>
    </w:p>
    <w:p w:rsidR="00B3564B" w:rsidRPr="00617C1D" w:rsidRDefault="004D1D83" w:rsidP="00617C1D">
      <w:pPr>
        <w:pStyle w:val="Tekstpodstawowy"/>
        <w:numPr>
          <w:ilvl w:val="0"/>
          <w:numId w:val="83"/>
        </w:numPr>
        <w:tabs>
          <w:tab w:val="clear" w:pos="360"/>
        </w:tabs>
        <w:ind w:left="709" w:hanging="425"/>
        <w:rPr>
          <w:rFonts w:ascii="Lato" w:hAnsi="Lato" w:cs="Times New Roman"/>
        </w:rPr>
      </w:pPr>
      <w:r w:rsidRPr="00617C1D">
        <w:rPr>
          <w:rFonts w:ascii="Lato" w:hAnsi="Lato" w:cs="Times New Roman"/>
        </w:rPr>
        <w:t>benzo(a)</w:t>
      </w:r>
      <w:r w:rsidR="009026E9" w:rsidRPr="00617C1D">
        <w:rPr>
          <w:rFonts w:ascii="Lato" w:hAnsi="Lato" w:cs="Times New Roman"/>
        </w:rPr>
        <w:t>pi</w:t>
      </w:r>
      <w:r w:rsidR="00B3564B" w:rsidRPr="00617C1D">
        <w:rPr>
          <w:rFonts w:ascii="Lato" w:hAnsi="Lato" w:cs="Times New Roman"/>
        </w:rPr>
        <w:t>ren – B(a)P</w:t>
      </w:r>
      <w:r w:rsidR="00434D3A">
        <w:rPr>
          <w:rFonts w:ascii="Lato" w:hAnsi="Lato" w:cs="Times New Roman"/>
        </w:rPr>
        <w:t xml:space="preserve"> – klasa C</w:t>
      </w:r>
      <w:r w:rsidR="00B3564B" w:rsidRPr="00617C1D">
        <w:rPr>
          <w:rFonts w:ascii="Lato" w:hAnsi="Lato" w:cs="Times New Roman"/>
        </w:rPr>
        <w:t>,</w:t>
      </w:r>
    </w:p>
    <w:p w:rsidR="00B3564B" w:rsidRDefault="00D14814" w:rsidP="00617C1D">
      <w:pPr>
        <w:pStyle w:val="Tekstpodstawowy"/>
        <w:numPr>
          <w:ilvl w:val="0"/>
          <w:numId w:val="83"/>
        </w:numPr>
        <w:tabs>
          <w:tab w:val="clear" w:pos="360"/>
        </w:tabs>
        <w:ind w:left="709" w:hanging="425"/>
        <w:rPr>
          <w:rFonts w:ascii="Lato" w:hAnsi="Lato" w:cs="Times New Roman"/>
        </w:rPr>
      </w:pPr>
      <w:r w:rsidRPr="00617C1D">
        <w:rPr>
          <w:rFonts w:ascii="Lato" w:hAnsi="Lato" w:cs="Times New Roman"/>
        </w:rPr>
        <w:t>ozon</w:t>
      </w:r>
      <w:r w:rsidR="00434D3A">
        <w:rPr>
          <w:rFonts w:ascii="Lato" w:hAnsi="Lato" w:cs="Times New Roman"/>
        </w:rPr>
        <w:t xml:space="preserve"> – klasa D2</w:t>
      </w:r>
      <w:r w:rsidR="00B3564B" w:rsidRPr="00617C1D">
        <w:rPr>
          <w:rFonts w:ascii="Lato" w:hAnsi="Lato" w:cs="Times New Roman"/>
        </w:rPr>
        <w:t>.</w:t>
      </w:r>
    </w:p>
    <w:p w:rsidR="001920FD" w:rsidRDefault="001920FD" w:rsidP="001920FD">
      <w:pPr>
        <w:pStyle w:val="Tekstpodstawowy"/>
        <w:rPr>
          <w:rFonts w:ascii="Lato" w:hAnsi="Lato" w:cs="Times New Roman"/>
        </w:rPr>
      </w:pPr>
    </w:p>
    <w:p w:rsidR="0014210B" w:rsidRDefault="001920FD" w:rsidP="0014210B">
      <w:pPr>
        <w:pStyle w:val="StylTekstpodstawowyArial11pt"/>
        <w:keepNext/>
        <w:ind w:firstLine="709"/>
        <w:rPr>
          <w:rFonts w:ascii="Lato" w:hAnsi="Lato"/>
        </w:rPr>
      </w:pPr>
      <w:r>
        <w:rPr>
          <w:rFonts w:ascii="Lato" w:hAnsi="Lato"/>
          <w:szCs w:val="24"/>
        </w:rPr>
        <w:t>Z</w:t>
      </w:r>
      <w:r w:rsidRPr="001920FD">
        <w:rPr>
          <w:rFonts w:ascii="Lato" w:hAnsi="Lato"/>
        </w:rPr>
        <w:t>e względu na przekroczenie 24 godzinnej wartości poziomu dopuszczalnego</w:t>
      </w:r>
      <w:r>
        <w:rPr>
          <w:rFonts w:ascii="Lato" w:hAnsi="Lato"/>
        </w:rPr>
        <w:t xml:space="preserve"> </w:t>
      </w:r>
      <w:r w:rsidRPr="001920FD">
        <w:rPr>
          <w:rFonts w:ascii="Lato" w:hAnsi="Lato"/>
        </w:rPr>
        <w:t>stężenia pyłu zawieszonego PM10 w 2017 r. konieczne jest przeprowadzenie działań</w:t>
      </w:r>
      <w:r>
        <w:rPr>
          <w:rFonts w:ascii="Lato" w:hAnsi="Lato"/>
        </w:rPr>
        <w:t xml:space="preserve"> </w:t>
      </w:r>
      <w:r w:rsidRPr="001920FD">
        <w:rPr>
          <w:rFonts w:ascii="Lato" w:hAnsi="Lato"/>
        </w:rPr>
        <w:t>naprawczych w obszarach przekroczeń rozmieszczonych w obu strefach oc</w:t>
      </w:r>
      <w:r>
        <w:rPr>
          <w:rFonts w:ascii="Lato" w:hAnsi="Lato"/>
        </w:rPr>
        <w:t xml:space="preserve">en </w:t>
      </w:r>
      <w:r w:rsidRPr="001920FD">
        <w:rPr>
          <w:rFonts w:ascii="Lato" w:hAnsi="Lato"/>
        </w:rPr>
        <w:t xml:space="preserve">w województwie </w:t>
      </w:r>
      <w:r>
        <w:rPr>
          <w:rFonts w:ascii="Lato" w:hAnsi="Lato"/>
        </w:rPr>
        <w:t>łódzkim</w:t>
      </w:r>
      <w:r w:rsidRPr="001920FD">
        <w:rPr>
          <w:rFonts w:ascii="Lato" w:hAnsi="Lato"/>
        </w:rPr>
        <w:t>. Obszary przekroczeń obejmują łącznie 74 gminy</w:t>
      </w:r>
      <w:r>
        <w:rPr>
          <w:rFonts w:ascii="Lato" w:hAnsi="Lato"/>
        </w:rPr>
        <w:t>, w tym Gminę Pabianice</w:t>
      </w:r>
      <w:r w:rsidRPr="001920FD">
        <w:rPr>
          <w:rFonts w:ascii="Lato" w:hAnsi="Lato"/>
        </w:rPr>
        <w:t>.</w:t>
      </w:r>
      <w:r w:rsidR="0014210B">
        <w:rPr>
          <w:rFonts w:ascii="Lato" w:hAnsi="Lato"/>
        </w:rPr>
        <w:t xml:space="preserve"> </w:t>
      </w:r>
    </w:p>
    <w:p w:rsidR="0014210B" w:rsidRDefault="00295FC3" w:rsidP="0014210B">
      <w:pPr>
        <w:pStyle w:val="StylTekstpodstawowyArial11pt"/>
        <w:keepNext/>
        <w:ind w:firstLine="709"/>
        <w:rPr>
          <w:rFonts w:ascii="Lato" w:hAnsi="Lato"/>
        </w:rPr>
      </w:pPr>
      <w:r>
        <w:rPr>
          <w:rFonts w:ascii="Lato" w:hAnsi="Lato"/>
        </w:rPr>
        <w:t xml:space="preserve">W związku z </w:t>
      </w:r>
      <w:r w:rsidR="0014210B" w:rsidRPr="0014210B">
        <w:rPr>
          <w:rFonts w:ascii="Lato" w:hAnsi="Lato"/>
        </w:rPr>
        <w:t>przekroczenie</w:t>
      </w:r>
      <w:r>
        <w:rPr>
          <w:rFonts w:ascii="Lato" w:hAnsi="Lato"/>
        </w:rPr>
        <w:t>m</w:t>
      </w:r>
      <w:r w:rsidR="0014210B" w:rsidRPr="0014210B">
        <w:rPr>
          <w:rFonts w:ascii="Lato" w:hAnsi="Lato"/>
        </w:rPr>
        <w:t xml:space="preserve"> poziomu docelowego benzo(a)pirenu w pyle PM10 w</w:t>
      </w:r>
      <w:r w:rsidR="0014210B">
        <w:rPr>
          <w:rFonts w:ascii="Lato" w:hAnsi="Lato"/>
        </w:rPr>
        <w:t xml:space="preserve"> </w:t>
      </w:r>
      <w:r w:rsidR="0014210B" w:rsidRPr="0014210B">
        <w:rPr>
          <w:rFonts w:ascii="Lato" w:hAnsi="Lato"/>
        </w:rPr>
        <w:t>2017 r. konieczne jest przeprowadzenie działań naprawczych w większości gmin</w:t>
      </w:r>
      <w:r w:rsidR="0014210B">
        <w:rPr>
          <w:rFonts w:ascii="Lato" w:hAnsi="Lato"/>
        </w:rPr>
        <w:t xml:space="preserve"> </w:t>
      </w:r>
      <w:r w:rsidR="0014210B" w:rsidRPr="0014210B">
        <w:rPr>
          <w:rFonts w:ascii="Lato" w:hAnsi="Lato"/>
        </w:rPr>
        <w:t>województwa łódzkiego</w:t>
      </w:r>
      <w:r w:rsidR="0014210B">
        <w:rPr>
          <w:rFonts w:ascii="Lato" w:hAnsi="Lato"/>
        </w:rPr>
        <w:t>,</w:t>
      </w:r>
      <w:r w:rsidR="0014210B" w:rsidRPr="0014210B">
        <w:rPr>
          <w:rFonts w:ascii="Lato" w:hAnsi="Lato"/>
        </w:rPr>
        <w:t xml:space="preserve"> </w:t>
      </w:r>
      <w:r w:rsidR="0014210B">
        <w:rPr>
          <w:rFonts w:ascii="Lato" w:hAnsi="Lato"/>
        </w:rPr>
        <w:t>w tym w Gminie Pabianice</w:t>
      </w:r>
      <w:r w:rsidR="0014210B" w:rsidRPr="0014210B">
        <w:rPr>
          <w:rFonts w:ascii="Lato" w:hAnsi="Lato"/>
        </w:rPr>
        <w:t>.</w:t>
      </w:r>
      <w:r w:rsidR="0014210B">
        <w:rPr>
          <w:rFonts w:ascii="Lato" w:hAnsi="Lato"/>
        </w:rPr>
        <w:t xml:space="preserve"> </w:t>
      </w:r>
    </w:p>
    <w:p w:rsidR="0014210B" w:rsidRDefault="00295FC3" w:rsidP="00BC7848">
      <w:pPr>
        <w:pStyle w:val="StylTekstpodstawowyArial11pt"/>
        <w:keepNext/>
        <w:ind w:firstLine="709"/>
        <w:rPr>
          <w:rFonts w:ascii="Lato" w:hAnsi="Lato"/>
        </w:rPr>
      </w:pPr>
      <w:r>
        <w:rPr>
          <w:rFonts w:ascii="Lato" w:hAnsi="Lato"/>
        </w:rPr>
        <w:t xml:space="preserve">Uwzględniając </w:t>
      </w:r>
      <w:r w:rsidR="00BC7848" w:rsidRPr="00BC7848">
        <w:rPr>
          <w:rFonts w:ascii="Lato" w:hAnsi="Lato"/>
        </w:rPr>
        <w:t>przekroczenie rocznej wartości poziomu dopuszczalnego stężenia pyłu</w:t>
      </w:r>
      <w:r w:rsidR="00BC7848">
        <w:rPr>
          <w:rFonts w:ascii="Lato" w:hAnsi="Lato"/>
        </w:rPr>
        <w:t xml:space="preserve"> </w:t>
      </w:r>
      <w:r w:rsidR="00BC7848" w:rsidRPr="00BC7848">
        <w:rPr>
          <w:rFonts w:ascii="Lato" w:hAnsi="Lato"/>
        </w:rPr>
        <w:t>zawieszonego PM2,5 w 2017 r. konieczne jest przeprowadzenie działań naprawczych w</w:t>
      </w:r>
      <w:r w:rsidR="00BC7848">
        <w:rPr>
          <w:rFonts w:ascii="Lato" w:hAnsi="Lato"/>
        </w:rPr>
        <w:t xml:space="preserve"> </w:t>
      </w:r>
      <w:r w:rsidR="00BC7848" w:rsidRPr="00BC7848">
        <w:rPr>
          <w:rFonts w:ascii="Lato" w:hAnsi="Lato"/>
        </w:rPr>
        <w:t>obszarach przekroczeń rozmieszczonych w obu strefach oceny w</w:t>
      </w:r>
      <w:r w:rsidR="00BC7848">
        <w:rPr>
          <w:rFonts w:ascii="Lato" w:hAnsi="Lato"/>
        </w:rPr>
        <w:t xml:space="preserve"> </w:t>
      </w:r>
      <w:r w:rsidR="00BC7848" w:rsidRPr="00BC7848">
        <w:rPr>
          <w:rFonts w:ascii="Lato" w:hAnsi="Lato"/>
        </w:rPr>
        <w:t xml:space="preserve">województwie </w:t>
      </w:r>
      <w:r w:rsidR="005B410F">
        <w:rPr>
          <w:rFonts w:ascii="Lato" w:hAnsi="Lato"/>
        </w:rPr>
        <w:t>łódzkim</w:t>
      </w:r>
      <w:r w:rsidR="00BC7848" w:rsidRPr="00BC7848">
        <w:rPr>
          <w:rFonts w:ascii="Lato" w:hAnsi="Lato"/>
        </w:rPr>
        <w:t>. Obszary przekroczeń obejmują łącznie 35 gmin</w:t>
      </w:r>
      <w:r w:rsidR="005B410F">
        <w:rPr>
          <w:rFonts w:ascii="Lato" w:hAnsi="Lato"/>
        </w:rPr>
        <w:t>,</w:t>
      </w:r>
      <w:r w:rsidR="005B410F" w:rsidRPr="005B410F">
        <w:rPr>
          <w:rFonts w:ascii="Lato" w:hAnsi="Lato"/>
        </w:rPr>
        <w:t xml:space="preserve"> </w:t>
      </w:r>
      <w:r w:rsidR="005B410F">
        <w:rPr>
          <w:rFonts w:ascii="Lato" w:hAnsi="Lato"/>
        </w:rPr>
        <w:t>w tym Gminę Pabianice</w:t>
      </w:r>
      <w:r w:rsidR="00BC7848" w:rsidRPr="00BC7848">
        <w:rPr>
          <w:rFonts w:ascii="Lato" w:hAnsi="Lato"/>
        </w:rPr>
        <w:t>.</w:t>
      </w:r>
    </w:p>
    <w:p w:rsidR="00434D3A" w:rsidRPr="00D352C4" w:rsidRDefault="00434D3A" w:rsidP="00434D3A">
      <w:pPr>
        <w:pStyle w:val="StylTekstpodstawowyArial11pt"/>
        <w:keepNext/>
        <w:ind w:firstLine="709"/>
        <w:rPr>
          <w:rFonts w:ascii="Lato" w:hAnsi="Lato"/>
          <w:highlight w:val="yellow"/>
        </w:rPr>
      </w:pPr>
      <w:r w:rsidRPr="00434D3A">
        <w:rPr>
          <w:rFonts w:ascii="Lato" w:hAnsi="Lato"/>
        </w:rPr>
        <w:t xml:space="preserve">W 2017 r. stwierdzono </w:t>
      </w:r>
      <w:r w:rsidR="00295FC3">
        <w:rPr>
          <w:rFonts w:ascii="Lato" w:hAnsi="Lato"/>
        </w:rPr>
        <w:t xml:space="preserve">również </w:t>
      </w:r>
      <w:r w:rsidRPr="00434D3A">
        <w:rPr>
          <w:rFonts w:ascii="Lato" w:hAnsi="Lato"/>
        </w:rPr>
        <w:t>przekroczenie poziomu celu długoterminowego stężenia</w:t>
      </w:r>
      <w:r>
        <w:rPr>
          <w:rFonts w:ascii="Lato" w:hAnsi="Lato"/>
        </w:rPr>
        <w:t xml:space="preserve"> ozonu, w </w:t>
      </w:r>
      <w:r w:rsidRPr="00434D3A">
        <w:rPr>
          <w:rFonts w:ascii="Lato" w:hAnsi="Lato"/>
        </w:rPr>
        <w:t>wyniku czego nadano obu strefom oceny klasę D2. Przekroczenia występowały na</w:t>
      </w:r>
      <w:r>
        <w:rPr>
          <w:rFonts w:ascii="Lato" w:hAnsi="Lato"/>
        </w:rPr>
        <w:t xml:space="preserve"> </w:t>
      </w:r>
      <w:r w:rsidRPr="00434D3A">
        <w:rPr>
          <w:rFonts w:ascii="Lato" w:hAnsi="Lato"/>
        </w:rPr>
        <w:t>obszarze całego województwa.</w:t>
      </w:r>
    </w:p>
    <w:p w:rsidR="00D3388A" w:rsidRPr="00D2682A" w:rsidRDefault="007B06AE" w:rsidP="00F75645">
      <w:pPr>
        <w:pStyle w:val="NormalnyNEDE"/>
        <w:spacing w:after="0" w:line="312" w:lineRule="auto"/>
        <w:ind w:firstLine="709"/>
        <w:rPr>
          <w:rFonts w:ascii="Lato" w:eastAsia="Times New Roman" w:hAnsi="Lato"/>
          <w:sz w:val="22"/>
          <w:szCs w:val="24"/>
          <w:lang w:val="pl-PL" w:eastAsia="pl-PL"/>
        </w:rPr>
      </w:pPr>
      <w:r w:rsidRPr="009D037D">
        <w:rPr>
          <w:rFonts w:ascii="Lato" w:eastAsia="Times New Roman" w:hAnsi="Lato"/>
          <w:sz w:val="22"/>
          <w:szCs w:val="24"/>
          <w:lang w:val="pl-PL" w:eastAsia="pl-PL"/>
        </w:rPr>
        <w:t xml:space="preserve">Zgodnie z Ustawą z dnia 27 kwietnia 2001 r. Prawo ochrony środowiska. </w:t>
      </w:r>
      <w:r w:rsidR="00B626CB" w:rsidRPr="009D037D">
        <w:rPr>
          <w:rFonts w:ascii="Lato" w:eastAsia="Times New Roman" w:hAnsi="Lato"/>
          <w:sz w:val="22"/>
          <w:szCs w:val="24"/>
          <w:lang w:val="pl-PL" w:eastAsia="pl-PL"/>
        </w:rPr>
        <w:t>(Dz. U. z 2018 r. poz. 799 z późn.zm)</w:t>
      </w:r>
      <w:r w:rsidRPr="009D037D">
        <w:rPr>
          <w:rFonts w:ascii="Lato" w:eastAsia="Times New Roman" w:hAnsi="Lato"/>
          <w:sz w:val="22"/>
          <w:szCs w:val="24"/>
          <w:lang w:val="pl-PL" w:eastAsia="pl-PL"/>
        </w:rPr>
        <w:t xml:space="preserve"> przygotowanie i zrealizowanie Programu ochrony powietrza wymagane jest dla stref, w których stwierdzono przekroczenia poziomów dopuszczalnych lub do</w:t>
      </w:r>
      <w:r w:rsidR="000E6F34" w:rsidRPr="009D037D">
        <w:rPr>
          <w:rFonts w:ascii="Lato" w:eastAsia="Times New Roman" w:hAnsi="Lato"/>
          <w:sz w:val="22"/>
          <w:szCs w:val="24"/>
          <w:lang w:val="pl-PL" w:eastAsia="pl-PL"/>
        </w:rPr>
        <w:t>celowych, powiększonych w </w:t>
      </w:r>
      <w:r w:rsidRPr="009D037D">
        <w:rPr>
          <w:rFonts w:ascii="Lato" w:eastAsia="Times New Roman" w:hAnsi="Lato"/>
          <w:sz w:val="22"/>
          <w:szCs w:val="24"/>
          <w:lang w:val="pl-PL" w:eastAsia="pl-PL"/>
        </w:rPr>
        <w:t>stosownych przypadkach o margines tolerancji, choćby jednej su</w:t>
      </w:r>
      <w:r w:rsidR="000E6F34" w:rsidRPr="009D037D">
        <w:rPr>
          <w:rFonts w:ascii="Lato" w:eastAsia="Times New Roman" w:hAnsi="Lato"/>
          <w:sz w:val="22"/>
          <w:szCs w:val="24"/>
          <w:lang w:val="pl-PL" w:eastAsia="pl-PL"/>
        </w:rPr>
        <w:t>bstancji, spośród określonych w </w:t>
      </w:r>
      <w:r w:rsidRPr="009D037D">
        <w:rPr>
          <w:rFonts w:ascii="Lato" w:eastAsia="Times New Roman" w:hAnsi="Lato"/>
          <w:sz w:val="22"/>
          <w:szCs w:val="24"/>
          <w:lang w:val="pl-PL" w:eastAsia="pl-PL"/>
        </w:rPr>
        <w:t>rozporządzeniu Ministra Środowiska z dnia 24 sierpnia 2012 r. w sprawie poziomów niektórych substancji w powietrzu</w:t>
      </w:r>
      <w:r w:rsidRPr="00D2682A">
        <w:rPr>
          <w:rFonts w:ascii="Lato" w:eastAsia="Times New Roman" w:hAnsi="Lato"/>
          <w:sz w:val="22"/>
          <w:szCs w:val="24"/>
          <w:lang w:val="pl-PL" w:eastAsia="pl-PL"/>
        </w:rPr>
        <w:t xml:space="preserve">. Do stref takich na obszarze województwa </w:t>
      </w:r>
      <w:r w:rsidR="00D2682A" w:rsidRPr="00D2682A">
        <w:rPr>
          <w:rFonts w:ascii="Lato" w:eastAsia="Times New Roman" w:hAnsi="Lato"/>
          <w:sz w:val="22"/>
          <w:szCs w:val="24"/>
          <w:lang w:val="pl-PL" w:eastAsia="pl-PL"/>
        </w:rPr>
        <w:t>łódz</w:t>
      </w:r>
      <w:r w:rsidRPr="00D2682A">
        <w:rPr>
          <w:rFonts w:ascii="Lato" w:eastAsia="Times New Roman" w:hAnsi="Lato"/>
          <w:sz w:val="22"/>
          <w:szCs w:val="24"/>
          <w:lang w:val="pl-PL" w:eastAsia="pl-PL"/>
        </w:rPr>
        <w:t>kiego zakwalifikowano:</w:t>
      </w:r>
    </w:p>
    <w:p w:rsidR="00D3388A" w:rsidRPr="00D2682A" w:rsidRDefault="00D3388A" w:rsidP="00F75645">
      <w:pPr>
        <w:pStyle w:val="Tekstpodstawowy"/>
        <w:numPr>
          <w:ilvl w:val="0"/>
          <w:numId w:val="83"/>
        </w:numPr>
        <w:tabs>
          <w:tab w:val="clear" w:pos="360"/>
        </w:tabs>
        <w:ind w:left="709" w:hanging="425"/>
        <w:rPr>
          <w:rFonts w:ascii="Lato" w:hAnsi="Lato" w:cs="Times New Roman"/>
        </w:rPr>
      </w:pPr>
      <w:r w:rsidRPr="00D2682A">
        <w:rPr>
          <w:rFonts w:ascii="Lato" w:hAnsi="Lato" w:cs="Times New Roman"/>
        </w:rPr>
        <w:t xml:space="preserve">aglomerację </w:t>
      </w:r>
      <w:r w:rsidR="00D2682A" w:rsidRPr="00D2682A">
        <w:rPr>
          <w:rFonts w:ascii="Lato" w:hAnsi="Lato" w:cs="Times New Roman"/>
        </w:rPr>
        <w:t>łódzką</w:t>
      </w:r>
      <w:r w:rsidRPr="00D2682A">
        <w:rPr>
          <w:rFonts w:ascii="Lato" w:hAnsi="Lato" w:cs="Times New Roman"/>
        </w:rPr>
        <w:t>,</w:t>
      </w:r>
    </w:p>
    <w:p w:rsidR="00D3388A" w:rsidRPr="00D2682A" w:rsidRDefault="00D3388A" w:rsidP="00F75645">
      <w:pPr>
        <w:pStyle w:val="Tekstpodstawowy"/>
        <w:numPr>
          <w:ilvl w:val="0"/>
          <w:numId w:val="83"/>
        </w:numPr>
        <w:tabs>
          <w:tab w:val="clear" w:pos="360"/>
        </w:tabs>
        <w:ind w:left="709" w:hanging="425"/>
        <w:rPr>
          <w:rFonts w:ascii="Lato" w:hAnsi="Lato" w:cs="Times New Roman"/>
        </w:rPr>
      </w:pPr>
      <w:r w:rsidRPr="00D2682A">
        <w:rPr>
          <w:rFonts w:ascii="Lato" w:hAnsi="Lato" w:cs="Times New Roman"/>
        </w:rPr>
        <w:t xml:space="preserve">strefę </w:t>
      </w:r>
      <w:r w:rsidR="00D2682A" w:rsidRPr="00D2682A">
        <w:rPr>
          <w:rFonts w:ascii="Lato" w:hAnsi="Lato" w:cs="Times New Roman"/>
        </w:rPr>
        <w:t>łódzką</w:t>
      </w:r>
      <w:r w:rsidRPr="00D2682A">
        <w:rPr>
          <w:rFonts w:ascii="Lato" w:hAnsi="Lato" w:cs="Times New Roman"/>
        </w:rPr>
        <w:t>.</w:t>
      </w:r>
    </w:p>
    <w:p w:rsidR="00D3388A" w:rsidRPr="00DE24DD" w:rsidRDefault="00D3388A" w:rsidP="00D3388A">
      <w:pPr>
        <w:pStyle w:val="NormalnyNEDE"/>
        <w:ind w:firstLine="0"/>
        <w:rPr>
          <w:rFonts w:ascii="Lato" w:eastAsia="Times New Roman" w:hAnsi="Lato"/>
          <w:bCs/>
          <w:spacing w:val="-2"/>
          <w:sz w:val="22"/>
          <w:szCs w:val="22"/>
          <w:lang w:val="pl-PL" w:eastAsia="pl-PL"/>
        </w:rPr>
      </w:pPr>
    </w:p>
    <w:p w:rsidR="00DE24DD" w:rsidRPr="002E499D" w:rsidRDefault="00D3388A" w:rsidP="00F75645">
      <w:pPr>
        <w:pStyle w:val="NormalnyNEDE"/>
        <w:spacing w:after="0" w:line="312" w:lineRule="auto"/>
        <w:ind w:firstLine="709"/>
        <w:rPr>
          <w:rFonts w:ascii="Lato" w:eastAsia="Times New Roman" w:hAnsi="Lato"/>
          <w:sz w:val="22"/>
          <w:szCs w:val="24"/>
          <w:lang w:val="pl-PL" w:eastAsia="pl-PL"/>
        </w:rPr>
      </w:pPr>
      <w:r w:rsidRPr="00621B62">
        <w:rPr>
          <w:rFonts w:ascii="Lato" w:eastAsia="Times New Roman" w:hAnsi="Lato"/>
          <w:sz w:val="22"/>
          <w:szCs w:val="24"/>
          <w:lang w:val="pl-PL" w:eastAsia="pl-PL"/>
        </w:rPr>
        <w:t xml:space="preserve">Zgodnie z Uchwałą </w:t>
      </w:r>
      <w:r w:rsidR="00B83BEC" w:rsidRPr="00621B62">
        <w:rPr>
          <w:rFonts w:ascii="Lato" w:eastAsia="Times New Roman" w:hAnsi="Lato"/>
          <w:bCs/>
          <w:spacing w:val="-2"/>
          <w:sz w:val="22"/>
          <w:szCs w:val="22"/>
          <w:lang w:eastAsia="pl-PL"/>
        </w:rPr>
        <w:t>Zarz</w:t>
      </w:r>
      <w:r w:rsidR="00B83BEC" w:rsidRPr="00621B62">
        <w:rPr>
          <w:rFonts w:ascii="Lato" w:eastAsia="Times New Roman" w:hAnsi="Lato"/>
          <w:sz w:val="22"/>
          <w:szCs w:val="24"/>
          <w:lang w:val="pl-PL" w:eastAsia="pl-PL"/>
        </w:rPr>
        <w:t>ąd</w:t>
      </w:r>
      <w:r w:rsidR="006A3EB4" w:rsidRPr="00621B62">
        <w:rPr>
          <w:rFonts w:ascii="Lato" w:eastAsia="Times New Roman" w:hAnsi="Lato"/>
          <w:sz w:val="22"/>
          <w:szCs w:val="24"/>
          <w:lang w:val="pl-PL" w:eastAsia="pl-PL"/>
        </w:rPr>
        <w:t xml:space="preserve"> </w:t>
      </w:r>
      <w:r w:rsidRPr="00621B62">
        <w:rPr>
          <w:rFonts w:ascii="Lato" w:eastAsia="Times New Roman" w:hAnsi="Lato"/>
          <w:sz w:val="22"/>
          <w:szCs w:val="24"/>
          <w:lang w:val="pl-PL" w:eastAsia="pl-PL"/>
        </w:rPr>
        <w:t xml:space="preserve">Województwa </w:t>
      </w:r>
      <w:r w:rsidR="00B83BEC">
        <w:rPr>
          <w:rFonts w:ascii="Lato" w:eastAsia="Times New Roman" w:hAnsi="Lato"/>
          <w:bCs/>
          <w:spacing w:val="-2"/>
          <w:sz w:val="22"/>
          <w:szCs w:val="22"/>
          <w:lang w:val="pl-PL" w:eastAsia="pl-PL"/>
        </w:rPr>
        <w:t>Łódzkiego</w:t>
      </w:r>
      <w:r w:rsidRPr="00621B62">
        <w:rPr>
          <w:rFonts w:ascii="Lato" w:eastAsia="Times New Roman" w:hAnsi="Lato"/>
          <w:sz w:val="22"/>
          <w:szCs w:val="24"/>
          <w:lang w:val="pl-PL" w:eastAsia="pl-PL"/>
        </w:rPr>
        <w:t xml:space="preserve"> </w:t>
      </w:r>
      <w:r w:rsidR="00DE24DD" w:rsidRPr="00621B62">
        <w:rPr>
          <w:rFonts w:ascii="Lato" w:eastAsia="Times New Roman" w:hAnsi="Lato"/>
          <w:bCs/>
          <w:spacing w:val="-2"/>
          <w:sz w:val="22"/>
          <w:szCs w:val="22"/>
          <w:lang w:eastAsia="pl-PL"/>
        </w:rPr>
        <w:t xml:space="preserve">Nr </w:t>
      </w:r>
      <w:r w:rsidR="002E499D">
        <w:rPr>
          <w:rFonts w:ascii="Lato" w:eastAsia="Times New Roman" w:hAnsi="Lato"/>
          <w:bCs/>
          <w:spacing w:val="-2"/>
          <w:sz w:val="22"/>
          <w:szCs w:val="22"/>
          <w:lang w:eastAsia="pl-PL"/>
        </w:rPr>
        <w:t>1128/18 z dnia 13 sierpnia 2018</w:t>
      </w:r>
      <w:r w:rsidR="002E499D">
        <w:rPr>
          <w:rFonts w:ascii="Lato" w:eastAsia="Times New Roman" w:hAnsi="Lato"/>
          <w:bCs/>
          <w:spacing w:val="-2"/>
          <w:sz w:val="22"/>
          <w:szCs w:val="22"/>
          <w:lang w:val="pl-PL" w:eastAsia="pl-PL"/>
        </w:rPr>
        <w:t> </w:t>
      </w:r>
      <w:r w:rsidR="00DE24DD" w:rsidRPr="00621B62">
        <w:rPr>
          <w:rFonts w:ascii="Lato" w:eastAsia="Times New Roman" w:hAnsi="Lato"/>
          <w:bCs/>
          <w:spacing w:val="-2"/>
          <w:sz w:val="22"/>
          <w:szCs w:val="22"/>
          <w:lang w:val="pl-PL" w:eastAsia="pl-PL"/>
        </w:rPr>
        <w:t>r</w:t>
      </w:r>
      <w:r w:rsidRPr="00621B62">
        <w:rPr>
          <w:rFonts w:ascii="Lato" w:eastAsia="Times New Roman" w:hAnsi="Lato"/>
          <w:sz w:val="22"/>
          <w:szCs w:val="24"/>
          <w:lang w:val="pl-PL" w:eastAsia="pl-PL"/>
        </w:rPr>
        <w:t xml:space="preserve">oku </w:t>
      </w:r>
      <w:r w:rsidR="00E63732" w:rsidRPr="00621B62">
        <w:rPr>
          <w:rFonts w:ascii="Lato" w:eastAsia="Times New Roman" w:hAnsi="Lato"/>
          <w:sz w:val="22"/>
          <w:szCs w:val="24"/>
          <w:lang w:val="pl-PL" w:eastAsia="pl-PL"/>
        </w:rPr>
        <w:t>w </w:t>
      </w:r>
      <w:r w:rsidRPr="00621B62">
        <w:rPr>
          <w:rFonts w:ascii="Lato" w:eastAsia="Times New Roman" w:hAnsi="Lato"/>
          <w:sz w:val="22"/>
          <w:szCs w:val="24"/>
          <w:lang w:val="pl-PL" w:eastAsia="pl-PL"/>
        </w:rPr>
        <w:t xml:space="preserve">sprawie </w:t>
      </w:r>
      <w:r w:rsidR="00DE24DD" w:rsidRPr="00621B62">
        <w:rPr>
          <w:rFonts w:ascii="Lato" w:eastAsia="Times New Roman" w:hAnsi="Lato"/>
          <w:sz w:val="22"/>
          <w:szCs w:val="24"/>
          <w:lang w:val="pl-PL" w:eastAsia="pl-PL"/>
        </w:rPr>
        <w:t xml:space="preserve">przyjęcia, przekazania do zaopiniowania oraz udostępnienia społeczeństwu projektu uchwały Sejmiku Województwa Łódzkiego „w sprawie aktualizacji i zmiany programu ochrony powietrza oraz planu działań krótkoterminowych dla strefy łódzkiej” wraz z prognozą oddziaływania na środowisko </w:t>
      </w:r>
      <w:r w:rsidR="00FF58AD" w:rsidRPr="00621B62">
        <w:rPr>
          <w:rFonts w:ascii="Lato" w:eastAsia="Times New Roman" w:hAnsi="Lato"/>
          <w:sz w:val="22"/>
          <w:szCs w:val="24"/>
          <w:lang w:val="pl-PL" w:eastAsia="pl-PL"/>
        </w:rPr>
        <w:t>objęty został obszar gminy wiejskiej Pabianice w celu osiągnięcia poziomu dopuszczalnego pyłu zawieszonego PM10</w:t>
      </w:r>
      <w:r w:rsidR="009730D2">
        <w:rPr>
          <w:rFonts w:ascii="Lato" w:eastAsia="Times New Roman" w:hAnsi="Lato"/>
          <w:sz w:val="22"/>
          <w:szCs w:val="24"/>
          <w:lang w:val="pl-PL" w:eastAsia="pl-PL"/>
        </w:rPr>
        <w:t>.</w:t>
      </w:r>
    </w:p>
    <w:p w:rsidR="002E499D" w:rsidRDefault="002E499D" w:rsidP="002E499D">
      <w:pPr>
        <w:pStyle w:val="NormalnyNEDE"/>
        <w:spacing w:after="0" w:line="312" w:lineRule="auto"/>
        <w:ind w:firstLine="0"/>
        <w:rPr>
          <w:rFonts w:ascii="Lato" w:eastAsia="Times New Roman" w:hAnsi="Lato"/>
          <w:sz w:val="22"/>
          <w:szCs w:val="24"/>
          <w:lang w:val="pl-PL" w:eastAsia="pl-PL"/>
        </w:rPr>
      </w:pPr>
    </w:p>
    <w:p w:rsidR="00FF58AD" w:rsidRPr="002E499D" w:rsidRDefault="00FF58AD" w:rsidP="002E499D">
      <w:pPr>
        <w:pStyle w:val="NormalnyNEDE"/>
        <w:spacing w:after="0" w:line="312" w:lineRule="auto"/>
        <w:ind w:firstLine="0"/>
        <w:rPr>
          <w:rFonts w:ascii="Lato" w:eastAsia="Times New Roman" w:hAnsi="Lato"/>
          <w:sz w:val="22"/>
          <w:szCs w:val="24"/>
          <w:lang w:eastAsia="pl-PL"/>
        </w:rPr>
      </w:pPr>
      <w:r w:rsidRPr="00FF58AD">
        <w:rPr>
          <w:rFonts w:ascii="Lato" w:eastAsia="Times New Roman" w:hAnsi="Lato"/>
          <w:sz w:val="22"/>
          <w:szCs w:val="24"/>
          <w:lang w:eastAsia="pl-PL"/>
        </w:rPr>
        <w:lastRenderedPageBreak/>
        <w:t>Działania naprawcze dla Gminy Pabianice przedstawiono w załączniku 4.</w:t>
      </w:r>
    </w:p>
    <w:p w:rsidR="00FF58AD" w:rsidRDefault="00FF58AD" w:rsidP="00F75645">
      <w:pPr>
        <w:pStyle w:val="NormalnyNEDE"/>
        <w:spacing w:after="0" w:line="312" w:lineRule="auto"/>
        <w:ind w:firstLine="709"/>
        <w:rPr>
          <w:rFonts w:ascii="Lato" w:eastAsia="Times New Roman" w:hAnsi="Lato"/>
          <w:sz w:val="22"/>
          <w:szCs w:val="24"/>
          <w:lang w:val="pl-PL" w:eastAsia="pl-PL"/>
        </w:rPr>
      </w:pP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Podmiotami realizującymi powyższe działania są:</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organy administracji publicznej właściwe ze względu na lokalizację obszarów przekroczeń,</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przedsiębiorstwa kompetentne do rozwoju sieci gazowych,</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właściciele budynków,</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mieszkańcy,</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podmioty korzystające ze środowiska,</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właściwe zarządy dróg publicznych,</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jednostki edukacyjne,</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organizacje i stowarzyszenia ekologiczne,</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zarządzający funduszami celowymi,</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zarządzający funduszami unijnymi,</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zarządzający innymi środkami zewnętrznymi</w:t>
      </w:r>
    </w:p>
    <w:p w:rsidR="00FF58AD" w:rsidRPr="00FF58AD" w:rsidRDefault="00FF58AD" w:rsidP="00FF58AD">
      <w:pPr>
        <w:pStyle w:val="StylTekstpodstawowyArial11pt"/>
        <w:rPr>
          <w:rFonts w:ascii="Lato" w:eastAsia="Calibri" w:hAnsi="Lato"/>
          <w:bCs w:val="0"/>
          <w:spacing w:val="0"/>
          <w:szCs w:val="22"/>
          <w:lang w:val="x-none" w:eastAsia="en-US"/>
        </w:rPr>
      </w:pP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xml:space="preserve">W programie przewiduje się realizację przedsięwzięć do </w:t>
      </w:r>
      <w:r>
        <w:rPr>
          <w:rFonts w:ascii="Lato" w:eastAsia="Calibri" w:hAnsi="Lato"/>
          <w:bCs w:val="0"/>
          <w:spacing w:val="0"/>
          <w:szCs w:val="22"/>
          <w:lang w:eastAsia="en-US"/>
        </w:rPr>
        <w:t>roku</w:t>
      </w:r>
      <w:r w:rsidRPr="00FF58AD">
        <w:rPr>
          <w:rFonts w:ascii="Lato" w:eastAsia="Calibri" w:hAnsi="Lato"/>
          <w:bCs w:val="0"/>
          <w:spacing w:val="0"/>
          <w:szCs w:val="22"/>
          <w:lang w:val="x-none" w:eastAsia="en-US"/>
        </w:rPr>
        <w:t xml:space="preserve"> 20</w:t>
      </w:r>
      <w:r>
        <w:rPr>
          <w:rFonts w:ascii="Lato" w:eastAsia="Calibri" w:hAnsi="Lato"/>
          <w:bCs w:val="0"/>
          <w:spacing w:val="0"/>
          <w:szCs w:val="22"/>
          <w:lang w:eastAsia="en-US"/>
        </w:rPr>
        <w:t>20</w:t>
      </w:r>
      <w:r w:rsidRPr="00FF58AD">
        <w:rPr>
          <w:rFonts w:ascii="Lato" w:eastAsia="Calibri" w:hAnsi="Lato"/>
          <w:bCs w:val="0"/>
          <w:spacing w:val="0"/>
          <w:szCs w:val="22"/>
          <w:lang w:val="x-none" w:eastAsia="en-US"/>
        </w:rPr>
        <w:t xml:space="preserve"> r. Jako źródła finansowania wymienia się:</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xml:space="preserve">- budżet gminy, </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xml:space="preserve">- dofinansowanie unijne, </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xml:space="preserve">- dotacja i pożyczki z funduszów celowych, </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xml:space="preserve">- kredyty i pożyczki bankowe, </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xml:space="preserve">- inne środki zewnętrzne, </w:t>
      </w:r>
    </w:p>
    <w:p w:rsidR="00FF58AD" w:rsidRPr="00FF58AD" w:rsidRDefault="00FF58AD" w:rsidP="00FF58AD">
      <w:pPr>
        <w:pStyle w:val="StylTekstpodstawowyArial11pt"/>
        <w:rPr>
          <w:rFonts w:ascii="Lato" w:eastAsia="Calibri" w:hAnsi="Lato"/>
          <w:bCs w:val="0"/>
          <w:spacing w:val="0"/>
          <w:szCs w:val="22"/>
          <w:lang w:val="x-none" w:eastAsia="en-US"/>
        </w:rPr>
      </w:pPr>
      <w:r w:rsidRPr="00FF58AD">
        <w:rPr>
          <w:rFonts w:ascii="Lato" w:eastAsia="Calibri" w:hAnsi="Lato"/>
          <w:bCs w:val="0"/>
          <w:spacing w:val="0"/>
          <w:szCs w:val="22"/>
          <w:lang w:val="x-none" w:eastAsia="en-US"/>
        </w:rPr>
        <w:t>- środki własne osób fizycznych,</w:t>
      </w:r>
    </w:p>
    <w:p w:rsidR="00FF58AD" w:rsidRDefault="00FF58AD" w:rsidP="00FF58AD">
      <w:pPr>
        <w:pStyle w:val="StylTekstpodstawowyArial11pt"/>
        <w:rPr>
          <w:rFonts w:ascii="Lato" w:eastAsia="Calibri" w:hAnsi="Lato"/>
          <w:bCs w:val="0"/>
          <w:spacing w:val="0"/>
          <w:szCs w:val="22"/>
          <w:lang w:eastAsia="en-US"/>
        </w:rPr>
      </w:pPr>
      <w:r w:rsidRPr="00FF58AD">
        <w:rPr>
          <w:rFonts w:ascii="Lato" w:eastAsia="Calibri" w:hAnsi="Lato"/>
          <w:bCs w:val="0"/>
          <w:spacing w:val="0"/>
          <w:szCs w:val="22"/>
          <w:lang w:val="x-none" w:eastAsia="en-US"/>
        </w:rPr>
        <w:t>- środki własne właścicieli nieruchomości.</w:t>
      </w:r>
    </w:p>
    <w:p w:rsidR="00FF58AD" w:rsidRPr="00FF58AD" w:rsidRDefault="00FF58AD" w:rsidP="00FF58AD">
      <w:pPr>
        <w:pStyle w:val="StylTekstpodstawowyArial11pt"/>
        <w:rPr>
          <w:rFonts w:ascii="Lato" w:eastAsia="Calibri" w:hAnsi="Lato"/>
          <w:bCs w:val="0"/>
          <w:spacing w:val="0"/>
          <w:szCs w:val="22"/>
          <w:highlight w:val="yellow"/>
          <w:lang w:eastAsia="en-US"/>
        </w:rPr>
      </w:pPr>
    </w:p>
    <w:p w:rsidR="00D8648F" w:rsidRPr="00B40544" w:rsidRDefault="00D8648F" w:rsidP="003A314F">
      <w:pPr>
        <w:pStyle w:val="Nagwek2"/>
        <w:rPr>
          <w:rFonts w:ascii="Lato" w:hAnsi="Lato" w:cs="Times New Roman"/>
        </w:rPr>
      </w:pPr>
      <w:bookmarkStart w:id="196" w:name="_Toc405203082"/>
      <w:bookmarkStart w:id="197" w:name="_Toc421081677"/>
      <w:bookmarkStart w:id="198" w:name="_Toc20218515"/>
      <w:r w:rsidRPr="00B40544">
        <w:rPr>
          <w:rFonts w:ascii="Lato" w:hAnsi="Lato" w:cs="Times New Roman"/>
        </w:rPr>
        <w:t xml:space="preserve">Emisja substancji szkodliwych i dwutlenku węgla na terenie </w:t>
      </w:r>
      <w:bookmarkEnd w:id="196"/>
      <w:bookmarkEnd w:id="197"/>
      <w:r w:rsidR="00B2157A" w:rsidRPr="00B40544">
        <w:rPr>
          <w:rFonts w:ascii="Lato" w:hAnsi="Lato" w:cs="Times New Roman"/>
        </w:rPr>
        <w:t xml:space="preserve">gminy </w:t>
      </w:r>
      <w:r w:rsidR="00B40544">
        <w:rPr>
          <w:rFonts w:ascii="Lato" w:hAnsi="Lato" w:cs="Times New Roman"/>
        </w:rPr>
        <w:t>Pabianice</w:t>
      </w:r>
      <w:bookmarkEnd w:id="198"/>
    </w:p>
    <w:p w:rsidR="00B2157A" w:rsidRPr="00B40544" w:rsidRDefault="00B2157A" w:rsidP="00F75645">
      <w:pPr>
        <w:pStyle w:val="NormalnyNEDE"/>
        <w:spacing w:after="0" w:line="312" w:lineRule="auto"/>
        <w:ind w:firstLine="709"/>
        <w:rPr>
          <w:rFonts w:ascii="Lato" w:hAnsi="Lato"/>
          <w:sz w:val="22"/>
          <w:szCs w:val="22"/>
        </w:rPr>
      </w:pPr>
      <w:r w:rsidRPr="00B40544">
        <w:rPr>
          <w:rFonts w:ascii="Lato" w:hAnsi="Lato"/>
          <w:sz w:val="22"/>
          <w:szCs w:val="22"/>
        </w:rPr>
        <w:t>W celu oszacowania ogólnej emisji substancji szkodliwych do atmosfery ze spalania paliw w</w:t>
      </w:r>
      <w:r w:rsidRPr="00B40544">
        <w:rPr>
          <w:rFonts w:ascii="Lato" w:hAnsi="Lato"/>
          <w:sz w:val="22"/>
          <w:szCs w:val="22"/>
          <w:lang w:val="pl-PL"/>
        </w:rPr>
        <w:t> </w:t>
      </w:r>
      <w:r w:rsidRPr="00B40544">
        <w:rPr>
          <w:rFonts w:ascii="Lato" w:hAnsi="Lato"/>
          <w:sz w:val="22"/>
          <w:szCs w:val="22"/>
        </w:rPr>
        <w:t>budownictwie mieszkaniowym, sektorze handlowo-usługo</w:t>
      </w:r>
      <w:r w:rsidR="00617C1D" w:rsidRPr="00B40544">
        <w:rPr>
          <w:rFonts w:ascii="Lato" w:hAnsi="Lato"/>
          <w:sz w:val="22"/>
          <w:szCs w:val="22"/>
        </w:rPr>
        <w:t>wym i użyteczności publicznej w</w:t>
      </w:r>
      <w:r w:rsidR="00617C1D" w:rsidRPr="00B40544">
        <w:rPr>
          <w:rFonts w:ascii="Lato" w:hAnsi="Lato"/>
          <w:sz w:val="22"/>
          <w:szCs w:val="22"/>
          <w:lang w:val="pl-PL"/>
        </w:rPr>
        <w:t> </w:t>
      </w:r>
      <w:r w:rsidRPr="00B40544">
        <w:rPr>
          <w:rFonts w:ascii="Lato" w:hAnsi="Lato"/>
          <w:sz w:val="22"/>
          <w:szCs w:val="22"/>
        </w:rPr>
        <w:t>gminie koniecznym jest posłużenie się danymi pośrednimi. Punkt wyjściowy stanowiła w tym przypadku struktura zużycia paliw i energii w gminie.</w:t>
      </w:r>
    </w:p>
    <w:p w:rsidR="000F2794" w:rsidRPr="000F2794" w:rsidRDefault="000F2794" w:rsidP="000F2794">
      <w:pPr>
        <w:pStyle w:val="NormalnyNEDE"/>
        <w:ind w:firstLine="709"/>
        <w:rPr>
          <w:rFonts w:ascii="Lato" w:hAnsi="Lato"/>
          <w:sz w:val="22"/>
          <w:szCs w:val="22"/>
        </w:rPr>
      </w:pPr>
      <w:r w:rsidRPr="000F2794">
        <w:rPr>
          <w:rFonts w:ascii="Lato" w:hAnsi="Lato"/>
          <w:sz w:val="22"/>
          <w:szCs w:val="22"/>
        </w:rPr>
        <w:t>Na terenie gminy nie występują źródła emisji wysokiej charakterystycznej dla dużej energetyki.</w:t>
      </w:r>
    </w:p>
    <w:p w:rsidR="000F2794" w:rsidRPr="000F2794" w:rsidRDefault="000F2794" w:rsidP="000F2794">
      <w:pPr>
        <w:pStyle w:val="NormalnyNEDE"/>
        <w:spacing w:after="0" w:line="312" w:lineRule="auto"/>
        <w:ind w:firstLine="709"/>
        <w:rPr>
          <w:rFonts w:ascii="Lato" w:hAnsi="Lato"/>
          <w:sz w:val="22"/>
          <w:szCs w:val="22"/>
          <w:highlight w:val="yellow"/>
        </w:rPr>
      </w:pPr>
      <w:r w:rsidRPr="000F2794">
        <w:rPr>
          <w:rFonts w:ascii="Lato" w:hAnsi="Lato"/>
          <w:sz w:val="22"/>
          <w:szCs w:val="22"/>
        </w:rPr>
        <w:t>Emisja zanieczyszczeń pochodząca ze spalania pali</w:t>
      </w:r>
      <w:r w:rsidR="00D03562">
        <w:rPr>
          <w:rFonts w:ascii="Lato" w:hAnsi="Lato"/>
          <w:sz w:val="22"/>
          <w:szCs w:val="22"/>
        </w:rPr>
        <w:t>w w kotłowniach ujęta została w</w:t>
      </w:r>
      <w:r w:rsidR="00D03562">
        <w:rPr>
          <w:rFonts w:ascii="Lato" w:hAnsi="Lato"/>
          <w:sz w:val="22"/>
          <w:szCs w:val="22"/>
          <w:lang w:val="pl-PL"/>
        </w:rPr>
        <w:t> </w:t>
      </w:r>
      <w:r w:rsidRPr="000F2794">
        <w:rPr>
          <w:rFonts w:ascii="Lato" w:hAnsi="Lato"/>
          <w:sz w:val="22"/>
          <w:szCs w:val="22"/>
        </w:rPr>
        <w:t>bilansie zanieczyszczeń pochodzących z emisji niskiej.</w:t>
      </w:r>
    </w:p>
    <w:p w:rsidR="004B329B" w:rsidRPr="004B329B" w:rsidRDefault="004B329B" w:rsidP="00F75645">
      <w:pPr>
        <w:pStyle w:val="NormalnyNEDE"/>
        <w:spacing w:after="0" w:line="312" w:lineRule="auto"/>
        <w:ind w:firstLine="709"/>
        <w:rPr>
          <w:rFonts w:ascii="Lato" w:hAnsi="Lato"/>
          <w:sz w:val="22"/>
          <w:szCs w:val="22"/>
          <w:highlight w:val="yellow"/>
          <w:lang w:val="pl-PL"/>
        </w:rPr>
      </w:pPr>
    </w:p>
    <w:p w:rsidR="00D8648F" w:rsidRPr="003E0EB0" w:rsidRDefault="00D8648F" w:rsidP="00B40544">
      <w:pPr>
        <w:pStyle w:val="Legenda"/>
        <w:rPr>
          <w:rFonts w:ascii="Lato" w:hAnsi="Lato"/>
          <w:color w:val="1F497D"/>
          <w:sz w:val="20"/>
          <w:szCs w:val="20"/>
        </w:rPr>
      </w:pPr>
      <w:bookmarkStart w:id="199" w:name="_Toc341695836"/>
      <w:bookmarkStart w:id="200" w:name="_Toc336943640"/>
      <w:bookmarkStart w:id="201" w:name="_Toc336419473"/>
      <w:bookmarkStart w:id="202" w:name="_Toc328633031"/>
      <w:bookmarkStart w:id="203" w:name="_Toc421081814"/>
      <w:bookmarkStart w:id="204" w:name="_Toc20219180"/>
      <w:bookmarkStart w:id="205" w:name="OLE_LINK15"/>
      <w:r w:rsidRPr="003E0EB0">
        <w:rPr>
          <w:rFonts w:ascii="Lato" w:hAnsi="Lato"/>
          <w:color w:val="1F497D"/>
          <w:sz w:val="20"/>
          <w:szCs w:val="20"/>
        </w:rPr>
        <w:t xml:space="preserve">Tabela </w:t>
      </w:r>
      <w:r w:rsidR="004042AE" w:rsidRPr="003E0EB0">
        <w:rPr>
          <w:rFonts w:ascii="Lato" w:hAnsi="Lato"/>
          <w:color w:val="1F497D"/>
          <w:sz w:val="20"/>
          <w:szCs w:val="20"/>
        </w:rPr>
        <w:fldChar w:fldCharType="begin"/>
      </w:r>
      <w:r w:rsidR="005430ED" w:rsidRPr="003E0EB0">
        <w:rPr>
          <w:rFonts w:ascii="Lato" w:hAnsi="Lato"/>
          <w:color w:val="1F497D"/>
          <w:sz w:val="20"/>
          <w:szCs w:val="20"/>
        </w:rPr>
        <w:instrText xml:space="preserve"> STYLEREF 1 \s </w:instrText>
      </w:r>
      <w:r w:rsidR="004042AE" w:rsidRPr="003E0EB0">
        <w:rPr>
          <w:rFonts w:ascii="Lato" w:hAnsi="Lato"/>
          <w:color w:val="1F497D"/>
          <w:sz w:val="20"/>
          <w:szCs w:val="20"/>
        </w:rPr>
        <w:fldChar w:fldCharType="separate"/>
      </w:r>
      <w:r w:rsidR="0040205B">
        <w:rPr>
          <w:rFonts w:ascii="Lato" w:hAnsi="Lato"/>
          <w:noProof/>
          <w:color w:val="1F497D"/>
          <w:sz w:val="20"/>
          <w:szCs w:val="20"/>
        </w:rPr>
        <w:t>2</w:t>
      </w:r>
      <w:r w:rsidR="004042AE" w:rsidRPr="003E0EB0">
        <w:rPr>
          <w:rFonts w:ascii="Lato" w:hAnsi="Lato"/>
          <w:color w:val="1F497D"/>
          <w:sz w:val="20"/>
          <w:szCs w:val="20"/>
        </w:rPr>
        <w:fldChar w:fldCharType="end"/>
      </w:r>
      <w:r w:rsidR="005430ED" w:rsidRPr="003E0EB0">
        <w:rPr>
          <w:rFonts w:ascii="Lato" w:hAnsi="Lato"/>
          <w:color w:val="1F497D"/>
          <w:sz w:val="20"/>
          <w:szCs w:val="20"/>
        </w:rPr>
        <w:noBreakHyphen/>
      </w:r>
      <w:r w:rsidR="004042AE" w:rsidRPr="003E0EB0">
        <w:rPr>
          <w:rFonts w:ascii="Lato" w:hAnsi="Lato"/>
          <w:color w:val="1F497D"/>
          <w:sz w:val="20"/>
          <w:szCs w:val="20"/>
        </w:rPr>
        <w:fldChar w:fldCharType="begin"/>
      </w:r>
      <w:r w:rsidR="005430ED" w:rsidRPr="003E0EB0">
        <w:rPr>
          <w:rFonts w:ascii="Lato" w:hAnsi="Lato"/>
          <w:color w:val="1F497D"/>
          <w:sz w:val="20"/>
          <w:szCs w:val="20"/>
        </w:rPr>
        <w:instrText xml:space="preserve"> SEQ Tabela \* ARABIC \s 1 </w:instrText>
      </w:r>
      <w:r w:rsidR="004042AE" w:rsidRPr="003E0EB0">
        <w:rPr>
          <w:rFonts w:ascii="Lato" w:hAnsi="Lato"/>
          <w:color w:val="1F497D"/>
          <w:sz w:val="20"/>
          <w:szCs w:val="20"/>
        </w:rPr>
        <w:fldChar w:fldCharType="separate"/>
      </w:r>
      <w:r w:rsidR="0040205B">
        <w:rPr>
          <w:rFonts w:ascii="Lato" w:hAnsi="Lato"/>
          <w:noProof/>
          <w:color w:val="1F497D"/>
          <w:sz w:val="20"/>
          <w:szCs w:val="20"/>
        </w:rPr>
        <w:t>14</w:t>
      </w:r>
      <w:r w:rsidR="004042AE" w:rsidRPr="003E0EB0">
        <w:rPr>
          <w:rFonts w:ascii="Lato" w:hAnsi="Lato"/>
          <w:color w:val="1F497D"/>
          <w:sz w:val="20"/>
          <w:szCs w:val="20"/>
        </w:rPr>
        <w:fldChar w:fldCharType="end"/>
      </w:r>
      <w:r w:rsidRPr="003E0EB0">
        <w:rPr>
          <w:rFonts w:ascii="Lato" w:hAnsi="Lato"/>
          <w:color w:val="1F497D"/>
          <w:sz w:val="20"/>
          <w:szCs w:val="20"/>
        </w:rPr>
        <w:t xml:space="preserve"> Szacunkowa emisja substancji szkodliwych do atmosfery na terenie </w:t>
      </w:r>
      <w:r w:rsidR="00680461" w:rsidRPr="003E0EB0">
        <w:rPr>
          <w:rFonts w:ascii="Lato" w:hAnsi="Lato"/>
          <w:color w:val="1F497D"/>
          <w:sz w:val="20"/>
          <w:szCs w:val="20"/>
          <w:lang w:val="pl-PL"/>
        </w:rPr>
        <w:t xml:space="preserve">Gminy </w:t>
      </w:r>
      <w:r w:rsidR="00B40544" w:rsidRPr="003E0EB0">
        <w:rPr>
          <w:rFonts w:ascii="Lato" w:hAnsi="Lato"/>
          <w:color w:val="1F497D"/>
          <w:sz w:val="20"/>
          <w:szCs w:val="20"/>
          <w:lang w:val="pl-PL"/>
        </w:rPr>
        <w:t>Pabianice</w:t>
      </w:r>
      <w:r w:rsidRPr="003E0EB0">
        <w:rPr>
          <w:rFonts w:ascii="Lato" w:hAnsi="Lato"/>
          <w:color w:val="1F497D"/>
          <w:sz w:val="20"/>
          <w:szCs w:val="20"/>
        </w:rPr>
        <w:t xml:space="preserve"> ze spalania paliw do celów grzewczych w 201</w:t>
      </w:r>
      <w:r w:rsidR="00680461" w:rsidRPr="003E0EB0">
        <w:rPr>
          <w:rFonts w:ascii="Lato" w:hAnsi="Lato"/>
          <w:color w:val="1F497D"/>
          <w:sz w:val="20"/>
          <w:szCs w:val="20"/>
          <w:lang w:val="pl-PL"/>
        </w:rPr>
        <w:t>8</w:t>
      </w:r>
      <w:r w:rsidRPr="003E0EB0">
        <w:rPr>
          <w:rFonts w:ascii="Lato" w:hAnsi="Lato"/>
          <w:color w:val="1F497D"/>
          <w:sz w:val="20"/>
          <w:szCs w:val="20"/>
        </w:rPr>
        <w:t xml:space="preserve"> roku (emisja niska)</w:t>
      </w:r>
      <w:bookmarkEnd w:id="199"/>
      <w:bookmarkEnd w:id="200"/>
      <w:bookmarkEnd w:id="201"/>
      <w:bookmarkEnd w:id="202"/>
      <w:bookmarkEnd w:id="203"/>
      <w:bookmarkEnd w:id="204"/>
    </w:p>
    <w:tbl>
      <w:tblPr>
        <w:tblW w:w="5000" w:type="pct"/>
        <w:jc w:val="center"/>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4A0" w:firstRow="1" w:lastRow="0" w:firstColumn="1" w:lastColumn="0" w:noHBand="0" w:noVBand="1"/>
      </w:tblPr>
      <w:tblGrid>
        <w:gridCol w:w="5338"/>
        <w:gridCol w:w="4215"/>
      </w:tblGrid>
      <w:tr w:rsidR="00D8648F" w:rsidRPr="003E0EB0" w:rsidTr="00680461">
        <w:trPr>
          <w:cantSplit/>
          <w:jc w:val="center"/>
        </w:trPr>
        <w:tc>
          <w:tcPr>
            <w:tcW w:w="2794" w:type="pct"/>
            <w:tcBorders>
              <w:top w:val="single" w:sz="2" w:space="0" w:color="4F81BD"/>
              <w:left w:val="single" w:sz="2" w:space="0" w:color="4F81BD"/>
              <w:bottom w:val="single" w:sz="2" w:space="0" w:color="4F81BD"/>
              <w:right w:val="single" w:sz="2" w:space="0" w:color="4F81BD"/>
            </w:tcBorders>
            <w:shd w:val="clear" w:color="auto" w:fill="DBE5F1"/>
            <w:vAlign w:val="center"/>
            <w:hideMark/>
          </w:tcPr>
          <w:bookmarkEnd w:id="205"/>
          <w:p w:rsidR="00D8648F" w:rsidRPr="003E0EB0" w:rsidRDefault="00D8648F" w:rsidP="00125260">
            <w:pPr>
              <w:spacing w:before="40" w:after="40" w:line="240" w:lineRule="auto"/>
              <w:ind w:firstLine="0"/>
              <w:jc w:val="center"/>
              <w:rPr>
                <w:rFonts w:ascii="Lato" w:hAnsi="Lato"/>
                <w:bCs/>
                <w:color w:val="17365D"/>
                <w:sz w:val="20"/>
                <w:szCs w:val="20"/>
              </w:rPr>
            </w:pPr>
            <w:r w:rsidRPr="003E0EB0">
              <w:rPr>
                <w:rFonts w:ascii="Lato" w:hAnsi="Lato"/>
                <w:color w:val="17365D"/>
                <w:sz w:val="20"/>
                <w:szCs w:val="20"/>
              </w:rPr>
              <w:t>Rodzaj substancji</w:t>
            </w:r>
          </w:p>
        </w:tc>
        <w:tc>
          <w:tcPr>
            <w:tcW w:w="2206" w:type="pct"/>
            <w:tcBorders>
              <w:top w:val="single" w:sz="2" w:space="0" w:color="4F81BD"/>
              <w:left w:val="single" w:sz="2" w:space="0" w:color="4F81BD"/>
              <w:bottom w:val="single" w:sz="2" w:space="0" w:color="4F81BD"/>
              <w:right w:val="single" w:sz="2" w:space="0" w:color="4F81BD"/>
            </w:tcBorders>
            <w:shd w:val="clear" w:color="auto" w:fill="DBE5F1"/>
            <w:vAlign w:val="center"/>
            <w:hideMark/>
          </w:tcPr>
          <w:p w:rsidR="00D8648F" w:rsidRPr="003E0EB0" w:rsidRDefault="00D8648F" w:rsidP="00125260">
            <w:pPr>
              <w:spacing w:before="40" w:after="40" w:line="240" w:lineRule="auto"/>
              <w:ind w:firstLine="0"/>
              <w:jc w:val="center"/>
              <w:rPr>
                <w:rFonts w:ascii="Lato" w:hAnsi="Lato"/>
                <w:bCs/>
                <w:color w:val="17365D"/>
                <w:sz w:val="20"/>
                <w:szCs w:val="20"/>
              </w:rPr>
            </w:pPr>
            <w:r w:rsidRPr="003E0EB0">
              <w:rPr>
                <w:rFonts w:ascii="Lato" w:hAnsi="Lato"/>
                <w:color w:val="17365D"/>
                <w:sz w:val="20"/>
                <w:szCs w:val="20"/>
              </w:rPr>
              <w:t>Ilość</w:t>
            </w:r>
            <w:r w:rsidR="00125260" w:rsidRPr="003E0EB0">
              <w:rPr>
                <w:rFonts w:ascii="Lato" w:hAnsi="Lato"/>
                <w:color w:val="17365D"/>
                <w:sz w:val="20"/>
                <w:szCs w:val="20"/>
              </w:rPr>
              <w:t xml:space="preserve">, </w:t>
            </w:r>
            <w:r w:rsidRPr="003E0EB0">
              <w:rPr>
                <w:rFonts w:ascii="Lato" w:hAnsi="Lato"/>
                <w:color w:val="17365D"/>
                <w:sz w:val="20"/>
                <w:szCs w:val="20"/>
              </w:rPr>
              <w:t>Mg/rok</w:t>
            </w:r>
          </w:p>
        </w:tc>
      </w:tr>
      <w:tr w:rsidR="003E0EB0" w:rsidRPr="003E0EB0" w:rsidTr="00680461">
        <w:trPr>
          <w:cantSplit/>
          <w:jc w:val="center"/>
        </w:trPr>
        <w:tc>
          <w:tcPr>
            <w:tcW w:w="2794" w:type="pct"/>
            <w:tcBorders>
              <w:top w:val="single" w:sz="2" w:space="0" w:color="4F81BD"/>
              <w:left w:val="single" w:sz="2" w:space="0" w:color="4F81BD"/>
              <w:bottom w:val="single" w:sz="2" w:space="0" w:color="4F81BD"/>
              <w:right w:val="single" w:sz="2" w:space="0" w:color="4F81BD"/>
            </w:tcBorders>
            <w:vAlign w:val="center"/>
            <w:hideMark/>
          </w:tcPr>
          <w:p w:rsidR="003E0EB0" w:rsidRPr="003E0EB0" w:rsidRDefault="003E0EB0" w:rsidP="00680461">
            <w:pPr>
              <w:spacing w:before="40" w:after="40" w:line="240" w:lineRule="auto"/>
              <w:ind w:firstLine="0"/>
              <w:rPr>
                <w:rFonts w:ascii="Lato" w:hAnsi="Lato"/>
                <w:color w:val="17365D"/>
                <w:sz w:val="20"/>
                <w:szCs w:val="20"/>
              </w:rPr>
            </w:pPr>
            <w:r w:rsidRPr="003E0EB0">
              <w:rPr>
                <w:rFonts w:ascii="Lato" w:hAnsi="Lato"/>
                <w:color w:val="17365D"/>
                <w:sz w:val="20"/>
                <w:szCs w:val="20"/>
              </w:rPr>
              <w:t>Dwutlenek siarki</w:t>
            </w:r>
          </w:p>
        </w:tc>
        <w:tc>
          <w:tcPr>
            <w:tcW w:w="2206" w:type="pct"/>
            <w:tcBorders>
              <w:top w:val="single" w:sz="2" w:space="0" w:color="4F81BD"/>
              <w:left w:val="single" w:sz="2" w:space="0" w:color="4F81BD"/>
              <w:bottom w:val="single" w:sz="2" w:space="0" w:color="4F81BD"/>
              <w:right w:val="single" w:sz="2" w:space="0" w:color="4F81BD"/>
            </w:tcBorders>
            <w:vAlign w:val="center"/>
            <w:hideMark/>
          </w:tcPr>
          <w:p w:rsidR="003E0EB0" w:rsidRPr="003E0EB0" w:rsidRDefault="003E0EB0" w:rsidP="003E0EB0">
            <w:pPr>
              <w:ind w:firstLine="0"/>
              <w:jc w:val="center"/>
              <w:rPr>
                <w:rFonts w:cs="Arial"/>
                <w:sz w:val="20"/>
                <w:szCs w:val="20"/>
              </w:rPr>
            </w:pPr>
            <w:r w:rsidRPr="003E0EB0">
              <w:rPr>
                <w:rFonts w:cs="Arial"/>
                <w:sz w:val="20"/>
                <w:szCs w:val="20"/>
              </w:rPr>
              <w:t>101</w:t>
            </w:r>
          </w:p>
        </w:tc>
      </w:tr>
      <w:tr w:rsidR="003E0EB0" w:rsidRPr="003E0EB0" w:rsidTr="00680461">
        <w:trPr>
          <w:cantSplit/>
          <w:jc w:val="center"/>
        </w:trPr>
        <w:tc>
          <w:tcPr>
            <w:tcW w:w="2794" w:type="pct"/>
            <w:tcBorders>
              <w:top w:val="single" w:sz="2" w:space="0" w:color="4F81BD"/>
              <w:left w:val="single" w:sz="2" w:space="0" w:color="4F81BD"/>
              <w:bottom w:val="single" w:sz="2" w:space="0" w:color="4F81BD"/>
              <w:right w:val="single" w:sz="2" w:space="0" w:color="4F81BD"/>
            </w:tcBorders>
            <w:vAlign w:val="center"/>
            <w:hideMark/>
          </w:tcPr>
          <w:p w:rsidR="003E0EB0" w:rsidRPr="003E0EB0" w:rsidRDefault="003E0EB0" w:rsidP="00680461">
            <w:pPr>
              <w:spacing w:before="40" w:after="40" w:line="240" w:lineRule="auto"/>
              <w:ind w:firstLine="0"/>
              <w:rPr>
                <w:rFonts w:ascii="Lato" w:hAnsi="Lato"/>
                <w:color w:val="17365D"/>
                <w:sz w:val="20"/>
                <w:szCs w:val="20"/>
              </w:rPr>
            </w:pPr>
            <w:r w:rsidRPr="003E0EB0">
              <w:rPr>
                <w:rFonts w:ascii="Lato" w:hAnsi="Lato"/>
                <w:color w:val="17365D"/>
                <w:sz w:val="20"/>
                <w:szCs w:val="20"/>
              </w:rPr>
              <w:lastRenderedPageBreak/>
              <w:t>Dwutlenek azotu</w:t>
            </w:r>
          </w:p>
        </w:tc>
        <w:tc>
          <w:tcPr>
            <w:tcW w:w="2206" w:type="pct"/>
            <w:tcBorders>
              <w:top w:val="single" w:sz="2" w:space="0" w:color="4F81BD"/>
              <w:left w:val="single" w:sz="2" w:space="0" w:color="4F81BD"/>
              <w:bottom w:val="single" w:sz="2" w:space="0" w:color="4F81BD"/>
              <w:right w:val="single" w:sz="2" w:space="0" w:color="4F81BD"/>
            </w:tcBorders>
            <w:vAlign w:val="center"/>
            <w:hideMark/>
          </w:tcPr>
          <w:p w:rsidR="003E0EB0" w:rsidRPr="003E0EB0" w:rsidRDefault="003E0EB0" w:rsidP="003E0EB0">
            <w:pPr>
              <w:ind w:firstLine="0"/>
              <w:jc w:val="center"/>
              <w:rPr>
                <w:rFonts w:cs="Arial"/>
                <w:sz w:val="20"/>
                <w:szCs w:val="20"/>
              </w:rPr>
            </w:pPr>
            <w:r w:rsidRPr="003E0EB0">
              <w:rPr>
                <w:rFonts w:cs="Arial"/>
                <w:sz w:val="20"/>
                <w:szCs w:val="20"/>
              </w:rPr>
              <w:t>21</w:t>
            </w:r>
          </w:p>
        </w:tc>
      </w:tr>
      <w:tr w:rsidR="003E0EB0" w:rsidRPr="003E0EB0" w:rsidTr="00680461">
        <w:trPr>
          <w:cantSplit/>
          <w:jc w:val="center"/>
        </w:trPr>
        <w:tc>
          <w:tcPr>
            <w:tcW w:w="2794" w:type="pct"/>
            <w:tcBorders>
              <w:top w:val="single" w:sz="2" w:space="0" w:color="4F81BD"/>
              <w:left w:val="single" w:sz="2" w:space="0" w:color="4F81BD"/>
              <w:bottom w:val="single" w:sz="2" w:space="0" w:color="4F81BD"/>
              <w:right w:val="single" w:sz="2" w:space="0" w:color="4F81BD"/>
            </w:tcBorders>
            <w:vAlign w:val="center"/>
            <w:hideMark/>
          </w:tcPr>
          <w:p w:rsidR="003E0EB0" w:rsidRPr="003E0EB0" w:rsidRDefault="003E0EB0" w:rsidP="00680461">
            <w:pPr>
              <w:spacing w:before="40" w:after="40" w:line="240" w:lineRule="auto"/>
              <w:ind w:firstLine="0"/>
              <w:rPr>
                <w:rFonts w:ascii="Lato" w:hAnsi="Lato"/>
                <w:color w:val="17365D"/>
                <w:sz w:val="20"/>
                <w:szCs w:val="20"/>
              </w:rPr>
            </w:pPr>
            <w:r w:rsidRPr="003E0EB0">
              <w:rPr>
                <w:rFonts w:ascii="Lato" w:hAnsi="Lato"/>
                <w:color w:val="17365D"/>
                <w:sz w:val="20"/>
                <w:szCs w:val="20"/>
              </w:rPr>
              <w:t>Tlenek węgla</w:t>
            </w:r>
          </w:p>
        </w:tc>
        <w:tc>
          <w:tcPr>
            <w:tcW w:w="2206" w:type="pct"/>
            <w:tcBorders>
              <w:top w:val="single" w:sz="2" w:space="0" w:color="4F81BD"/>
              <w:left w:val="single" w:sz="2" w:space="0" w:color="4F81BD"/>
              <w:bottom w:val="single" w:sz="2" w:space="0" w:color="4F81BD"/>
              <w:right w:val="single" w:sz="2" w:space="0" w:color="4F81BD"/>
            </w:tcBorders>
            <w:vAlign w:val="center"/>
            <w:hideMark/>
          </w:tcPr>
          <w:p w:rsidR="003E0EB0" w:rsidRPr="003E0EB0" w:rsidRDefault="003E0EB0" w:rsidP="003E0EB0">
            <w:pPr>
              <w:ind w:firstLine="0"/>
              <w:jc w:val="center"/>
              <w:rPr>
                <w:rFonts w:cs="Arial"/>
                <w:sz w:val="20"/>
                <w:szCs w:val="20"/>
              </w:rPr>
            </w:pPr>
            <w:r w:rsidRPr="003E0EB0">
              <w:rPr>
                <w:rFonts w:cs="Arial"/>
                <w:sz w:val="20"/>
                <w:szCs w:val="20"/>
              </w:rPr>
              <w:t>594</w:t>
            </w:r>
          </w:p>
        </w:tc>
      </w:tr>
      <w:tr w:rsidR="003E0EB0" w:rsidRPr="003E0EB0" w:rsidTr="00680461">
        <w:trPr>
          <w:cantSplit/>
          <w:jc w:val="center"/>
        </w:trPr>
        <w:tc>
          <w:tcPr>
            <w:tcW w:w="2794" w:type="pct"/>
            <w:tcBorders>
              <w:top w:val="single" w:sz="2" w:space="0" w:color="4F81BD"/>
              <w:left w:val="single" w:sz="2" w:space="0" w:color="4F81BD"/>
              <w:bottom w:val="single" w:sz="2" w:space="0" w:color="4F81BD"/>
              <w:right w:val="single" w:sz="2" w:space="0" w:color="4F81BD"/>
            </w:tcBorders>
            <w:vAlign w:val="center"/>
            <w:hideMark/>
          </w:tcPr>
          <w:p w:rsidR="003E0EB0" w:rsidRPr="003E0EB0" w:rsidRDefault="003E0EB0" w:rsidP="00680461">
            <w:pPr>
              <w:spacing w:before="40" w:after="40" w:line="240" w:lineRule="auto"/>
              <w:ind w:firstLine="0"/>
              <w:rPr>
                <w:rFonts w:ascii="Lato" w:hAnsi="Lato"/>
                <w:color w:val="17365D"/>
                <w:sz w:val="20"/>
                <w:szCs w:val="20"/>
              </w:rPr>
            </w:pPr>
            <w:r w:rsidRPr="003E0EB0">
              <w:rPr>
                <w:rFonts w:ascii="Lato" w:hAnsi="Lato"/>
                <w:color w:val="17365D"/>
                <w:sz w:val="20"/>
                <w:szCs w:val="20"/>
              </w:rPr>
              <w:t>Dwutlenek węgla</w:t>
            </w:r>
          </w:p>
        </w:tc>
        <w:tc>
          <w:tcPr>
            <w:tcW w:w="2206" w:type="pct"/>
            <w:tcBorders>
              <w:top w:val="single" w:sz="2" w:space="0" w:color="4F81BD"/>
              <w:left w:val="single" w:sz="2" w:space="0" w:color="4F81BD"/>
              <w:bottom w:val="single" w:sz="2" w:space="0" w:color="4F81BD"/>
              <w:right w:val="single" w:sz="2" w:space="0" w:color="4F81BD"/>
            </w:tcBorders>
            <w:vAlign w:val="center"/>
            <w:hideMark/>
          </w:tcPr>
          <w:p w:rsidR="003E0EB0" w:rsidRPr="003E0EB0" w:rsidRDefault="003E0EB0" w:rsidP="003E0EB0">
            <w:pPr>
              <w:ind w:firstLine="0"/>
              <w:jc w:val="center"/>
              <w:rPr>
                <w:rFonts w:cs="Arial"/>
                <w:sz w:val="20"/>
                <w:szCs w:val="20"/>
              </w:rPr>
            </w:pPr>
            <w:r w:rsidRPr="003E0EB0">
              <w:rPr>
                <w:rFonts w:cs="Arial"/>
                <w:sz w:val="20"/>
                <w:szCs w:val="20"/>
              </w:rPr>
              <w:t>15 468</w:t>
            </w:r>
          </w:p>
        </w:tc>
      </w:tr>
      <w:tr w:rsidR="00DC0195" w:rsidRPr="003E0EB0" w:rsidTr="00680461">
        <w:trPr>
          <w:cantSplit/>
          <w:jc w:val="center"/>
        </w:trPr>
        <w:tc>
          <w:tcPr>
            <w:tcW w:w="2794" w:type="pct"/>
            <w:tcBorders>
              <w:top w:val="single" w:sz="2" w:space="0" w:color="4F81BD"/>
              <w:left w:val="single" w:sz="2" w:space="0" w:color="4F81BD"/>
              <w:bottom w:val="single" w:sz="2" w:space="0" w:color="4F81BD"/>
              <w:right w:val="single" w:sz="2" w:space="0" w:color="4F81BD"/>
            </w:tcBorders>
            <w:vAlign w:val="center"/>
            <w:hideMark/>
          </w:tcPr>
          <w:p w:rsidR="00DC0195" w:rsidRPr="003E0EB0" w:rsidRDefault="00DC0195" w:rsidP="00680461">
            <w:pPr>
              <w:spacing w:before="40" w:after="40" w:line="240" w:lineRule="auto"/>
              <w:ind w:firstLine="0"/>
              <w:rPr>
                <w:rFonts w:ascii="Lato" w:hAnsi="Lato"/>
                <w:color w:val="17365D"/>
                <w:sz w:val="20"/>
                <w:szCs w:val="20"/>
              </w:rPr>
            </w:pPr>
            <w:r w:rsidRPr="003E0EB0">
              <w:rPr>
                <w:rFonts w:ascii="Lato" w:hAnsi="Lato"/>
                <w:color w:val="17365D"/>
                <w:sz w:val="20"/>
                <w:szCs w:val="20"/>
              </w:rPr>
              <w:t>Pył</w:t>
            </w:r>
          </w:p>
        </w:tc>
        <w:tc>
          <w:tcPr>
            <w:tcW w:w="2206" w:type="pct"/>
            <w:tcBorders>
              <w:top w:val="single" w:sz="2" w:space="0" w:color="4F81BD"/>
              <w:left w:val="single" w:sz="2" w:space="0" w:color="4F81BD"/>
              <w:bottom w:val="single" w:sz="2" w:space="0" w:color="4F81BD"/>
              <w:right w:val="single" w:sz="2" w:space="0" w:color="4F81BD"/>
            </w:tcBorders>
            <w:vAlign w:val="center"/>
            <w:hideMark/>
          </w:tcPr>
          <w:p w:rsidR="00DC0195" w:rsidRPr="003E0EB0" w:rsidRDefault="003E0EB0" w:rsidP="003E0EB0">
            <w:pPr>
              <w:ind w:firstLine="0"/>
              <w:jc w:val="center"/>
              <w:rPr>
                <w:rFonts w:cs="Arial"/>
                <w:sz w:val="20"/>
                <w:szCs w:val="20"/>
              </w:rPr>
            </w:pPr>
            <w:r w:rsidRPr="003E0EB0">
              <w:rPr>
                <w:rFonts w:cs="Arial"/>
                <w:sz w:val="20"/>
                <w:szCs w:val="20"/>
              </w:rPr>
              <w:t>152</w:t>
            </w:r>
          </w:p>
        </w:tc>
      </w:tr>
      <w:tr w:rsidR="00DC0195" w:rsidRPr="00D352C4" w:rsidTr="00680461">
        <w:trPr>
          <w:cantSplit/>
          <w:jc w:val="center"/>
        </w:trPr>
        <w:tc>
          <w:tcPr>
            <w:tcW w:w="2794" w:type="pct"/>
            <w:tcBorders>
              <w:top w:val="single" w:sz="2" w:space="0" w:color="4F81BD"/>
              <w:left w:val="single" w:sz="2" w:space="0" w:color="4F81BD"/>
              <w:bottom w:val="single" w:sz="2" w:space="0" w:color="4F81BD"/>
              <w:right w:val="single" w:sz="2" w:space="0" w:color="4F81BD"/>
            </w:tcBorders>
            <w:vAlign w:val="center"/>
            <w:hideMark/>
          </w:tcPr>
          <w:p w:rsidR="00DC0195" w:rsidRPr="003E0EB0" w:rsidRDefault="00DC0195" w:rsidP="00680461">
            <w:pPr>
              <w:spacing w:before="40" w:after="40" w:line="240" w:lineRule="auto"/>
              <w:ind w:firstLine="0"/>
              <w:rPr>
                <w:rFonts w:ascii="Lato" w:hAnsi="Lato"/>
                <w:color w:val="17365D"/>
                <w:sz w:val="20"/>
                <w:szCs w:val="20"/>
              </w:rPr>
            </w:pPr>
            <w:r w:rsidRPr="003E0EB0">
              <w:rPr>
                <w:rFonts w:ascii="Lato" w:hAnsi="Lato"/>
                <w:color w:val="17365D"/>
                <w:sz w:val="20"/>
                <w:szCs w:val="20"/>
              </w:rPr>
              <w:t>Benzo(a)piren</w:t>
            </w:r>
          </w:p>
        </w:tc>
        <w:tc>
          <w:tcPr>
            <w:tcW w:w="2206" w:type="pct"/>
            <w:tcBorders>
              <w:top w:val="single" w:sz="2" w:space="0" w:color="4F81BD"/>
              <w:left w:val="single" w:sz="2" w:space="0" w:color="4F81BD"/>
              <w:bottom w:val="single" w:sz="2" w:space="0" w:color="4F81BD"/>
              <w:right w:val="single" w:sz="2" w:space="0" w:color="4F81BD"/>
            </w:tcBorders>
            <w:vAlign w:val="center"/>
            <w:hideMark/>
          </w:tcPr>
          <w:p w:rsidR="00DC0195" w:rsidRPr="003E0EB0" w:rsidRDefault="003E0EB0" w:rsidP="003E0EB0">
            <w:pPr>
              <w:ind w:firstLine="0"/>
              <w:jc w:val="center"/>
              <w:rPr>
                <w:rFonts w:cs="Arial"/>
                <w:sz w:val="20"/>
                <w:szCs w:val="20"/>
              </w:rPr>
            </w:pPr>
            <w:r w:rsidRPr="003E0EB0">
              <w:rPr>
                <w:rFonts w:cs="Arial"/>
                <w:sz w:val="20"/>
                <w:szCs w:val="20"/>
              </w:rPr>
              <w:t>0,117</w:t>
            </w:r>
          </w:p>
        </w:tc>
      </w:tr>
    </w:tbl>
    <w:p w:rsidR="00D8648F" w:rsidRPr="00B40544" w:rsidRDefault="00D8648F" w:rsidP="00125260">
      <w:pPr>
        <w:ind w:firstLine="0"/>
        <w:jc w:val="center"/>
        <w:rPr>
          <w:rFonts w:ascii="Lato" w:hAnsi="Lato"/>
          <w:bCs/>
          <w:i/>
          <w:spacing w:val="-2"/>
          <w:sz w:val="20"/>
          <w:szCs w:val="20"/>
        </w:rPr>
      </w:pPr>
      <w:r w:rsidRPr="00B40544">
        <w:rPr>
          <w:rFonts w:ascii="Lato" w:hAnsi="Lato"/>
          <w:bCs/>
          <w:i/>
          <w:spacing w:val="-2"/>
          <w:sz w:val="20"/>
          <w:szCs w:val="20"/>
        </w:rPr>
        <w:t>Źródło: ankietyzacja</w:t>
      </w:r>
    </w:p>
    <w:p w:rsidR="00D8648F" w:rsidRPr="00B40544" w:rsidRDefault="00D8648F" w:rsidP="00D8648F">
      <w:pPr>
        <w:pStyle w:val="NormalnyNEDE"/>
        <w:rPr>
          <w:rFonts w:ascii="Lato" w:hAnsi="Lato"/>
          <w:sz w:val="22"/>
          <w:szCs w:val="22"/>
        </w:rPr>
      </w:pPr>
    </w:p>
    <w:p w:rsidR="00D8648F" w:rsidRPr="00B40544" w:rsidRDefault="00D8648F" w:rsidP="00F75645">
      <w:pPr>
        <w:pStyle w:val="NormalnyNEDE"/>
        <w:spacing w:after="0" w:line="312" w:lineRule="auto"/>
        <w:ind w:firstLine="709"/>
        <w:rPr>
          <w:rFonts w:ascii="Lato" w:hAnsi="Lato"/>
          <w:sz w:val="22"/>
          <w:szCs w:val="22"/>
        </w:rPr>
      </w:pPr>
      <w:r w:rsidRPr="00B40544">
        <w:rPr>
          <w:rFonts w:ascii="Lato" w:hAnsi="Lato"/>
          <w:sz w:val="22"/>
          <w:szCs w:val="22"/>
        </w:rPr>
        <w:t>Na podstawie danych dotyczących natężenia ruchu oraz udziału poszczególnych typów pojazdów</w:t>
      </w:r>
      <w:r w:rsidR="00701AEF" w:rsidRPr="00B40544">
        <w:rPr>
          <w:rFonts w:ascii="Lato" w:hAnsi="Lato"/>
          <w:sz w:val="22"/>
          <w:szCs w:val="22"/>
          <w:lang w:val="pl-PL"/>
        </w:rPr>
        <w:t>,</w:t>
      </w:r>
      <w:r w:rsidRPr="00B40544">
        <w:rPr>
          <w:rFonts w:ascii="Lato" w:hAnsi="Lato"/>
          <w:sz w:val="22"/>
          <w:szCs w:val="22"/>
        </w:rPr>
        <w:t xml:space="preserve"> w</w:t>
      </w:r>
      <w:r w:rsidR="00125260" w:rsidRPr="00B40544">
        <w:rPr>
          <w:rFonts w:ascii="Lato" w:hAnsi="Lato"/>
          <w:sz w:val="22"/>
          <w:szCs w:val="22"/>
        </w:rPr>
        <w:t> </w:t>
      </w:r>
      <w:r w:rsidRPr="00B40544">
        <w:rPr>
          <w:rFonts w:ascii="Lato" w:hAnsi="Lato"/>
          <w:sz w:val="22"/>
          <w:szCs w:val="22"/>
        </w:rPr>
        <w:t xml:space="preserve">tym ruchu na głównych arteriach komunikacyjnych </w:t>
      </w:r>
      <w:r w:rsidR="00A32F52" w:rsidRPr="00B40544">
        <w:rPr>
          <w:rFonts w:ascii="Lato" w:hAnsi="Lato"/>
          <w:sz w:val="22"/>
          <w:szCs w:val="22"/>
          <w:lang w:val="pl-PL"/>
        </w:rPr>
        <w:t>gminy</w:t>
      </w:r>
      <w:r w:rsidRPr="00B40544">
        <w:rPr>
          <w:rFonts w:ascii="Lato" w:hAnsi="Lato"/>
          <w:sz w:val="22"/>
          <w:szCs w:val="22"/>
        </w:rPr>
        <w:t xml:space="preserve"> (dane Generalnej Dyrekcji Dróg Krajowych i Autostrad) oraz opracowania Ministe</w:t>
      </w:r>
      <w:r w:rsidR="00D03562">
        <w:rPr>
          <w:rFonts w:ascii="Lato" w:hAnsi="Lato"/>
          <w:sz w:val="22"/>
          <w:szCs w:val="22"/>
        </w:rPr>
        <w:t>rstwa Środowiska „Wskazówki dla</w:t>
      </w:r>
      <w:r w:rsidR="00D03562">
        <w:rPr>
          <w:rFonts w:ascii="Lato" w:hAnsi="Lato"/>
          <w:sz w:val="22"/>
          <w:szCs w:val="22"/>
          <w:lang w:val="pl-PL"/>
        </w:rPr>
        <w:t> </w:t>
      </w:r>
      <w:r w:rsidRPr="00B40544">
        <w:rPr>
          <w:rFonts w:ascii="Lato" w:hAnsi="Lato"/>
          <w:sz w:val="22"/>
          <w:szCs w:val="22"/>
        </w:rPr>
        <w:t xml:space="preserve">wojewódzkich inwentaryzacji emisji na potrzeby ocen bieżących i programów ochrony powietrza” oszacowano wielkość emisji komunikacyjnej. Dla wyznaczenia wielkości emisji liniowej na badanym obszarze, wykorzystano również opracowaną przez Krajowe Centrum Inwentaryzacji Emisji aplikację do szacowania emisji ze środków transportu, która dostępna jest na stronach internetowych Ministerstwa Ochrony Środowiska.  </w:t>
      </w:r>
    </w:p>
    <w:p w:rsidR="00BF58BA" w:rsidRPr="00D352C4" w:rsidRDefault="00BF58BA" w:rsidP="00F75645">
      <w:pPr>
        <w:pStyle w:val="NormalnyNEDE"/>
        <w:spacing w:after="0" w:line="312" w:lineRule="auto"/>
        <w:rPr>
          <w:rFonts w:ascii="Lato" w:hAnsi="Lato"/>
          <w:sz w:val="22"/>
          <w:szCs w:val="22"/>
          <w:highlight w:val="yellow"/>
        </w:rPr>
      </w:pPr>
    </w:p>
    <w:p w:rsidR="00D8648F" w:rsidRPr="00617C1D" w:rsidRDefault="0006260E" w:rsidP="00F75645">
      <w:pPr>
        <w:jc w:val="center"/>
        <w:rPr>
          <w:rFonts w:ascii="Lato" w:hAnsi="Lato"/>
        </w:rPr>
      </w:pPr>
      <w:r>
        <w:rPr>
          <w:rFonts w:ascii="Lato" w:hAnsi="Lato"/>
          <w:noProof/>
        </w:rPr>
        <w:drawing>
          <wp:inline distT="0" distB="0" distL="0" distR="0" wp14:anchorId="23C9C348" wp14:editId="0E55547C">
            <wp:extent cx="4100830" cy="2466975"/>
            <wp:effectExtent l="0" t="0" r="0" b="9525"/>
            <wp:docPr id="33"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00830" cy="2466975"/>
                    </a:xfrm>
                    <a:prstGeom prst="rect">
                      <a:avLst/>
                    </a:prstGeom>
                    <a:noFill/>
                    <a:ln>
                      <a:noFill/>
                    </a:ln>
                  </pic:spPr>
                </pic:pic>
              </a:graphicData>
            </a:graphic>
          </wp:inline>
        </w:drawing>
      </w:r>
    </w:p>
    <w:p w:rsidR="00D8648F" w:rsidRPr="00617C1D" w:rsidRDefault="00D8648F" w:rsidP="002B008B">
      <w:pPr>
        <w:pStyle w:val="Legenda"/>
        <w:jc w:val="center"/>
        <w:rPr>
          <w:rFonts w:ascii="Lato" w:hAnsi="Lato"/>
          <w:color w:val="1F497D"/>
          <w:sz w:val="20"/>
          <w:szCs w:val="20"/>
        </w:rPr>
      </w:pPr>
      <w:bookmarkStart w:id="206" w:name="_Toc405203155"/>
      <w:bookmarkStart w:id="207" w:name="_Toc341695904"/>
      <w:bookmarkStart w:id="208" w:name="_Toc336943693"/>
      <w:bookmarkStart w:id="209" w:name="_Toc336419375"/>
      <w:bookmarkStart w:id="210" w:name="_Toc328633158"/>
      <w:bookmarkStart w:id="211" w:name="_Toc136833641"/>
      <w:bookmarkStart w:id="212" w:name="_Toc421081741"/>
      <w:bookmarkStart w:id="213" w:name="_Toc20219237"/>
      <w:r w:rsidRPr="00617C1D">
        <w:rPr>
          <w:rFonts w:ascii="Lato" w:hAnsi="Lato"/>
          <w:color w:val="1F497D"/>
          <w:sz w:val="20"/>
          <w:szCs w:val="20"/>
        </w:rPr>
        <w:t xml:space="preserve">Rysunek </w:t>
      </w:r>
      <w:r w:rsidR="004042AE" w:rsidRPr="00617C1D">
        <w:rPr>
          <w:rFonts w:ascii="Lato" w:hAnsi="Lato"/>
          <w:color w:val="1F497D"/>
          <w:sz w:val="20"/>
          <w:szCs w:val="20"/>
        </w:rPr>
        <w:fldChar w:fldCharType="begin"/>
      </w:r>
      <w:r w:rsidR="005430ED" w:rsidRPr="00617C1D">
        <w:rPr>
          <w:rFonts w:ascii="Lato" w:hAnsi="Lato"/>
          <w:color w:val="1F497D"/>
          <w:sz w:val="20"/>
          <w:szCs w:val="20"/>
        </w:rPr>
        <w:instrText xml:space="preserve"> STYLEREF 1 \s </w:instrText>
      </w:r>
      <w:r w:rsidR="004042AE" w:rsidRPr="00617C1D">
        <w:rPr>
          <w:rFonts w:ascii="Lato" w:hAnsi="Lato"/>
          <w:color w:val="1F497D"/>
          <w:sz w:val="20"/>
          <w:szCs w:val="20"/>
        </w:rPr>
        <w:fldChar w:fldCharType="separate"/>
      </w:r>
      <w:r w:rsidR="0040205B">
        <w:rPr>
          <w:rFonts w:ascii="Lato" w:hAnsi="Lato"/>
          <w:noProof/>
          <w:color w:val="1F497D"/>
          <w:sz w:val="20"/>
          <w:szCs w:val="20"/>
        </w:rPr>
        <w:t>2</w:t>
      </w:r>
      <w:r w:rsidR="004042AE" w:rsidRPr="00617C1D">
        <w:rPr>
          <w:rFonts w:ascii="Lato" w:hAnsi="Lato"/>
          <w:color w:val="1F497D"/>
          <w:sz w:val="20"/>
          <w:szCs w:val="20"/>
        </w:rPr>
        <w:fldChar w:fldCharType="end"/>
      </w:r>
      <w:r w:rsidR="005430ED" w:rsidRPr="00617C1D">
        <w:rPr>
          <w:rFonts w:ascii="Lato" w:hAnsi="Lato"/>
          <w:color w:val="1F497D"/>
          <w:sz w:val="20"/>
          <w:szCs w:val="20"/>
        </w:rPr>
        <w:noBreakHyphen/>
      </w:r>
      <w:r w:rsidR="004042AE" w:rsidRPr="00617C1D">
        <w:rPr>
          <w:rFonts w:ascii="Lato" w:hAnsi="Lato"/>
          <w:color w:val="1F497D"/>
          <w:sz w:val="20"/>
          <w:szCs w:val="20"/>
        </w:rPr>
        <w:fldChar w:fldCharType="begin"/>
      </w:r>
      <w:r w:rsidR="005430ED" w:rsidRPr="00617C1D">
        <w:rPr>
          <w:rFonts w:ascii="Lato" w:hAnsi="Lato"/>
          <w:color w:val="1F497D"/>
          <w:sz w:val="20"/>
          <w:szCs w:val="20"/>
        </w:rPr>
        <w:instrText xml:space="preserve"> SEQ Rysunek \* ARABIC \s 1 </w:instrText>
      </w:r>
      <w:r w:rsidR="004042AE" w:rsidRPr="00617C1D">
        <w:rPr>
          <w:rFonts w:ascii="Lato" w:hAnsi="Lato"/>
          <w:color w:val="1F497D"/>
          <w:sz w:val="20"/>
          <w:szCs w:val="20"/>
        </w:rPr>
        <w:fldChar w:fldCharType="separate"/>
      </w:r>
      <w:r w:rsidR="0040205B">
        <w:rPr>
          <w:rFonts w:ascii="Lato" w:hAnsi="Lato"/>
          <w:noProof/>
          <w:color w:val="1F497D"/>
          <w:sz w:val="20"/>
          <w:szCs w:val="20"/>
        </w:rPr>
        <w:t>18</w:t>
      </w:r>
      <w:r w:rsidR="004042AE" w:rsidRPr="00617C1D">
        <w:rPr>
          <w:rFonts w:ascii="Lato" w:hAnsi="Lato"/>
          <w:color w:val="1F497D"/>
          <w:sz w:val="20"/>
          <w:szCs w:val="20"/>
        </w:rPr>
        <w:fldChar w:fldCharType="end"/>
      </w:r>
      <w:r w:rsidRPr="00617C1D">
        <w:rPr>
          <w:rFonts w:ascii="Lato" w:hAnsi="Lato"/>
          <w:color w:val="1F497D"/>
          <w:sz w:val="20"/>
          <w:szCs w:val="20"/>
        </w:rPr>
        <w:t xml:space="preserve"> Widok panelu głównego aplikacji do szacowania emisji ze środków transportu</w:t>
      </w:r>
      <w:bookmarkEnd w:id="206"/>
      <w:bookmarkEnd w:id="207"/>
      <w:bookmarkEnd w:id="208"/>
      <w:bookmarkEnd w:id="209"/>
      <w:bookmarkEnd w:id="210"/>
      <w:bookmarkEnd w:id="211"/>
      <w:bookmarkEnd w:id="212"/>
      <w:bookmarkEnd w:id="213"/>
    </w:p>
    <w:p w:rsidR="00D8648F" w:rsidRPr="00617C1D" w:rsidRDefault="00D8648F" w:rsidP="002A4A04">
      <w:pPr>
        <w:ind w:firstLine="0"/>
        <w:jc w:val="center"/>
        <w:rPr>
          <w:rFonts w:ascii="Lato" w:hAnsi="Lato"/>
          <w:bCs/>
          <w:i/>
          <w:spacing w:val="-2"/>
          <w:sz w:val="20"/>
          <w:szCs w:val="20"/>
        </w:rPr>
      </w:pPr>
      <w:r w:rsidRPr="00617C1D">
        <w:rPr>
          <w:rFonts w:ascii="Lato" w:hAnsi="Lato"/>
          <w:bCs/>
          <w:i/>
          <w:spacing w:val="-2"/>
          <w:sz w:val="20"/>
          <w:szCs w:val="20"/>
        </w:rPr>
        <w:t>Źródło: Krajowe Centrum Inwentaryzacji Emisji</w:t>
      </w:r>
    </w:p>
    <w:p w:rsidR="00B4039C" w:rsidRPr="00D352C4" w:rsidRDefault="00B4039C" w:rsidP="00D8648F">
      <w:pPr>
        <w:pStyle w:val="NormalnyNEDE"/>
        <w:rPr>
          <w:rFonts w:ascii="Lato" w:hAnsi="Lato"/>
          <w:sz w:val="22"/>
          <w:szCs w:val="22"/>
          <w:highlight w:val="yellow"/>
        </w:rPr>
      </w:pPr>
    </w:p>
    <w:p w:rsidR="00D8648F" w:rsidRPr="00B40544" w:rsidRDefault="00D8648F" w:rsidP="00F75645">
      <w:pPr>
        <w:pStyle w:val="NormalnyNEDE"/>
        <w:spacing w:after="0" w:line="312" w:lineRule="auto"/>
        <w:ind w:firstLine="709"/>
        <w:rPr>
          <w:rFonts w:ascii="Lato" w:hAnsi="Lato"/>
          <w:sz w:val="22"/>
          <w:szCs w:val="22"/>
        </w:rPr>
      </w:pPr>
      <w:r w:rsidRPr="00B40544">
        <w:rPr>
          <w:rFonts w:ascii="Lato" w:hAnsi="Lato"/>
          <w:sz w:val="22"/>
          <w:szCs w:val="22"/>
        </w:rPr>
        <w:t>Przyjęto także założenia co do natężenia ruchu na poszczególnych rodzajach dróg oraz procentowy udział typów pojazdów na drodze, jak to przedstawiono poniżej. Natomiast w</w:t>
      </w:r>
      <w:r w:rsidR="00A457C7" w:rsidRPr="00B40544">
        <w:rPr>
          <w:rFonts w:ascii="Lato" w:hAnsi="Lato"/>
          <w:sz w:val="22"/>
          <w:szCs w:val="22"/>
        </w:rPr>
        <w:t xml:space="preserve"> </w:t>
      </w:r>
      <w:r w:rsidRPr="00B40544">
        <w:rPr>
          <w:rFonts w:ascii="Lato" w:hAnsi="Lato"/>
          <w:sz w:val="22"/>
          <w:szCs w:val="22"/>
        </w:rPr>
        <w:t>celu wyznaczenia emisji CO</w:t>
      </w:r>
      <w:r w:rsidRPr="00B40544">
        <w:rPr>
          <w:rFonts w:ascii="Lato" w:hAnsi="Lato"/>
          <w:sz w:val="22"/>
          <w:szCs w:val="22"/>
          <w:vertAlign w:val="subscript"/>
        </w:rPr>
        <w:t>2</w:t>
      </w:r>
      <w:r w:rsidRPr="00B40544">
        <w:rPr>
          <w:rFonts w:ascii="Lato" w:hAnsi="Lato"/>
          <w:sz w:val="22"/>
          <w:szCs w:val="22"/>
        </w:rPr>
        <w:t xml:space="preserve"> ze środków transportu wykorzystano wsk</w:t>
      </w:r>
      <w:r w:rsidR="00617C1D" w:rsidRPr="00B40544">
        <w:rPr>
          <w:rFonts w:ascii="Lato" w:hAnsi="Lato"/>
          <w:sz w:val="22"/>
          <w:szCs w:val="22"/>
        </w:rPr>
        <w:t>aźniki emisji dwutlenku węgla z</w:t>
      </w:r>
      <w:r w:rsidR="00617C1D" w:rsidRPr="00B40544">
        <w:rPr>
          <w:rFonts w:ascii="Lato" w:hAnsi="Lato"/>
          <w:sz w:val="22"/>
          <w:szCs w:val="22"/>
          <w:lang w:val="pl-PL"/>
        </w:rPr>
        <w:t> </w:t>
      </w:r>
      <w:r w:rsidRPr="00B40544">
        <w:rPr>
          <w:rFonts w:ascii="Lato" w:hAnsi="Lato"/>
          <w:sz w:val="22"/>
          <w:szCs w:val="22"/>
        </w:rPr>
        <w:t>transportu, zamieszczone w materiałach sporządzonych przez KOB</w:t>
      </w:r>
      <w:r w:rsidR="00A457C7" w:rsidRPr="00B40544">
        <w:rPr>
          <w:rFonts w:ascii="Lato" w:hAnsi="Lato"/>
          <w:sz w:val="22"/>
          <w:szCs w:val="22"/>
        </w:rPr>
        <w:t>i</w:t>
      </w:r>
      <w:r w:rsidRPr="00B40544">
        <w:rPr>
          <w:rFonts w:ascii="Lato" w:hAnsi="Lato"/>
          <w:sz w:val="22"/>
          <w:szCs w:val="22"/>
        </w:rPr>
        <w:t>ZE „</w:t>
      </w:r>
      <w:r w:rsidR="00B83BEC">
        <w:rPr>
          <w:rFonts w:ascii="Lato" w:hAnsi="Lato"/>
          <w:sz w:val="22"/>
          <w:szCs w:val="22"/>
          <w:lang w:val="pl-PL"/>
        </w:rPr>
        <w:t>Wartości</w:t>
      </w:r>
      <w:r w:rsidR="00617C1D" w:rsidRPr="00B40544">
        <w:rPr>
          <w:rFonts w:ascii="Lato" w:hAnsi="Lato"/>
          <w:sz w:val="22"/>
          <w:szCs w:val="22"/>
        </w:rPr>
        <w:t xml:space="preserve"> opałowe (WO) i</w:t>
      </w:r>
      <w:r w:rsidR="00617C1D" w:rsidRPr="00B40544">
        <w:rPr>
          <w:rFonts w:ascii="Lato" w:hAnsi="Lato"/>
          <w:sz w:val="22"/>
          <w:szCs w:val="22"/>
          <w:lang w:val="pl-PL"/>
        </w:rPr>
        <w:t> </w:t>
      </w:r>
      <w:r w:rsidRPr="00B40544">
        <w:rPr>
          <w:rFonts w:ascii="Lato" w:hAnsi="Lato"/>
          <w:sz w:val="22"/>
          <w:szCs w:val="22"/>
        </w:rPr>
        <w:t>wskaźniki emisji CO</w:t>
      </w:r>
      <w:r w:rsidRPr="00B40544">
        <w:rPr>
          <w:rFonts w:ascii="Lato" w:hAnsi="Lato"/>
          <w:sz w:val="22"/>
          <w:szCs w:val="22"/>
          <w:vertAlign w:val="subscript"/>
        </w:rPr>
        <w:t>2</w:t>
      </w:r>
      <w:r w:rsidR="00A457C7" w:rsidRPr="00B40544">
        <w:rPr>
          <w:rFonts w:ascii="Lato" w:hAnsi="Lato"/>
          <w:sz w:val="22"/>
          <w:szCs w:val="22"/>
        </w:rPr>
        <w:t xml:space="preserve"> (WE) w</w:t>
      </w:r>
      <w:r w:rsidR="00B83BEC">
        <w:rPr>
          <w:rFonts w:ascii="Lato" w:hAnsi="Lato"/>
          <w:sz w:val="22"/>
          <w:szCs w:val="22"/>
          <w:lang w:val="pl-PL"/>
        </w:rPr>
        <w:t xml:space="preserve"> </w:t>
      </w:r>
      <w:r w:rsidRPr="00B40544">
        <w:rPr>
          <w:rFonts w:ascii="Lato" w:hAnsi="Lato"/>
          <w:sz w:val="22"/>
          <w:szCs w:val="22"/>
        </w:rPr>
        <w:t>roku 201</w:t>
      </w:r>
      <w:r w:rsidR="00567544" w:rsidRPr="00B40544">
        <w:rPr>
          <w:rFonts w:ascii="Lato" w:hAnsi="Lato"/>
          <w:sz w:val="22"/>
          <w:szCs w:val="22"/>
          <w:lang w:val="pl-PL"/>
        </w:rPr>
        <w:t>5</w:t>
      </w:r>
      <w:r w:rsidRPr="00B40544">
        <w:rPr>
          <w:rFonts w:ascii="Lato" w:hAnsi="Lato"/>
          <w:sz w:val="22"/>
          <w:szCs w:val="22"/>
        </w:rPr>
        <w:t xml:space="preserve"> do raportowania w ramach Wspólnotowego Systemu Handlu Uprawnieniami do Emisji za rok 201</w:t>
      </w:r>
      <w:r w:rsidR="00567544" w:rsidRPr="00B40544">
        <w:rPr>
          <w:rFonts w:ascii="Lato" w:hAnsi="Lato"/>
          <w:sz w:val="22"/>
          <w:szCs w:val="22"/>
          <w:lang w:val="pl-PL"/>
        </w:rPr>
        <w:t>8</w:t>
      </w:r>
      <w:r w:rsidRPr="00B40544">
        <w:rPr>
          <w:rFonts w:ascii="Lato" w:hAnsi="Lato"/>
          <w:sz w:val="22"/>
          <w:szCs w:val="22"/>
        </w:rPr>
        <w:t xml:space="preserve">”. </w:t>
      </w:r>
    </w:p>
    <w:p w:rsidR="00D8648F" w:rsidRPr="00B40544" w:rsidRDefault="00D8648F" w:rsidP="00F75645">
      <w:pPr>
        <w:pStyle w:val="NormalnyNEDE"/>
        <w:spacing w:after="0" w:line="312" w:lineRule="auto"/>
        <w:ind w:firstLine="709"/>
        <w:rPr>
          <w:rFonts w:ascii="Lato" w:hAnsi="Lato"/>
          <w:sz w:val="22"/>
          <w:szCs w:val="22"/>
        </w:rPr>
      </w:pPr>
      <w:r w:rsidRPr="00B40544">
        <w:rPr>
          <w:rFonts w:ascii="Lato" w:hAnsi="Lato"/>
          <w:sz w:val="22"/>
          <w:szCs w:val="22"/>
        </w:rPr>
        <w:t>Wskaźnik emisji dla benzyny wynosi 6</w:t>
      </w:r>
      <w:r w:rsidR="00F80769" w:rsidRPr="00B40544">
        <w:rPr>
          <w:rFonts w:ascii="Lato" w:hAnsi="Lato"/>
          <w:sz w:val="22"/>
          <w:szCs w:val="22"/>
        </w:rPr>
        <w:t>9,30</w:t>
      </w:r>
      <w:r w:rsidRPr="00B40544">
        <w:rPr>
          <w:rFonts w:ascii="Lato" w:hAnsi="Lato"/>
          <w:sz w:val="22"/>
          <w:szCs w:val="22"/>
        </w:rPr>
        <w:t xml:space="preserve"> kg/GJ, dla oleju napędowego 7</w:t>
      </w:r>
      <w:r w:rsidR="00F80769" w:rsidRPr="00B40544">
        <w:rPr>
          <w:rFonts w:ascii="Lato" w:hAnsi="Lato"/>
          <w:sz w:val="22"/>
          <w:szCs w:val="22"/>
        </w:rPr>
        <w:t>4,10</w:t>
      </w:r>
      <w:r w:rsidRPr="00B40544">
        <w:rPr>
          <w:rFonts w:ascii="Lato" w:hAnsi="Lato"/>
          <w:sz w:val="22"/>
          <w:szCs w:val="22"/>
        </w:rPr>
        <w:t xml:space="preserve"> kg/GJ, natomiast LPG 6</w:t>
      </w:r>
      <w:r w:rsidR="00F80769" w:rsidRPr="00B40544">
        <w:rPr>
          <w:rFonts w:ascii="Lato" w:hAnsi="Lato"/>
          <w:sz w:val="22"/>
          <w:szCs w:val="22"/>
        </w:rPr>
        <w:t>3,10</w:t>
      </w:r>
      <w:r w:rsidRPr="00B40544">
        <w:rPr>
          <w:rFonts w:ascii="Lato" w:hAnsi="Lato"/>
          <w:sz w:val="22"/>
          <w:szCs w:val="22"/>
        </w:rPr>
        <w:t xml:space="preserve"> kg/GJ. Przyjmując wartości opałowe ws</w:t>
      </w:r>
      <w:r w:rsidR="00D03562">
        <w:rPr>
          <w:rFonts w:ascii="Lato" w:hAnsi="Lato"/>
          <w:sz w:val="22"/>
          <w:szCs w:val="22"/>
        </w:rPr>
        <w:t>pomnianych paliw odpowiednio na</w:t>
      </w:r>
      <w:r w:rsidR="00D03562">
        <w:rPr>
          <w:rFonts w:ascii="Lato" w:hAnsi="Lato"/>
          <w:sz w:val="22"/>
          <w:szCs w:val="22"/>
          <w:lang w:val="pl-PL"/>
        </w:rPr>
        <w:t> </w:t>
      </w:r>
      <w:r w:rsidRPr="00B40544">
        <w:rPr>
          <w:rFonts w:ascii="Lato" w:hAnsi="Lato"/>
          <w:sz w:val="22"/>
          <w:szCs w:val="22"/>
        </w:rPr>
        <w:t>poziomie 33,</w:t>
      </w:r>
      <w:r w:rsidR="00F80769" w:rsidRPr="00B40544">
        <w:rPr>
          <w:rFonts w:ascii="Lato" w:hAnsi="Lato"/>
          <w:sz w:val="22"/>
          <w:szCs w:val="22"/>
        </w:rPr>
        <w:t>23</w:t>
      </w:r>
      <w:r w:rsidR="00F92510" w:rsidRPr="00B40544">
        <w:rPr>
          <w:rFonts w:ascii="Lato" w:hAnsi="Lato"/>
          <w:sz w:val="22"/>
          <w:szCs w:val="22"/>
          <w:lang w:val="pl-PL"/>
        </w:rPr>
        <w:t> </w:t>
      </w:r>
      <w:r w:rsidRPr="00B40544">
        <w:rPr>
          <w:rFonts w:ascii="Lato" w:hAnsi="Lato"/>
          <w:sz w:val="22"/>
          <w:szCs w:val="22"/>
        </w:rPr>
        <w:t>GJ/m</w:t>
      </w:r>
      <w:r w:rsidRPr="00B40544">
        <w:rPr>
          <w:rFonts w:ascii="Lato" w:hAnsi="Lato"/>
          <w:sz w:val="22"/>
          <w:szCs w:val="22"/>
          <w:vertAlign w:val="superscript"/>
        </w:rPr>
        <w:t>3</w:t>
      </w:r>
      <w:r w:rsidRPr="00B40544">
        <w:rPr>
          <w:rFonts w:ascii="Lato" w:hAnsi="Lato"/>
          <w:sz w:val="22"/>
          <w:szCs w:val="22"/>
        </w:rPr>
        <w:t>, 3</w:t>
      </w:r>
      <w:r w:rsidR="00F80769" w:rsidRPr="00B40544">
        <w:rPr>
          <w:rFonts w:ascii="Lato" w:hAnsi="Lato"/>
          <w:sz w:val="22"/>
          <w:szCs w:val="22"/>
        </w:rPr>
        <w:t>5,7</w:t>
      </w:r>
      <w:r w:rsidRPr="00B40544">
        <w:rPr>
          <w:rFonts w:ascii="Lato" w:hAnsi="Lato"/>
          <w:sz w:val="22"/>
          <w:szCs w:val="22"/>
        </w:rPr>
        <w:t xml:space="preserve"> GJ/m</w:t>
      </w:r>
      <w:r w:rsidRPr="00B40544">
        <w:rPr>
          <w:rFonts w:ascii="Lato" w:hAnsi="Lato"/>
          <w:sz w:val="22"/>
          <w:szCs w:val="22"/>
          <w:vertAlign w:val="superscript"/>
        </w:rPr>
        <w:t>3</w:t>
      </w:r>
      <w:r w:rsidRPr="00B40544">
        <w:rPr>
          <w:rFonts w:ascii="Lato" w:hAnsi="Lato"/>
          <w:sz w:val="22"/>
          <w:szCs w:val="22"/>
        </w:rPr>
        <w:t xml:space="preserve"> i 24,6 GJ/m</w:t>
      </w:r>
      <w:r w:rsidRPr="00B40544">
        <w:rPr>
          <w:rFonts w:ascii="Lato" w:hAnsi="Lato"/>
          <w:sz w:val="22"/>
          <w:szCs w:val="22"/>
          <w:vertAlign w:val="superscript"/>
        </w:rPr>
        <w:t>3</w:t>
      </w:r>
      <w:r w:rsidRPr="00B40544">
        <w:rPr>
          <w:rFonts w:ascii="Lato" w:hAnsi="Lato"/>
          <w:sz w:val="22"/>
          <w:szCs w:val="22"/>
        </w:rPr>
        <w:t xml:space="preserve"> oraz przy założeniu ilości spalanego paliwa dla różnych typów pojazdów, jak pokazano w </w:t>
      </w:r>
      <w:r w:rsidR="002B008B" w:rsidRPr="00B40544">
        <w:rPr>
          <w:rFonts w:ascii="Lato" w:hAnsi="Lato"/>
          <w:sz w:val="22"/>
          <w:szCs w:val="22"/>
        </w:rPr>
        <w:t>tabeli 2-</w:t>
      </w:r>
      <w:r w:rsidR="003C3274" w:rsidRPr="00B40544">
        <w:rPr>
          <w:rFonts w:ascii="Lato" w:hAnsi="Lato"/>
          <w:sz w:val="22"/>
          <w:szCs w:val="22"/>
          <w:lang w:val="pl-PL"/>
        </w:rPr>
        <w:t>1</w:t>
      </w:r>
      <w:r w:rsidR="00F80769" w:rsidRPr="00B40544">
        <w:rPr>
          <w:rFonts w:ascii="Lato" w:hAnsi="Lato"/>
          <w:sz w:val="22"/>
          <w:szCs w:val="22"/>
        </w:rPr>
        <w:t>7</w:t>
      </w:r>
      <w:r w:rsidRPr="00B40544">
        <w:rPr>
          <w:rFonts w:ascii="Lato" w:hAnsi="Lato"/>
          <w:sz w:val="22"/>
          <w:szCs w:val="22"/>
        </w:rPr>
        <w:t>, otrzymano całkowitą emisję dwutlenku węgla ze środków transportu.</w:t>
      </w:r>
    </w:p>
    <w:p w:rsidR="00D8648F" w:rsidRPr="00B40544" w:rsidRDefault="00CF6629" w:rsidP="00F75645">
      <w:pPr>
        <w:pStyle w:val="NormalnyNEDE"/>
        <w:spacing w:after="0" w:line="312" w:lineRule="auto"/>
        <w:ind w:firstLine="709"/>
        <w:rPr>
          <w:rFonts w:ascii="Lato" w:hAnsi="Lato"/>
          <w:sz w:val="22"/>
          <w:szCs w:val="22"/>
        </w:rPr>
      </w:pPr>
      <w:r w:rsidRPr="00B40544">
        <w:rPr>
          <w:rFonts w:ascii="Lato" w:hAnsi="Lato"/>
          <w:sz w:val="22"/>
          <w:szCs w:val="22"/>
        </w:rPr>
        <w:lastRenderedPageBreak/>
        <w:t xml:space="preserve">Wyznaczone powyżej wartości emisji rozproszonej oraz liniowej, składają się na całkowitą emisję zanieczyszczeń do atmosfery, powstałych przy spalaniu paliw na terenie Gminy </w:t>
      </w:r>
      <w:r w:rsidR="00617C1D" w:rsidRPr="00B40544">
        <w:rPr>
          <w:rFonts w:ascii="Lato" w:hAnsi="Lato"/>
          <w:sz w:val="22"/>
          <w:szCs w:val="22"/>
          <w:lang w:val="pl-PL"/>
        </w:rPr>
        <w:t>Pabianice</w:t>
      </w:r>
      <w:r w:rsidRPr="00B40544">
        <w:rPr>
          <w:rFonts w:ascii="Lato" w:hAnsi="Lato"/>
          <w:sz w:val="22"/>
          <w:szCs w:val="22"/>
        </w:rPr>
        <w:t>.</w:t>
      </w:r>
    </w:p>
    <w:p w:rsidR="00D8648F" w:rsidRPr="00B40544" w:rsidRDefault="00D8648F" w:rsidP="00F75645">
      <w:pPr>
        <w:pStyle w:val="NormalnyNEDE"/>
        <w:spacing w:after="0" w:line="312" w:lineRule="auto"/>
        <w:rPr>
          <w:rFonts w:ascii="Lato" w:hAnsi="Lato"/>
          <w:sz w:val="22"/>
          <w:szCs w:val="22"/>
        </w:rPr>
      </w:pPr>
    </w:p>
    <w:p w:rsidR="00D8648F" w:rsidRPr="00B40544" w:rsidRDefault="00D8648F" w:rsidP="00F75645">
      <w:pPr>
        <w:pStyle w:val="NormalnyNEDE"/>
        <w:spacing w:after="0" w:line="312" w:lineRule="auto"/>
        <w:ind w:firstLine="0"/>
        <w:rPr>
          <w:rFonts w:ascii="Lato" w:hAnsi="Lato"/>
          <w:sz w:val="22"/>
          <w:szCs w:val="22"/>
        </w:rPr>
      </w:pPr>
      <w:r w:rsidRPr="00B40544">
        <w:rPr>
          <w:rFonts w:ascii="Lato" w:hAnsi="Lato"/>
          <w:sz w:val="22"/>
          <w:szCs w:val="22"/>
        </w:rPr>
        <w:t>Do wyznaczenia emisji z transportu przyjęto ponadto następujące dane:</w:t>
      </w:r>
    </w:p>
    <w:p w:rsidR="00D8648F" w:rsidRPr="00B40544" w:rsidRDefault="00CF6629" w:rsidP="00F75645">
      <w:pPr>
        <w:pStyle w:val="Tekstpodstawowy"/>
        <w:numPr>
          <w:ilvl w:val="0"/>
          <w:numId w:val="83"/>
        </w:numPr>
        <w:tabs>
          <w:tab w:val="clear" w:pos="360"/>
        </w:tabs>
        <w:ind w:left="709" w:hanging="425"/>
        <w:rPr>
          <w:rFonts w:ascii="Lato" w:hAnsi="Lato" w:cs="Times New Roman"/>
        </w:rPr>
      </w:pPr>
      <w:r w:rsidRPr="00B40544">
        <w:rPr>
          <w:rFonts w:ascii="Lato" w:hAnsi="Lato" w:cs="Times New Roman"/>
        </w:rPr>
        <w:t xml:space="preserve">dane o długości dróg krajowych, powiatowych oraz gminnych udostępnione przez Gminę </w:t>
      </w:r>
      <w:r w:rsidR="00617C1D" w:rsidRPr="00B40544">
        <w:rPr>
          <w:rFonts w:ascii="Lato" w:hAnsi="Lato" w:cs="Times New Roman"/>
        </w:rPr>
        <w:t>Pabianice</w:t>
      </w:r>
      <w:r w:rsidR="00D8648F" w:rsidRPr="00B40544">
        <w:rPr>
          <w:rFonts w:ascii="Lato" w:hAnsi="Lato" w:cs="Times New Roman"/>
        </w:rPr>
        <w:t xml:space="preserve">, </w:t>
      </w:r>
    </w:p>
    <w:p w:rsidR="00D8648F" w:rsidRPr="00B40544" w:rsidRDefault="00D8648F" w:rsidP="00F75645">
      <w:pPr>
        <w:pStyle w:val="Tekstpodstawowy"/>
        <w:numPr>
          <w:ilvl w:val="0"/>
          <w:numId w:val="83"/>
        </w:numPr>
        <w:tabs>
          <w:tab w:val="clear" w:pos="360"/>
        </w:tabs>
        <w:ind w:left="709" w:hanging="425"/>
        <w:rPr>
          <w:rFonts w:ascii="Lato" w:hAnsi="Lato" w:cs="Times New Roman"/>
        </w:rPr>
      </w:pPr>
      <w:r w:rsidRPr="00B40544">
        <w:rPr>
          <w:rFonts w:ascii="Lato" w:hAnsi="Lato" w:cs="Times New Roman"/>
        </w:rPr>
        <w:t>opracowanie dotyczące natężenia</w:t>
      </w:r>
      <w:r w:rsidR="00142501" w:rsidRPr="00B40544">
        <w:rPr>
          <w:rFonts w:ascii="Lato" w:hAnsi="Lato" w:cs="Times New Roman"/>
        </w:rPr>
        <w:t xml:space="preserve"> ruchu na drogach</w:t>
      </w:r>
      <w:r w:rsidRPr="00B40544">
        <w:rPr>
          <w:rFonts w:ascii="Lato" w:hAnsi="Lato" w:cs="Times New Roman"/>
        </w:rPr>
        <w:t xml:space="preserve"> krajowych, dostępnie na stronie internetowej www.gddkia.gov.pl tzn. „Generalny pomiar ruchu w 201</w:t>
      </w:r>
      <w:r w:rsidR="00F80769" w:rsidRPr="00B40544">
        <w:rPr>
          <w:rFonts w:ascii="Lato" w:hAnsi="Lato" w:cs="Times New Roman"/>
        </w:rPr>
        <w:t>5</w:t>
      </w:r>
      <w:r w:rsidR="00CF6629" w:rsidRPr="00B40544">
        <w:rPr>
          <w:rFonts w:ascii="Lato" w:hAnsi="Lato" w:cs="Times New Roman"/>
        </w:rPr>
        <w:t xml:space="preserve"> roku”,</w:t>
      </w:r>
    </w:p>
    <w:p w:rsidR="00D8648F" w:rsidRPr="00B40544" w:rsidRDefault="00CF6629" w:rsidP="00F75645">
      <w:pPr>
        <w:pStyle w:val="Tekstpodstawowy"/>
        <w:numPr>
          <w:ilvl w:val="0"/>
          <w:numId w:val="83"/>
        </w:numPr>
        <w:tabs>
          <w:tab w:val="clear" w:pos="360"/>
        </w:tabs>
        <w:ind w:left="709" w:hanging="425"/>
        <w:rPr>
          <w:rFonts w:ascii="Lato" w:hAnsi="Lato" w:cs="Times New Roman"/>
        </w:rPr>
      </w:pPr>
      <w:r w:rsidRPr="00B40544">
        <w:rPr>
          <w:rFonts w:ascii="Lato" w:hAnsi="Lato" w:cs="Times New Roman"/>
        </w:rPr>
        <w:t>m</w:t>
      </w:r>
      <w:r w:rsidR="00D8648F" w:rsidRPr="00B40544">
        <w:rPr>
          <w:rFonts w:ascii="Lato" w:hAnsi="Lato" w:cs="Times New Roman"/>
        </w:rPr>
        <w:t xml:space="preserve">etodologia prognozowania zmian aktywności </w:t>
      </w:r>
      <w:r w:rsidR="00D03562">
        <w:rPr>
          <w:rFonts w:ascii="Lato" w:hAnsi="Lato" w:cs="Times New Roman"/>
        </w:rPr>
        <w:t>sektora transportu drogowego (w </w:t>
      </w:r>
      <w:r w:rsidR="00D8648F" w:rsidRPr="00B40544">
        <w:rPr>
          <w:rFonts w:ascii="Lato" w:hAnsi="Lato" w:cs="Times New Roman"/>
        </w:rPr>
        <w:t xml:space="preserve">kontekście ustawy o systemie zarządzania emisjami gazów cieplarnianych i innych substancji) </w:t>
      </w:r>
      <w:r w:rsidR="00142501" w:rsidRPr="00B40544">
        <w:rPr>
          <w:rFonts w:ascii="Lato" w:hAnsi="Lato" w:cs="Times New Roman"/>
        </w:rPr>
        <w:t>–</w:t>
      </w:r>
      <w:r w:rsidR="00D8648F" w:rsidRPr="00B40544">
        <w:rPr>
          <w:rFonts w:ascii="Lato" w:hAnsi="Lato" w:cs="Times New Roman"/>
        </w:rPr>
        <w:t xml:space="preserve"> Zakład Badań Ekonomicznych Instytutu Transpor</w:t>
      </w:r>
      <w:r w:rsidR="00D03562">
        <w:rPr>
          <w:rFonts w:ascii="Lato" w:hAnsi="Lato" w:cs="Times New Roman"/>
        </w:rPr>
        <w:t>tu Samochodowego, na </w:t>
      </w:r>
      <w:r w:rsidR="00D8648F" w:rsidRPr="00B40544">
        <w:rPr>
          <w:rFonts w:ascii="Lato" w:hAnsi="Lato" w:cs="Times New Roman"/>
        </w:rPr>
        <w:t>zlecenie Ministerstwa Infrastruktury.</w:t>
      </w:r>
    </w:p>
    <w:p w:rsidR="00D8648F" w:rsidRPr="00B40544" w:rsidRDefault="00D8648F" w:rsidP="00F75645">
      <w:pPr>
        <w:pStyle w:val="StylTekstpodstawowyArial11pt"/>
        <w:rPr>
          <w:rFonts w:ascii="Lato" w:hAnsi="Lato"/>
        </w:rPr>
      </w:pPr>
    </w:p>
    <w:p w:rsidR="00D8648F" w:rsidRPr="00B40544" w:rsidRDefault="00D8648F" w:rsidP="00F75645">
      <w:pPr>
        <w:pStyle w:val="NormalnyNEDE"/>
        <w:spacing w:after="0" w:line="312" w:lineRule="auto"/>
        <w:ind w:firstLine="709"/>
        <w:rPr>
          <w:rFonts w:ascii="Lato" w:hAnsi="Lato"/>
          <w:sz w:val="22"/>
          <w:szCs w:val="22"/>
          <w:lang w:val="pl-PL"/>
        </w:rPr>
      </w:pPr>
      <w:r w:rsidRPr="00B40544">
        <w:rPr>
          <w:rFonts w:ascii="Lato" w:hAnsi="Lato"/>
          <w:sz w:val="22"/>
          <w:szCs w:val="22"/>
        </w:rPr>
        <w:t xml:space="preserve">Założono również średni roczny wskaźnik wzrostu ruchu pojazdów samochodowych ogółem na drogach w </w:t>
      </w:r>
      <w:r w:rsidR="003C3274" w:rsidRPr="00B40544">
        <w:rPr>
          <w:rFonts w:ascii="Lato" w:hAnsi="Lato"/>
          <w:sz w:val="22"/>
          <w:szCs w:val="22"/>
          <w:lang w:val="pl-PL"/>
        </w:rPr>
        <w:t xml:space="preserve">Gminie </w:t>
      </w:r>
      <w:r w:rsidR="00B40544" w:rsidRPr="00B40544">
        <w:rPr>
          <w:rFonts w:ascii="Lato" w:hAnsi="Lato"/>
          <w:sz w:val="22"/>
          <w:szCs w:val="22"/>
          <w:lang w:val="pl-PL"/>
        </w:rPr>
        <w:t>Pabianice</w:t>
      </w:r>
      <w:r w:rsidRPr="00B40544">
        <w:rPr>
          <w:rFonts w:ascii="Lato" w:hAnsi="Lato"/>
          <w:sz w:val="22"/>
          <w:szCs w:val="22"/>
        </w:rPr>
        <w:t xml:space="preserve"> dla lat 201</w:t>
      </w:r>
      <w:r w:rsidR="00052617" w:rsidRPr="00B40544">
        <w:rPr>
          <w:rFonts w:ascii="Lato" w:hAnsi="Lato"/>
          <w:sz w:val="22"/>
          <w:szCs w:val="22"/>
        </w:rPr>
        <w:t>5</w:t>
      </w:r>
      <w:r w:rsidR="00142501" w:rsidRPr="00B40544">
        <w:rPr>
          <w:rFonts w:ascii="Lato" w:hAnsi="Lato"/>
          <w:sz w:val="22"/>
          <w:szCs w:val="22"/>
        </w:rPr>
        <w:t>-</w:t>
      </w:r>
      <w:r w:rsidR="00052617" w:rsidRPr="00B40544">
        <w:rPr>
          <w:rFonts w:ascii="Lato" w:hAnsi="Lato"/>
          <w:sz w:val="22"/>
          <w:szCs w:val="22"/>
        </w:rPr>
        <w:t>201</w:t>
      </w:r>
      <w:r w:rsidR="003C3274" w:rsidRPr="00B40544">
        <w:rPr>
          <w:rFonts w:ascii="Lato" w:hAnsi="Lato"/>
          <w:sz w:val="22"/>
          <w:szCs w:val="22"/>
          <w:lang w:val="pl-PL"/>
        </w:rPr>
        <w:t>8</w:t>
      </w:r>
      <w:r w:rsidRPr="00B40544">
        <w:rPr>
          <w:rFonts w:ascii="Lato" w:hAnsi="Lato"/>
          <w:sz w:val="22"/>
          <w:szCs w:val="22"/>
        </w:rPr>
        <w:t>, zgodnie z wytycznymi GDDKiA.</w:t>
      </w:r>
    </w:p>
    <w:p w:rsidR="004B329B" w:rsidRDefault="004B329B" w:rsidP="002E499D">
      <w:pPr>
        <w:pStyle w:val="NormalnyNEDE"/>
        <w:spacing w:before="240" w:after="0" w:line="312" w:lineRule="auto"/>
        <w:ind w:firstLine="709"/>
        <w:rPr>
          <w:rFonts w:ascii="Lato" w:hAnsi="Lato"/>
          <w:sz w:val="22"/>
          <w:szCs w:val="22"/>
          <w:highlight w:val="yellow"/>
          <w:lang w:val="pl-PL"/>
        </w:rPr>
      </w:pPr>
    </w:p>
    <w:p w:rsidR="00D8648F" w:rsidRDefault="00D8648F" w:rsidP="0025142A">
      <w:pPr>
        <w:pStyle w:val="Legenda"/>
        <w:rPr>
          <w:rFonts w:ascii="Lato" w:hAnsi="Lato"/>
          <w:color w:val="1F497D"/>
          <w:sz w:val="20"/>
          <w:szCs w:val="20"/>
          <w:lang w:val="pl-PL"/>
        </w:rPr>
      </w:pPr>
      <w:bookmarkStart w:id="214" w:name="_Toc421081815"/>
      <w:bookmarkStart w:id="215" w:name="_Toc20219181"/>
      <w:r w:rsidRPr="00B40544">
        <w:rPr>
          <w:rFonts w:ascii="Lato" w:hAnsi="Lato"/>
          <w:color w:val="1F497D"/>
          <w:sz w:val="20"/>
          <w:szCs w:val="20"/>
        </w:rPr>
        <w:t xml:space="preserve">Tabela </w:t>
      </w:r>
      <w:r w:rsidR="004042AE" w:rsidRPr="00B40544">
        <w:rPr>
          <w:rFonts w:ascii="Lato" w:hAnsi="Lato"/>
          <w:color w:val="1F497D"/>
          <w:sz w:val="20"/>
          <w:szCs w:val="20"/>
        </w:rPr>
        <w:fldChar w:fldCharType="begin"/>
      </w:r>
      <w:r w:rsidR="005430ED" w:rsidRPr="00B40544">
        <w:rPr>
          <w:rFonts w:ascii="Lato" w:hAnsi="Lato"/>
          <w:color w:val="1F497D"/>
          <w:sz w:val="20"/>
          <w:szCs w:val="20"/>
        </w:rPr>
        <w:instrText xml:space="preserve"> STYLEREF 1 \s </w:instrText>
      </w:r>
      <w:r w:rsidR="004042AE" w:rsidRPr="00B40544">
        <w:rPr>
          <w:rFonts w:ascii="Lato" w:hAnsi="Lato"/>
          <w:color w:val="1F497D"/>
          <w:sz w:val="20"/>
          <w:szCs w:val="20"/>
        </w:rPr>
        <w:fldChar w:fldCharType="separate"/>
      </w:r>
      <w:r w:rsidR="0040205B">
        <w:rPr>
          <w:rFonts w:ascii="Lato" w:hAnsi="Lato"/>
          <w:noProof/>
          <w:color w:val="1F497D"/>
          <w:sz w:val="20"/>
          <w:szCs w:val="20"/>
        </w:rPr>
        <w:t>2</w:t>
      </w:r>
      <w:r w:rsidR="004042AE" w:rsidRPr="00B40544">
        <w:rPr>
          <w:rFonts w:ascii="Lato" w:hAnsi="Lato"/>
          <w:color w:val="1F497D"/>
          <w:sz w:val="20"/>
          <w:szCs w:val="20"/>
        </w:rPr>
        <w:fldChar w:fldCharType="end"/>
      </w:r>
      <w:r w:rsidR="005430ED" w:rsidRPr="00B40544">
        <w:rPr>
          <w:rFonts w:ascii="Lato" w:hAnsi="Lato"/>
          <w:color w:val="1F497D"/>
          <w:sz w:val="20"/>
          <w:szCs w:val="20"/>
        </w:rPr>
        <w:noBreakHyphen/>
      </w:r>
      <w:r w:rsidR="004042AE" w:rsidRPr="00B40544">
        <w:rPr>
          <w:rFonts w:ascii="Lato" w:hAnsi="Lato"/>
          <w:color w:val="1F497D"/>
          <w:sz w:val="20"/>
          <w:szCs w:val="20"/>
        </w:rPr>
        <w:fldChar w:fldCharType="begin"/>
      </w:r>
      <w:r w:rsidR="005430ED" w:rsidRPr="00B40544">
        <w:rPr>
          <w:rFonts w:ascii="Lato" w:hAnsi="Lato"/>
          <w:color w:val="1F497D"/>
          <w:sz w:val="20"/>
          <w:szCs w:val="20"/>
        </w:rPr>
        <w:instrText xml:space="preserve"> SEQ Tabela \* ARABIC \s 1 </w:instrText>
      </w:r>
      <w:r w:rsidR="004042AE" w:rsidRPr="00B40544">
        <w:rPr>
          <w:rFonts w:ascii="Lato" w:hAnsi="Lato"/>
          <w:color w:val="1F497D"/>
          <w:sz w:val="20"/>
          <w:szCs w:val="20"/>
        </w:rPr>
        <w:fldChar w:fldCharType="separate"/>
      </w:r>
      <w:r w:rsidR="0040205B">
        <w:rPr>
          <w:rFonts w:ascii="Lato" w:hAnsi="Lato"/>
          <w:noProof/>
          <w:color w:val="1F497D"/>
          <w:sz w:val="20"/>
          <w:szCs w:val="20"/>
        </w:rPr>
        <w:t>15</w:t>
      </w:r>
      <w:r w:rsidR="004042AE" w:rsidRPr="00B40544">
        <w:rPr>
          <w:rFonts w:ascii="Lato" w:hAnsi="Lato"/>
          <w:color w:val="1F497D"/>
          <w:sz w:val="20"/>
          <w:szCs w:val="20"/>
        </w:rPr>
        <w:fldChar w:fldCharType="end"/>
      </w:r>
      <w:r w:rsidRPr="00B40544">
        <w:rPr>
          <w:rFonts w:ascii="Lato" w:hAnsi="Lato"/>
          <w:color w:val="1F497D"/>
          <w:sz w:val="20"/>
          <w:szCs w:val="20"/>
        </w:rPr>
        <w:t xml:space="preserve"> Założenia do wyznaczenia emisji liniowej</w:t>
      </w:r>
      <w:bookmarkEnd w:id="214"/>
      <w:bookmarkEnd w:id="215"/>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left w:w="70" w:type="dxa"/>
          <w:right w:w="70" w:type="dxa"/>
        </w:tblCellMar>
        <w:tblLook w:val="04A0" w:firstRow="1" w:lastRow="0" w:firstColumn="1" w:lastColumn="0" w:noHBand="0" w:noVBand="1"/>
      </w:tblPr>
      <w:tblGrid>
        <w:gridCol w:w="4300"/>
        <w:gridCol w:w="1009"/>
        <w:gridCol w:w="1009"/>
        <w:gridCol w:w="1009"/>
        <w:gridCol w:w="1217"/>
        <w:gridCol w:w="1009"/>
      </w:tblGrid>
      <w:tr w:rsidR="002C0F33" w:rsidRPr="008574C4" w:rsidTr="00D03562">
        <w:trPr>
          <w:trHeight w:val="255"/>
          <w:jc w:val="center"/>
        </w:trPr>
        <w:tc>
          <w:tcPr>
            <w:tcW w:w="2250"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637"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778" w:type="pct"/>
            <w:gridSpan w:val="2"/>
            <w:tcBorders>
              <w:top w:val="nil"/>
              <w:bottom w:val="nil"/>
            </w:tcBorders>
            <w:shd w:val="clear" w:color="000000" w:fill="4F81BD" w:themeFill="accent1"/>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drogi krajowe</w:t>
            </w:r>
          </w:p>
        </w:tc>
        <w:tc>
          <w:tcPr>
            <w:tcW w:w="528" w:type="pct"/>
            <w:tcBorders>
              <w:top w:val="nil"/>
              <w:bottom w:val="nil"/>
            </w:tcBorders>
            <w:shd w:val="clear" w:color="000000" w:fill="4F81BD" w:themeFill="accent1"/>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528" w:type="pct"/>
            <w:tcBorders>
              <w:top w:val="nil"/>
              <w:bottom w:val="nil"/>
            </w:tcBorders>
            <w:shd w:val="clear" w:color="000000" w:fill="4F81BD" w:themeFill="accent1"/>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637" w:type="pct"/>
            <w:tcBorders>
              <w:top w:val="nil"/>
              <w:bottom w:val="nil"/>
            </w:tcBorders>
            <w:shd w:val="clear" w:color="000000" w:fill="4F81BD" w:themeFill="accent1"/>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528" w:type="pct"/>
            <w:tcBorders>
              <w:top w:val="nil"/>
              <w:bottom w:val="nil"/>
            </w:tcBorders>
            <w:shd w:val="clear" w:color="000000" w:fill="4F81BD" w:themeFill="accent1"/>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r>
      <w:tr w:rsidR="002C0F33" w:rsidRPr="008574C4" w:rsidTr="00D03562">
        <w:trPr>
          <w:trHeight w:val="255"/>
          <w:jc w:val="center"/>
        </w:trPr>
        <w:tc>
          <w:tcPr>
            <w:tcW w:w="2250"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długość</w:t>
            </w:r>
          </w:p>
        </w:tc>
        <w:tc>
          <w:tcPr>
            <w:tcW w:w="528" w:type="pct"/>
            <w:tcBorders>
              <w:top w:val="nil"/>
              <w:bottom w:val="nil"/>
            </w:tcBorders>
            <w:shd w:val="clear" w:color="000000" w:fill="4F81BD" w:themeFill="accent1"/>
            <w:noWrap/>
            <w:vAlign w:val="bottom"/>
            <w:hideMark/>
          </w:tcPr>
          <w:p w:rsidR="002C0F33" w:rsidRPr="008574C4" w:rsidRDefault="002C0F33" w:rsidP="002C0F33">
            <w:pPr>
              <w:spacing w:line="240" w:lineRule="auto"/>
              <w:ind w:firstLine="0"/>
              <w:jc w:val="right"/>
              <w:rPr>
                <w:rFonts w:cs="Arial"/>
                <w:color w:val="FFFFFF"/>
                <w:sz w:val="20"/>
                <w:szCs w:val="20"/>
              </w:rPr>
            </w:pPr>
            <w:r w:rsidRPr="00C712A0">
              <w:rPr>
                <w:rFonts w:cs="Arial"/>
                <w:color w:val="FFFFFF" w:themeColor="background1"/>
                <w:sz w:val="20"/>
                <w:szCs w:val="20"/>
              </w:rPr>
              <w:t>2</w:t>
            </w:r>
            <w:r>
              <w:rPr>
                <w:rFonts w:cs="Arial"/>
                <w:color w:val="FFFFFF" w:themeColor="background1"/>
                <w:sz w:val="20"/>
                <w:szCs w:val="20"/>
              </w:rPr>
              <w:t>4</w:t>
            </w:r>
            <w:r w:rsidRPr="00C712A0">
              <w:rPr>
                <w:rFonts w:cs="Arial"/>
                <w:color w:val="FFFFFF" w:themeColor="background1"/>
                <w:sz w:val="20"/>
                <w:szCs w:val="20"/>
              </w:rPr>
              <w:t>,5</w:t>
            </w: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km</w:t>
            </w: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tcBorders>
              <w:top w:val="nil"/>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3834" w:type="pct"/>
            <w:gridSpan w:val="4"/>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średnie natężenie ruchu (dane GDDKiA)</w:t>
            </w:r>
          </w:p>
        </w:tc>
        <w:tc>
          <w:tcPr>
            <w:tcW w:w="637" w:type="pct"/>
            <w:tcBorders>
              <w:top w:val="nil"/>
              <w:bottom w:val="nil"/>
            </w:tcBorders>
            <w:shd w:val="clear" w:color="000000" w:fill="4F81BD" w:themeFill="accent1"/>
            <w:noWrap/>
            <w:vAlign w:val="bottom"/>
            <w:hideMark/>
          </w:tcPr>
          <w:p w:rsidR="002C0F33" w:rsidRPr="008574C4" w:rsidRDefault="002C0F33" w:rsidP="002C0F33">
            <w:pPr>
              <w:spacing w:line="240" w:lineRule="auto"/>
              <w:ind w:firstLine="0"/>
              <w:jc w:val="right"/>
              <w:rPr>
                <w:rFonts w:cs="Arial"/>
                <w:color w:val="FFFFFF"/>
                <w:sz w:val="20"/>
                <w:szCs w:val="20"/>
              </w:rPr>
            </w:pPr>
            <w:r w:rsidRPr="002C0F33">
              <w:rPr>
                <w:rFonts w:cs="Arial"/>
                <w:color w:val="FFFFFF" w:themeColor="background1"/>
                <w:sz w:val="20"/>
                <w:szCs w:val="20"/>
              </w:rPr>
              <w:t>12</w:t>
            </w:r>
            <w:r>
              <w:rPr>
                <w:rFonts w:cs="Arial"/>
                <w:color w:val="FFFFFF" w:themeColor="background1"/>
                <w:sz w:val="20"/>
                <w:szCs w:val="20"/>
              </w:rPr>
              <w:t xml:space="preserve"> </w:t>
            </w:r>
            <w:r w:rsidRPr="002C0F33">
              <w:rPr>
                <w:rFonts w:cs="Arial"/>
                <w:color w:val="FFFFFF" w:themeColor="background1"/>
                <w:sz w:val="20"/>
                <w:szCs w:val="20"/>
              </w:rPr>
              <w:t>051</w:t>
            </w: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poj/dobę</w:t>
            </w:r>
          </w:p>
        </w:tc>
      </w:tr>
      <w:tr w:rsidR="002C0F33" w:rsidRPr="008574C4" w:rsidTr="00D03562">
        <w:trPr>
          <w:trHeight w:val="7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 </w:t>
            </w:r>
          </w:p>
        </w:tc>
      </w:tr>
      <w:tr w:rsidR="002C0F33" w:rsidRPr="008574C4" w:rsidTr="00D03562">
        <w:trPr>
          <w:trHeight w:val="255"/>
          <w:jc w:val="center"/>
        </w:trPr>
        <w:tc>
          <w:tcPr>
            <w:tcW w:w="3834" w:type="pct"/>
            <w:gridSpan w:val="4"/>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udział % poszczególnych typów pojazdów</w:t>
            </w:r>
          </w:p>
        </w:tc>
        <w:tc>
          <w:tcPr>
            <w:tcW w:w="637" w:type="pct"/>
            <w:shd w:val="clear" w:color="auto" w:fill="auto"/>
            <w:noWrap/>
            <w:vAlign w:val="bottom"/>
            <w:hideMark/>
          </w:tcPr>
          <w:p w:rsidR="002C0F33" w:rsidRPr="008574C4" w:rsidRDefault="002C0F33" w:rsidP="002C0F33">
            <w:pPr>
              <w:spacing w:line="240" w:lineRule="auto"/>
              <w:ind w:firstLine="0"/>
              <w:jc w:val="right"/>
              <w:rPr>
                <w:rFonts w:cs="Arial"/>
                <w:sz w:val="20"/>
                <w:szCs w:val="20"/>
              </w:rPr>
            </w:pPr>
            <w:r w:rsidRPr="008574C4">
              <w:rPr>
                <w:rFonts w:cs="Arial"/>
                <w:sz w:val="20"/>
                <w:szCs w:val="20"/>
              </w:rPr>
              <w:t>poj./h</w:t>
            </w: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 </w:t>
            </w:r>
          </w:p>
        </w:tc>
      </w:tr>
      <w:tr w:rsidR="002C0F33" w:rsidRPr="008574C4" w:rsidTr="00D03562">
        <w:trPr>
          <w:trHeight w:val="13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osobowe</w:t>
            </w:r>
          </w:p>
        </w:tc>
        <w:tc>
          <w:tcPr>
            <w:tcW w:w="528" w:type="pct"/>
            <w:tcBorders>
              <w:top w:val="nil"/>
              <w:bottom w:val="nil"/>
            </w:tcBorders>
            <w:shd w:val="clear" w:color="000000" w:fill="4F81BD" w:themeFill="accent1"/>
            <w:noWrap/>
            <w:hideMark/>
          </w:tcPr>
          <w:p w:rsidR="002C0F33" w:rsidRPr="002C0F33" w:rsidRDefault="002C0F33" w:rsidP="002C0F33">
            <w:pPr>
              <w:spacing w:line="240" w:lineRule="auto"/>
              <w:ind w:firstLine="0"/>
              <w:jc w:val="right"/>
              <w:rPr>
                <w:rFonts w:cs="Arial"/>
                <w:color w:val="FFFFFF"/>
                <w:sz w:val="20"/>
                <w:szCs w:val="20"/>
              </w:rPr>
            </w:pPr>
            <w:r w:rsidRPr="002C0F33">
              <w:rPr>
                <w:rFonts w:cs="Arial"/>
                <w:color w:val="FFFFFF"/>
                <w:sz w:val="20"/>
                <w:szCs w:val="20"/>
              </w:rPr>
              <w:t>89,5</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508,2</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dostawcze</w:t>
            </w:r>
          </w:p>
        </w:tc>
        <w:tc>
          <w:tcPr>
            <w:tcW w:w="528" w:type="pct"/>
            <w:tcBorders>
              <w:top w:val="nil"/>
              <w:bottom w:val="nil"/>
            </w:tcBorders>
            <w:shd w:val="clear" w:color="000000" w:fill="4F81BD" w:themeFill="accent1"/>
            <w:noWrap/>
            <w:hideMark/>
          </w:tcPr>
          <w:p w:rsidR="002C0F33" w:rsidRPr="002C0F33" w:rsidRDefault="002C0F33" w:rsidP="002C0F33">
            <w:pPr>
              <w:spacing w:line="240" w:lineRule="auto"/>
              <w:ind w:firstLine="0"/>
              <w:jc w:val="right"/>
              <w:rPr>
                <w:rFonts w:cs="Arial"/>
                <w:color w:val="FFFFFF"/>
                <w:sz w:val="20"/>
                <w:szCs w:val="20"/>
              </w:rPr>
            </w:pPr>
            <w:r w:rsidRPr="002C0F33">
              <w:rPr>
                <w:rFonts w:cs="Arial"/>
                <w:color w:val="FFFFFF"/>
                <w:sz w:val="20"/>
                <w:szCs w:val="20"/>
              </w:rPr>
              <w:t>4,4</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23,1</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ciężarowe</w:t>
            </w:r>
          </w:p>
        </w:tc>
        <w:tc>
          <w:tcPr>
            <w:tcW w:w="528" w:type="pct"/>
            <w:tcBorders>
              <w:top w:val="nil"/>
              <w:bottom w:val="nil"/>
            </w:tcBorders>
            <w:shd w:val="clear" w:color="000000" w:fill="4F81BD" w:themeFill="accent1"/>
            <w:noWrap/>
            <w:hideMark/>
          </w:tcPr>
          <w:p w:rsidR="002C0F33" w:rsidRPr="002C0F33" w:rsidRDefault="002C0F33" w:rsidP="002C0F33">
            <w:pPr>
              <w:spacing w:line="240" w:lineRule="auto"/>
              <w:ind w:firstLine="0"/>
              <w:jc w:val="right"/>
              <w:rPr>
                <w:rFonts w:cs="Arial"/>
                <w:color w:val="FFFFFF"/>
                <w:sz w:val="20"/>
                <w:szCs w:val="20"/>
              </w:rPr>
            </w:pPr>
            <w:r w:rsidRPr="002C0F33">
              <w:rPr>
                <w:rFonts w:cs="Arial"/>
                <w:color w:val="FFFFFF"/>
                <w:sz w:val="20"/>
                <w:szCs w:val="20"/>
              </w:rPr>
              <w:t>4,8</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26,6</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autokary</w:t>
            </w:r>
          </w:p>
        </w:tc>
        <w:tc>
          <w:tcPr>
            <w:tcW w:w="528" w:type="pct"/>
            <w:tcBorders>
              <w:top w:val="nil"/>
              <w:bottom w:val="nil"/>
            </w:tcBorders>
            <w:shd w:val="clear" w:color="000000" w:fill="4F81BD" w:themeFill="accent1"/>
            <w:noWrap/>
            <w:hideMark/>
          </w:tcPr>
          <w:p w:rsidR="002C0F33" w:rsidRPr="002C0F33" w:rsidRDefault="002C0F33" w:rsidP="002C0F33">
            <w:pPr>
              <w:spacing w:line="240" w:lineRule="auto"/>
              <w:ind w:firstLine="0"/>
              <w:jc w:val="right"/>
              <w:rPr>
                <w:rFonts w:cs="Arial"/>
                <w:color w:val="FFFFFF"/>
                <w:sz w:val="20"/>
                <w:szCs w:val="20"/>
              </w:rPr>
            </w:pPr>
            <w:r w:rsidRPr="002C0F33">
              <w:rPr>
                <w:rFonts w:cs="Arial"/>
                <w:color w:val="FFFFFF"/>
                <w:sz w:val="20"/>
                <w:szCs w:val="20"/>
              </w:rPr>
              <w:t>0,7</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3,5</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motocykle</w:t>
            </w:r>
          </w:p>
        </w:tc>
        <w:tc>
          <w:tcPr>
            <w:tcW w:w="528" w:type="pct"/>
            <w:tcBorders>
              <w:top w:val="nil"/>
              <w:bottom w:val="nil"/>
            </w:tcBorders>
            <w:shd w:val="clear" w:color="000000" w:fill="4F81BD" w:themeFill="accent1"/>
            <w:noWrap/>
            <w:hideMark/>
          </w:tcPr>
          <w:p w:rsidR="002C0F33" w:rsidRPr="002C0F33" w:rsidRDefault="002C0F33" w:rsidP="002C0F33">
            <w:pPr>
              <w:spacing w:line="240" w:lineRule="auto"/>
              <w:ind w:firstLine="0"/>
              <w:jc w:val="right"/>
              <w:rPr>
                <w:rFonts w:cs="Arial"/>
                <w:color w:val="FFFFFF"/>
                <w:sz w:val="20"/>
                <w:szCs w:val="20"/>
              </w:rPr>
            </w:pPr>
            <w:r w:rsidRPr="002C0F33">
              <w:rPr>
                <w:rFonts w:cs="Arial"/>
                <w:color w:val="FFFFFF"/>
                <w:sz w:val="20"/>
                <w:szCs w:val="20"/>
              </w:rPr>
              <w:t>0,6</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3,0</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top w:val="nil"/>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637"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778" w:type="pct"/>
            <w:gridSpan w:val="2"/>
            <w:tcBorders>
              <w:top w:val="nil"/>
              <w:bottom w:val="nil"/>
            </w:tcBorders>
            <w:shd w:val="clear" w:color="000000" w:fill="95B3D7" w:themeFill="accent1" w:themeFillTint="99"/>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drogi wojewódzkie</w:t>
            </w:r>
          </w:p>
        </w:tc>
        <w:tc>
          <w:tcPr>
            <w:tcW w:w="528" w:type="pct"/>
            <w:tcBorders>
              <w:top w:val="nil"/>
              <w:bottom w:val="nil"/>
            </w:tcBorders>
            <w:shd w:val="clear" w:color="000000" w:fill="95B3D7" w:themeFill="accent1" w:themeFillTint="99"/>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528" w:type="pct"/>
            <w:tcBorders>
              <w:top w:val="nil"/>
              <w:bottom w:val="nil"/>
            </w:tcBorders>
            <w:shd w:val="clear" w:color="000000" w:fill="95B3D7" w:themeFill="accent1" w:themeFillTint="99"/>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637" w:type="pct"/>
            <w:tcBorders>
              <w:top w:val="nil"/>
              <w:bottom w:val="nil"/>
            </w:tcBorders>
            <w:shd w:val="clear" w:color="000000" w:fill="95B3D7" w:themeFill="accent1" w:themeFillTint="99"/>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528" w:type="pct"/>
            <w:tcBorders>
              <w:top w:val="nil"/>
              <w:bottom w:val="nil"/>
            </w:tcBorders>
            <w:shd w:val="clear" w:color="000000" w:fill="95B3D7" w:themeFill="accent1" w:themeFillTint="99"/>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r>
      <w:tr w:rsidR="002C0F33" w:rsidRPr="008574C4" w:rsidTr="00D03562">
        <w:trPr>
          <w:trHeight w:val="255"/>
          <w:jc w:val="center"/>
        </w:trPr>
        <w:tc>
          <w:tcPr>
            <w:tcW w:w="2250"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długość</w:t>
            </w:r>
          </w:p>
        </w:tc>
        <w:tc>
          <w:tcPr>
            <w:tcW w:w="528" w:type="pct"/>
            <w:tcBorders>
              <w:top w:val="nil"/>
              <w:bottom w:val="nil"/>
            </w:tcBorders>
            <w:shd w:val="clear" w:color="000000" w:fill="95B3D7" w:themeFill="accent1" w:themeFillTint="99"/>
            <w:noWrap/>
            <w:vAlign w:val="bottom"/>
            <w:hideMark/>
          </w:tcPr>
          <w:p w:rsidR="002C0F33" w:rsidRPr="008574C4" w:rsidRDefault="002C0F33" w:rsidP="002C0F33">
            <w:pPr>
              <w:spacing w:line="240" w:lineRule="auto"/>
              <w:ind w:firstLine="0"/>
              <w:jc w:val="right"/>
              <w:rPr>
                <w:rFonts w:cs="Arial"/>
                <w:color w:val="FFFFFF"/>
                <w:sz w:val="20"/>
                <w:szCs w:val="20"/>
              </w:rPr>
            </w:pPr>
            <w:r w:rsidRPr="008574C4">
              <w:rPr>
                <w:rFonts w:cs="Arial"/>
                <w:color w:val="FFFFFF"/>
                <w:sz w:val="20"/>
                <w:szCs w:val="20"/>
              </w:rPr>
              <w:t>3,</w:t>
            </w:r>
            <w:r>
              <w:rPr>
                <w:rFonts w:cs="Arial"/>
                <w:color w:val="FFFFFF"/>
                <w:sz w:val="20"/>
                <w:szCs w:val="20"/>
              </w:rPr>
              <w:t>5</w:t>
            </w: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km</w:t>
            </w: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tcBorders>
              <w:top w:val="nil"/>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3834" w:type="pct"/>
            <w:gridSpan w:val="4"/>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średnie natężenie ruchu (dane GDDKiA)</w:t>
            </w:r>
          </w:p>
        </w:tc>
        <w:tc>
          <w:tcPr>
            <w:tcW w:w="637" w:type="pct"/>
            <w:tcBorders>
              <w:top w:val="nil"/>
              <w:bottom w:val="nil"/>
            </w:tcBorders>
            <w:shd w:val="clear" w:color="000000" w:fill="95B3D7" w:themeFill="accent1" w:themeFillTint="99"/>
            <w:noWrap/>
            <w:vAlign w:val="bottom"/>
            <w:hideMark/>
          </w:tcPr>
          <w:p w:rsidR="002C0F33" w:rsidRPr="008574C4" w:rsidRDefault="002C0F33" w:rsidP="002C0F33">
            <w:pPr>
              <w:spacing w:line="240" w:lineRule="auto"/>
              <w:ind w:firstLine="0"/>
              <w:jc w:val="right"/>
              <w:rPr>
                <w:rFonts w:cs="Arial"/>
                <w:color w:val="FFFFFF"/>
                <w:sz w:val="20"/>
                <w:szCs w:val="20"/>
              </w:rPr>
            </w:pPr>
            <w:r>
              <w:rPr>
                <w:rFonts w:cs="Arial"/>
                <w:color w:val="FFFFFF"/>
                <w:sz w:val="20"/>
                <w:szCs w:val="20"/>
              </w:rPr>
              <w:t>7 934</w:t>
            </w: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poj/dobę</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 </w:t>
            </w:r>
          </w:p>
        </w:tc>
      </w:tr>
      <w:tr w:rsidR="002C0F33" w:rsidRPr="008574C4" w:rsidTr="00D03562">
        <w:trPr>
          <w:trHeight w:val="255"/>
          <w:jc w:val="center"/>
        </w:trPr>
        <w:tc>
          <w:tcPr>
            <w:tcW w:w="3834" w:type="pct"/>
            <w:gridSpan w:val="4"/>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udział % poszczególnych typów pojazdów</w:t>
            </w:r>
          </w:p>
        </w:tc>
        <w:tc>
          <w:tcPr>
            <w:tcW w:w="637" w:type="pct"/>
            <w:shd w:val="clear" w:color="auto" w:fill="auto"/>
            <w:noWrap/>
            <w:vAlign w:val="bottom"/>
            <w:hideMark/>
          </w:tcPr>
          <w:p w:rsidR="002C0F33" w:rsidRPr="008574C4" w:rsidRDefault="002C0F33" w:rsidP="002C0F33">
            <w:pPr>
              <w:spacing w:line="240" w:lineRule="auto"/>
              <w:ind w:firstLine="0"/>
              <w:jc w:val="right"/>
              <w:rPr>
                <w:rFonts w:cs="Arial"/>
                <w:sz w:val="20"/>
                <w:szCs w:val="20"/>
              </w:rPr>
            </w:pPr>
            <w:r w:rsidRPr="008574C4">
              <w:rPr>
                <w:rFonts w:cs="Arial"/>
                <w:sz w:val="20"/>
                <w:szCs w:val="20"/>
              </w:rPr>
              <w:t>poj./h</w:t>
            </w: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osobowe</w:t>
            </w:r>
          </w:p>
        </w:tc>
        <w:tc>
          <w:tcPr>
            <w:tcW w:w="528" w:type="pct"/>
            <w:tcBorders>
              <w:top w:val="nil"/>
              <w:bottom w:val="nil"/>
            </w:tcBorders>
            <w:shd w:val="clear" w:color="000000" w:fill="95B3D7" w:themeFill="accent1" w:themeFillTint="99"/>
            <w:noWrap/>
            <w:hideMark/>
          </w:tcPr>
          <w:p w:rsidR="002C0F33" w:rsidRPr="002C0F33" w:rsidRDefault="002C0F33" w:rsidP="002C0F33">
            <w:pPr>
              <w:spacing w:line="240" w:lineRule="auto"/>
              <w:ind w:firstLine="0"/>
              <w:jc w:val="right"/>
              <w:rPr>
                <w:rFonts w:cs="Arial"/>
                <w:color w:val="FFFFFF" w:themeColor="background1"/>
                <w:sz w:val="20"/>
                <w:szCs w:val="20"/>
              </w:rPr>
            </w:pPr>
            <w:r w:rsidRPr="002C0F33">
              <w:rPr>
                <w:rFonts w:cs="Arial"/>
                <w:color w:val="FFFFFF" w:themeColor="background1"/>
                <w:sz w:val="20"/>
                <w:szCs w:val="20"/>
              </w:rPr>
              <w:t>73,8</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275,8</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dostawcze</w:t>
            </w:r>
          </w:p>
        </w:tc>
        <w:tc>
          <w:tcPr>
            <w:tcW w:w="528" w:type="pct"/>
            <w:tcBorders>
              <w:top w:val="nil"/>
              <w:bottom w:val="nil"/>
            </w:tcBorders>
            <w:shd w:val="clear" w:color="000000" w:fill="95B3D7" w:themeFill="accent1" w:themeFillTint="99"/>
            <w:noWrap/>
            <w:hideMark/>
          </w:tcPr>
          <w:p w:rsidR="002C0F33" w:rsidRPr="002C0F33" w:rsidRDefault="002C0F33" w:rsidP="002C0F33">
            <w:pPr>
              <w:spacing w:line="240" w:lineRule="auto"/>
              <w:ind w:firstLine="0"/>
              <w:jc w:val="right"/>
              <w:rPr>
                <w:rFonts w:cs="Arial"/>
                <w:color w:val="FFFFFF" w:themeColor="background1"/>
                <w:sz w:val="20"/>
                <w:szCs w:val="20"/>
              </w:rPr>
            </w:pPr>
            <w:r w:rsidRPr="002C0F33">
              <w:rPr>
                <w:rFonts w:cs="Arial"/>
                <w:color w:val="FFFFFF" w:themeColor="background1"/>
                <w:sz w:val="20"/>
                <w:szCs w:val="20"/>
              </w:rPr>
              <w:t>8,8</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30,4</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ciężarowe</w:t>
            </w:r>
          </w:p>
        </w:tc>
        <w:tc>
          <w:tcPr>
            <w:tcW w:w="528" w:type="pct"/>
            <w:tcBorders>
              <w:top w:val="nil"/>
              <w:bottom w:val="nil"/>
            </w:tcBorders>
            <w:shd w:val="clear" w:color="000000" w:fill="95B3D7" w:themeFill="accent1" w:themeFillTint="99"/>
            <w:noWrap/>
            <w:hideMark/>
          </w:tcPr>
          <w:p w:rsidR="002C0F33" w:rsidRPr="002C0F33" w:rsidRDefault="002C0F33" w:rsidP="002C0F33">
            <w:pPr>
              <w:spacing w:line="240" w:lineRule="auto"/>
              <w:ind w:firstLine="0"/>
              <w:jc w:val="right"/>
              <w:rPr>
                <w:rFonts w:cs="Arial"/>
                <w:color w:val="FFFFFF" w:themeColor="background1"/>
                <w:sz w:val="20"/>
                <w:szCs w:val="20"/>
              </w:rPr>
            </w:pPr>
            <w:r w:rsidRPr="002C0F33">
              <w:rPr>
                <w:rFonts w:cs="Arial"/>
                <w:color w:val="FFFFFF" w:themeColor="background1"/>
                <w:sz w:val="20"/>
                <w:szCs w:val="20"/>
              </w:rPr>
              <w:t>16,3</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59,5</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autokary</w:t>
            </w:r>
          </w:p>
        </w:tc>
        <w:tc>
          <w:tcPr>
            <w:tcW w:w="528" w:type="pct"/>
            <w:tcBorders>
              <w:top w:val="nil"/>
              <w:bottom w:val="nil"/>
            </w:tcBorders>
            <w:shd w:val="clear" w:color="000000" w:fill="95B3D7" w:themeFill="accent1" w:themeFillTint="99"/>
            <w:noWrap/>
            <w:hideMark/>
          </w:tcPr>
          <w:p w:rsidR="002C0F33" w:rsidRPr="002C0F33" w:rsidRDefault="002C0F33" w:rsidP="002C0F33">
            <w:pPr>
              <w:spacing w:line="240" w:lineRule="auto"/>
              <w:ind w:firstLine="0"/>
              <w:jc w:val="right"/>
              <w:rPr>
                <w:rFonts w:cs="Arial"/>
                <w:color w:val="FFFFFF" w:themeColor="background1"/>
                <w:sz w:val="20"/>
                <w:szCs w:val="20"/>
              </w:rPr>
            </w:pPr>
            <w:r w:rsidRPr="002C0F33">
              <w:rPr>
                <w:rFonts w:cs="Arial"/>
                <w:color w:val="FFFFFF" w:themeColor="background1"/>
                <w:sz w:val="20"/>
                <w:szCs w:val="20"/>
              </w:rPr>
              <w:t>0,7</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2,3</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motocykle</w:t>
            </w:r>
          </w:p>
        </w:tc>
        <w:tc>
          <w:tcPr>
            <w:tcW w:w="528" w:type="pct"/>
            <w:tcBorders>
              <w:top w:val="nil"/>
              <w:bottom w:val="nil"/>
            </w:tcBorders>
            <w:shd w:val="clear" w:color="000000" w:fill="95B3D7" w:themeFill="accent1" w:themeFillTint="99"/>
            <w:noWrap/>
            <w:hideMark/>
          </w:tcPr>
          <w:p w:rsidR="002C0F33" w:rsidRPr="002C0F33" w:rsidRDefault="002C0F33" w:rsidP="002C0F33">
            <w:pPr>
              <w:spacing w:line="240" w:lineRule="auto"/>
              <w:ind w:firstLine="0"/>
              <w:jc w:val="right"/>
              <w:rPr>
                <w:rFonts w:cs="Arial"/>
                <w:color w:val="FFFFFF" w:themeColor="background1"/>
                <w:sz w:val="20"/>
                <w:szCs w:val="20"/>
              </w:rPr>
            </w:pPr>
            <w:r w:rsidRPr="002C0F33">
              <w:rPr>
                <w:rFonts w:cs="Arial"/>
                <w:color w:val="FFFFFF" w:themeColor="background1"/>
                <w:sz w:val="20"/>
                <w:szCs w:val="20"/>
              </w:rPr>
              <w:t>0,4</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1,4</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top w:val="nil"/>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637" w:type="pct"/>
            <w:tcBorders>
              <w:bottom w:val="nil"/>
            </w:tcBorders>
            <w:shd w:val="clear" w:color="auto" w:fill="auto"/>
            <w:noWrap/>
            <w:vAlign w:val="bottom"/>
            <w:hideMark/>
          </w:tcPr>
          <w:p w:rsidR="002C0F33" w:rsidRPr="008574C4" w:rsidRDefault="002C0F33" w:rsidP="002C0F33">
            <w:pPr>
              <w:spacing w:line="240" w:lineRule="auto"/>
              <w:ind w:firstLine="0"/>
              <w:jc w:val="right"/>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778" w:type="pct"/>
            <w:gridSpan w:val="2"/>
            <w:tcBorders>
              <w:top w:val="nil"/>
              <w:bottom w:val="nil"/>
            </w:tcBorders>
            <w:shd w:val="clear" w:color="000000" w:fill="B8CCE4" w:themeFill="accent1" w:themeFillTint="66"/>
            <w:noWrap/>
            <w:vAlign w:val="bottom"/>
            <w:hideMark/>
          </w:tcPr>
          <w:p w:rsidR="002C0F33" w:rsidRPr="008574C4" w:rsidRDefault="002C0F33" w:rsidP="002C0F33">
            <w:pPr>
              <w:spacing w:line="240" w:lineRule="auto"/>
              <w:ind w:firstLine="0"/>
              <w:rPr>
                <w:rFonts w:cs="Arial"/>
                <w:color w:val="FFFFFF"/>
                <w:sz w:val="20"/>
                <w:szCs w:val="20"/>
              </w:rPr>
            </w:pPr>
            <w:r w:rsidRPr="00C712A0">
              <w:rPr>
                <w:rFonts w:cs="Arial"/>
                <w:sz w:val="20"/>
                <w:szCs w:val="20"/>
              </w:rPr>
              <w:t>drogi powiatowe</w:t>
            </w:r>
          </w:p>
        </w:tc>
        <w:tc>
          <w:tcPr>
            <w:tcW w:w="528" w:type="pct"/>
            <w:tcBorders>
              <w:top w:val="nil"/>
              <w:bottom w:val="nil"/>
            </w:tcBorders>
            <w:shd w:val="clear" w:color="000000" w:fill="B8CCE4" w:themeFill="accent1" w:themeFillTint="66"/>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528" w:type="pct"/>
            <w:tcBorders>
              <w:top w:val="nil"/>
              <w:bottom w:val="nil"/>
            </w:tcBorders>
            <w:shd w:val="clear" w:color="000000" w:fill="B8CCE4" w:themeFill="accent1" w:themeFillTint="66"/>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637" w:type="pct"/>
            <w:tcBorders>
              <w:top w:val="nil"/>
              <w:bottom w:val="nil"/>
            </w:tcBorders>
            <w:shd w:val="clear" w:color="000000" w:fill="B8CCE4" w:themeFill="accent1" w:themeFillTint="66"/>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528" w:type="pct"/>
            <w:tcBorders>
              <w:top w:val="nil"/>
              <w:bottom w:val="nil"/>
            </w:tcBorders>
            <w:shd w:val="clear" w:color="000000" w:fill="B8CCE4" w:themeFill="accent1" w:themeFillTint="66"/>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r>
      <w:tr w:rsidR="002C0F33" w:rsidRPr="008574C4" w:rsidTr="00D03562">
        <w:trPr>
          <w:trHeight w:val="255"/>
          <w:jc w:val="center"/>
        </w:trPr>
        <w:tc>
          <w:tcPr>
            <w:tcW w:w="2250"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długość</w:t>
            </w:r>
          </w:p>
        </w:tc>
        <w:tc>
          <w:tcPr>
            <w:tcW w:w="528" w:type="pct"/>
            <w:tcBorders>
              <w:top w:val="nil"/>
              <w:bottom w:val="nil"/>
            </w:tcBorders>
            <w:shd w:val="clear" w:color="000000" w:fill="B8CCE4" w:themeFill="accent1" w:themeFillTint="66"/>
            <w:noWrap/>
            <w:vAlign w:val="bottom"/>
            <w:hideMark/>
          </w:tcPr>
          <w:p w:rsidR="002C0F33" w:rsidRPr="008574C4" w:rsidRDefault="002C0F33" w:rsidP="002C0F33">
            <w:pPr>
              <w:spacing w:line="240" w:lineRule="auto"/>
              <w:ind w:firstLine="0"/>
              <w:jc w:val="right"/>
              <w:rPr>
                <w:rFonts w:cs="Arial"/>
                <w:color w:val="FFFFFF"/>
                <w:sz w:val="20"/>
                <w:szCs w:val="20"/>
              </w:rPr>
            </w:pPr>
            <w:r>
              <w:rPr>
                <w:rFonts w:cs="Arial"/>
                <w:sz w:val="20"/>
                <w:szCs w:val="20"/>
              </w:rPr>
              <w:t>34,0</w:t>
            </w: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km</w:t>
            </w: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tcBorders>
              <w:top w:val="nil"/>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3834" w:type="pct"/>
            <w:gridSpan w:val="4"/>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średnie natężenie ruchu (szacowane)</w:t>
            </w:r>
          </w:p>
        </w:tc>
        <w:tc>
          <w:tcPr>
            <w:tcW w:w="637" w:type="pct"/>
            <w:tcBorders>
              <w:top w:val="nil"/>
              <w:bottom w:val="nil"/>
            </w:tcBorders>
            <w:shd w:val="clear" w:color="000000" w:fill="B8CCE4" w:themeFill="accent1" w:themeFillTint="66"/>
            <w:noWrap/>
            <w:vAlign w:val="bottom"/>
            <w:hideMark/>
          </w:tcPr>
          <w:p w:rsidR="002C0F33" w:rsidRPr="008574C4" w:rsidRDefault="002C0F33" w:rsidP="002C0F33">
            <w:pPr>
              <w:spacing w:line="240" w:lineRule="auto"/>
              <w:ind w:firstLine="0"/>
              <w:jc w:val="right"/>
              <w:rPr>
                <w:rFonts w:cs="Arial"/>
                <w:color w:val="FFFFFF"/>
                <w:sz w:val="20"/>
                <w:szCs w:val="20"/>
              </w:rPr>
            </w:pPr>
            <w:r w:rsidRPr="00C712A0">
              <w:rPr>
                <w:rFonts w:cs="Arial"/>
                <w:sz w:val="20"/>
                <w:szCs w:val="20"/>
              </w:rPr>
              <w:t>1</w:t>
            </w:r>
            <w:r>
              <w:rPr>
                <w:rFonts w:cs="Arial"/>
                <w:sz w:val="20"/>
                <w:szCs w:val="20"/>
              </w:rPr>
              <w:t xml:space="preserve"> 322</w:t>
            </w: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poj/dobę</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 </w:t>
            </w:r>
          </w:p>
        </w:tc>
      </w:tr>
      <w:tr w:rsidR="002C0F33" w:rsidRPr="008574C4" w:rsidTr="00D03562">
        <w:trPr>
          <w:trHeight w:val="255"/>
          <w:jc w:val="center"/>
        </w:trPr>
        <w:tc>
          <w:tcPr>
            <w:tcW w:w="3834" w:type="pct"/>
            <w:gridSpan w:val="4"/>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udział % poszczególnych typów pojazdów</w:t>
            </w:r>
          </w:p>
        </w:tc>
        <w:tc>
          <w:tcPr>
            <w:tcW w:w="637" w:type="pct"/>
            <w:shd w:val="clear" w:color="auto" w:fill="auto"/>
            <w:noWrap/>
            <w:vAlign w:val="bottom"/>
            <w:hideMark/>
          </w:tcPr>
          <w:p w:rsidR="002C0F33" w:rsidRPr="008574C4" w:rsidRDefault="002C0F33" w:rsidP="002C0F33">
            <w:pPr>
              <w:spacing w:line="240" w:lineRule="auto"/>
              <w:ind w:firstLine="0"/>
              <w:jc w:val="right"/>
              <w:rPr>
                <w:rFonts w:cs="Arial"/>
                <w:sz w:val="20"/>
                <w:szCs w:val="20"/>
              </w:rPr>
            </w:pPr>
            <w:r w:rsidRPr="008574C4">
              <w:rPr>
                <w:rFonts w:cs="Arial"/>
                <w:sz w:val="20"/>
                <w:szCs w:val="20"/>
              </w:rPr>
              <w:t>poj./h</w:t>
            </w: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osobowe</w:t>
            </w:r>
          </w:p>
        </w:tc>
        <w:tc>
          <w:tcPr>
            <w:tcW w:w="528" w:type="pct"/>
            <w:tcBorders>
              <w:top w:val="nil"/>
              <w:bottom w:val="nil"/>
            </w:tcBorders>
            <w:shd w:val="clear" w:color="000000" w:fill="B8CCE4" w:themeFill="accent1" w:themeFillTint="66"/>
            <w:noWrap/>
            <w:vAlign w:val="bottom"/>
            <w:hideMark/>
          </w:tcPr>
          <w:p w:rsidR="002C0F33" w:rsidRPr="002C0F33" w:rsidRDefault="002C0F33" w:rsidP="002C0F33">
            <w:pPr>
              <w:spacing w:line="240" w:lineRule="auto"/>
              <w:ind w:firstLine="0"/>
              <w:jc w:val="right"/>
              <w:rPr>
                <w:rFonts w:cs="Arial"/>
                <w:sz w:val="20"/>
                <w:szCs w:val="20"/>
              </w:rPr>
            </w:pPr>
            <w:r w:rsidRPr="002C0F33">
              <w:rPr>
                <w:rFonts w:cs="Arial"/>
                <w:sz w:val="20"/>
                <w:szCs w:val="20"/>
              </w:rPr>
              <w:t>73,8</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46,0</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lastRenderedPageBreak/>
              <w:t>dostawcze</w:t>
            </w:r>
          </w:p>
        </w:tc>
        <w:tc>
          <w:tcPr>
            <w:tcW w:w="528" w:type="pct"/>
            <w:tcBorders>
              <w:top w:val="nil"/>
              <w:bottom w:val="nil"/>
            </w:tcBorders>
            <w:shd w:val="clear" w:color="000000" w:fill="B8CCE4" w:themeFill="accent1" w:themeFillTint="66"/>
            <w:noWrap/>
            <w:vAlign w:val="bottom"/>
            <w:hideMark/>
          </w:tcPr>
          <w:p w:rsidR="002C0F33" w:rsidRPr="002C0F33" w:rsidRDefault="002C0F33" w:rsidP="002C0F33">
            <w:pPr>
              <w:spacing w:line="240" w:lineRule="auto"/>
              <w:ind w:firstLine="0"/>
              <w:jc w:val="right"/>
              <w:rPr>
                <w:rFonts w:cs="Arial"/>
                <w:sz w:val="20"/>
                <w:szCs w:val="20"/>
              </w:rPr>
            </w:pPr>
            <w:r w:rsidRPr="002C0F33">
              <w:rPr>
                <w:rFonts w:cs="Arial"/>
                <w:sz w:val="20"/>
                <w:szCs w:val="20"/>
              </w:rPr>
              <w:t>8,8</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5,1</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ciężarowe</w:t>
            </w:r>
          </w:p>
        </w:tc>
        <w:tc>
          <w:tcPr>
            <w:tcW w:w="528" w:type="pct"/>
            <w:tcBorders>
              <w:top w:val="nil"/>
              <w:bottom w:val="nil"/>
            </w:tcBorders>
            <w:shd w:val="clear" w:color="000000" w:fill="B8CCE4" w:themeFill="accent1" w:themeFillTint="66"/>
            <w:noWrap/>
            <w:vAlign w:val="bottom"/>
            <w:hideMark/>
          </w:tcPr>
          <w:p w:rsidR="002C0F33" w:rsidRPr="002C0F33" w:rsidRDefault="002C0F33" w:rsidP="002C0F33">
            <w:pPr>
              <w:spacing w:line="240" w:lineRule="auto"/>
              <w:ind w:firstLine="0"/>
              <w:jc w:val="right"/>
              <w:rPr>
                <w:rFonts w:cs="Arial"/>
                <w:sz w:val="20"/>
                <w:szCs w:val="20"/>
              </w:rPr>
            </w:pPr>
            <w:r w:rsidRPr="002C0F33">
              <w:rPr>
                <w:rFonts w:cs="Arial"/>
                <w:sz w:val="20"/>
                <w:szCs w:val="20"/>
              </w:rPr>
              <w:t>16,3</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9,9</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autobusy</w:t>
            </w:r>
          </w:p>
        </w:tc>
        <w:tc>
          <w:tcPr>
            <w:tcW w:w="528" w:type="pct"/>
            <w:tcBorders>
              <w:top w:val="nil"/>
              <w:bottom w:val="nil"/>
            </w:tcBorders>
            <w:shd w:val="clear" w:color="000000" w:fill="B8CCE4" w:themeFill="accent1" w:themeFillTint="66"/>
            <w:noWrap/>
            <w:vAlign w:val="bottom"/>
            <w:hideMark/>
          </w:tcPr>
          <w:p w:rsidR="002C0F33" w:rsidRPr="002C0F33" w:rsidRDefault="002C0F33" w:rsidP="002C0F33">
            <w:pPr>
              <w:spacing w:line="240" w:lineRule="auto"/>
              <w:ind w:firstLine="0"/>
              <w:jc w:val="right"/>
              <w:rPr>
                <w:rFonts w:cs="Arial"/>
                <w:sz w:val="20"/>
                <w:szCs w:val="20"/>
              </w:rPr>
            </w:pPr>
            <w:r w:rsidRPr="002C0F33">
              <w:rPr>
                <w:rFonts w:cs="Arial"/>
                <w:sz w:val="20"/>
                <w:szCs w:val="20"/>
              </w:rPr>
              <w:t>0,7</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0,4</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motocykle</w:t>
            </w:r>
          </w:p>
        </w:tc>
        <w:tc>
          <w:tcPr>
            <w:tcW w:w="528" w:type="pct"/>
            <w:tcBorders>
              <w:top w:val="nil"/>
              <w:bottom w:val="nil"/>
            </w:tcBorders>
            <w:shd w:val="clear" w:color="000000" w:fill="B8CCE4" w:themeFill="accent1" w:themeFillTint="66"/>
            <w:noWrap/>
            <w:vAlign w:val="bottom"/>
            <w:hideMark/>
          </w:tcPr>
          <w:p w:rsidR="002C0F33" w:rsidRPr="002C0F33" w:rsidRDefault="002C0F33" w:rsidP="002C0F33">
            <w:pPr>
              <w:spacing w:line="240" w:lineRule="auto"/>
              <w:ind w:firstLine="0"/>
              <w:jc w:val="right"/>
              <w:rPr>
                <w:rFonts w:cs="Arial"/>
                <w:sz w:val="20"/>
                <w:szCs w:val="20"/>
              </w:rPr>
            </w:pPr>
            <w:r w:rsidRPr="002C0F33">
              <w:rPr>
                <w:rFonts w:cs="Arial"/>
                <w:sz w:val="20"/>
                <w:szCs w:val="20"/>
              </w:rPr>
              <w:t>0,4</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0,2</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top w:val="nil"/>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637"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778" w:type="pct"/>
            <w:gridSpan w:val="2"/>
            <w:tcBorders>
              <w:top w:val="nil"/>
              <w:bottom w:val="nil"/>
            </w:tcBorders>
            <w:shd w:val="clear" w:color="000000" w:fill="DBE5F1" w:themeFill="accent1" w:themeFillTint="33"/>
            <w:noWrap/>
            <w:vAlign w:val="bottom"/>
            <w:hideMark/>
          </w:tcPr>
          <w:p w:rsidR="002C0F33" w:rsidRPr="008574C4" w:rsidRDefault="002C0F33" w:rsidP="002C0F33">
            <w:pPr>
              <w:spacing w:line="240" w:lineRule="auto"/>
              <w:ind w:firstLine="0"/>
              <w:rPr>
                <w:rFonts w:cs="Arial"/>
                <w:color w:val="FFFFFF"/>
                <w:sz w:val="20"/>
                <w:szCs w:val="20"/>
              </w:rPr>
            </w:pPr>
            <w:r w:rsidRPr="00C712A0">
              <w:rPr>
                <w:rFonts w:cs="Arial"/>
                <w:sz w:val="20"/>
                <w:szCs w:val="20"/>
              </w:rPr>
              <w:t>drogi gminne</w:t>
            </w:r>
          </w:p>
        </w:tc>
        <w:tc>
          <w:tcPr>
            <w:tcW w:w="528" w:type="pct"/>
            <w:tcBorders>
              <w:top w:val="nil"/>
              <w:bottom w:val="nil"/>
            </w:tcBorders>
            <w:shd w:val="clear" w:color="000000" w:fill="DBE5F1" w:themeFill="accent1" w:themeFillTint="33"/>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528" w:type="pct"/>
            <w:tcBorders>
              <w:top w:val="nil"/>
              <w:bottom w:val="nil"/>
            </w:tcBorders>
            <w:shd w:val="clear" w:color="000000" w:fill="DBE5F1" w:themeFill="accent1" w:themeFillTint="33"/>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637" w:type="pct"/>
            <w:tcBorders>
              <w:top w:val="nil"/>
              <w:bottom w:val="nil"/>
            </w:tcBorders>
            <w:shd w:val="clear" w:color="000000" w:fill="DBE5F1" w:themeFill="accent1" w:themeFillTint="33"/>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c>
          <w:tcPr>
            <w:tcW w:w="528" w:type="pct"/>
            <w:tcBorders>
              <w:top w:val="nil"/>
              <w:bottom w:val="nil"/>
            </w:tcBorders>
            <w:shd w:val="clear" w:color="000000" w:fill="DBE5F1" w:themeFill="accent1" w:themeFillTint="33"/>
            <w:noWrap/>
            <w:vAlign w:val="bottom"/>
            <w:hideMark/>
          </w:tcPr>
          <w:p w:rsidR="002C0F33" w:rsidRPr="008574C4" w:rsidRDefault="002C0F33" w:rsidP="002C0F33">
            <w:pPr>
              <w:spacing w:line="240" w:lineRule="auto"/>
              <w:ind w:firstLine="0"/>
              <w:rPr>
                <w:rFonts w:cs="Arial"/>
                <w:color w:val="FFFFFF"/>
                <w:sz w:val="20"/>
                <w:szCs w:val="20"/>
              </w:rPr>
            </w:pPr>
            <w:r w:rsidRPr="008574C4">
              <w:rPr>
                <w:rFonts w:cs="Arial"/>
                <w:color w:val="FFFFFF"/>
                <w:sz w:val="20"/>
                <w:szCs w:val="20"/>
              </w:rPr>
              <w:t> </w:t>
            </w:r>
          </w:p>
        </w:tc>
      </w:tr>
      <w:tr w:rsidR="002C0F33" w:rsidRPr="008574C4" w:rsidTr="00D03562">
        <w:trPr>
          <w:trHeight w:val="255"/>
          <w:jc w:val="center"/>
        </w:trPr>
        <w:tc>
          <w:tcPr>
            <w:tcW w:w="2250"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długość</w:t>
            </w:r>
          </w:p>
        </w:tc>
        <w:tc>
          <w:tcPr>
            <w:tcW w:w="528" w:type="pct"/>
            <w:tcBorders>
              <w:top w:val="nil"/>
              <w:bottom w:val="nil"/>
            </w:tcBorders>
            <w:shd w:val="clear" w:color="000000" w:fill="DBE5F1" w:themeFill="accent1" w:themeFillTint="33"/>
            <w:noWrap/>
            <w:vAlign w:val="bottom"/>
            <w:hideMark/>
          </w:tcPr>
          <w:p w:rsidR="002C0F33" w:rsidRPr="008574C4" w:rsidRDefault="002C0F33" w:rsidP="002C0F33">
            <w:pPr>
              <w:spacing w:line="240" w:lineRule="auto"/>
              <w:ind w:firstLine="0"/>
              <w:jc w:val="right"/>
              <w:rPr>
                <w:rFonts w:cs="Arial"/>
                <w:color w:val="FFFFFF"/>
                <w:sz w:val="20"/>
                <w:szCs w:val="20"/>
              </w:rPr>
            </w:pPr>
            <w:r w:rsidRPr="00C712A0">
              <w:rPr>
                <w:rFonts w:cs="Arial"/>
                <w:sz w:val="20"/>
                <w:szCs w:val="20"/>
              </w:rPr>
              <w:t>69</w:t>
            </w: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km</w:t>
            </w: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tcBorders>
              <w:top w:val="nil"/>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3834" w:type="pct"/>
            <w:gridSpan w:val="4"/>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średnie natężenie ruchu (szacowane)</w:t>
            </w:r>
          </w:p>
        </w:tc>
        <w:tc>
          <w:tcPr>
            <w:tcW w:w="637" w:type="pct"/>
            <w:tcBorders>
              <w:top w:val="nil"/>
              <w:bottom w:val="nil"/>
            </w:tcBorders>
            <w:shd w:val="clear" w:color="000000" w:fill="DBE5F1" w:themeFill="accent1" w:themeFillTint="33"/>
            <w:noWrap/>
            <w:vAlign w:val="bottom"/>
            <w:hideMark/>
          </w:tcPr>
          <w:p w:rsidR="002C0F33" w:rsidRPr="008574C4" w:rsidRDefault="002C0F33" w:rsidP="002C0F33">
            <w:pPr>
              <w:spacing w:line="240" w:lineRule="auto"/>
              <w:ind w:firstLine="0"/>
              <w:jc w:val="right"/>
              <w:rPr>
                <w:rFonts w:cs="Arial"/>
                <w:color w:val="FFFFFF"/>
                <w:sz w:val="20"/>
                <w:szCs w:val="20"/>
              </w:rPr>
            </w:pPr>
            <w:r w:rsidRPr="00C712A0">
              <w:rPr>
                <w:rFonts w:cs="Arial"/>
                <w:sz w:val="20"/>
                <w:szCs w:val="20"/>
              </w:rPr>
              <w:t>916</w:t>
            </w: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poj/dobę</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 </w:t>
            </w:r>
          </w:p>
        </w:tc>
      </w:tr>
      <w:tr w:rsidR="002C0F33" w:rsidRPr="008574C4" w:rsidTr="00D03562">
        <w:trPr>
          <w:trHeight w:val="255"/>
          <w:jc w:val="center"/>
        </w:trPr>
        <w:tc>
          <w:tcPr>
            <w:tcW w:w="3834" w:type="pct"/>
            <w:gridSpan w:val="4"/>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udział % poszczególnych typów pojazdów</w:t>
            </w:r>
          </w:p>
        </w:tc>
        <w:tc>
          <w:tcPr>
            <w:tcW w:w="637" w:type="pct"/>
            <w:shd w:val="clear" w:color="auto" w:fill="auto"/>
            <w:noWrap/>
            <w:vAlign w:val="bottom"/>
            <w:hideMark/>
          </w:tcPr>
          <w:p w:rsidR="002C0F33" w:rsidRPr="008574C4" w:rsidRDefault="002C0F33" w:rsidP="002C0F33">
            <w:pPr>
              <w:spacing w:line="240" w:lineRule="auto"/>
              <w:ind w:firstLine="0"/>
              <w:jc w:val="right"/>
              <w:rPr>
                <w:rFonts w:cs="Arial"/>
                <w:sz w:val="20"/>
                <w:szCs w:val="20"/>
              </w:rPr>
            </w:pPr>
            <w:r w:rsidRPr="008574C4">
              <w:rPr>
                <w:rFonts w:cs="Arial"/>
                <w:sz w:val="20"/>
                <w:szCs w:val="20"/>
              </w:rPr>
              <w:t>poj./h</w:t>
            </w:r>
          </w:p>
        </w:tc>
        <w:tc>
          <w:tcPr>
            <w:tcW w:w="528" w:type="pct"/>
            <w:shd w:val="clear" w:color="auto" w:fill="auto"/>
            <w:noWrap/>
            <w:vAlign w:val="bottom"/>
            <w:hideMark/>
          </w:tcPr>
          <w:p w:rsidR="002C0F33" w:rsidRPr="008574C4" w:rsidRDefault="002C0F33" w:rsidP="002C0F33">
            <w:pPr>
              <w:spacing w:line="240" w:lineRule="auto"/>
              <w:ind w:firstLine="0"/>
              <w:rPr>
                <w:rFonts w:cs="Arial"/>
                <w:color w:val="000000"/>
                <w:sz w:val="20"/>
                <w:szCs w:val="20"/>
              </w:rPr>
            </w:pPr>
            <w:r w:rsidRPr="008574C4">
              <w:rPr>
                <w:rFonts w:cs="Arial"/>
                <w:color w:val="000000"/>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bottom w:val="nil"/>
            </w:tcBorders>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osobowe</w:t>
            </w:r>
          </w:p>
        </w:tc>
        <w:tc>
          <w:tcPr>
            <w:tcW w:w="528" w:type="pct"/>
            <w:tcBorders>
              <w:top w:val="nil"/>
              <w:bottom w:val="nil"/>
            </w:tcBorders>
            <w:shd w:val="clear" w:color="000000" w:fill="DBE5F1" w:themeFill="accent1" w:themeFillTint="33"/>
            <w:noWrap/>
            <w:vAlign w:val="bottom"/>
            <w:hideMark/>
          </w:tcPr>
          <w:p w:rsidR="002C0F33" w:rsidRPr="002C0F33" w:rsidRDefault="002C0F33" w:rsidP="002C0F33">
            <w:pPr>
              <w:spacing w:line="240" w:lineRule="auto"/>
              <w:ind w:firstLine="0"/>
              <w:jc w:val="right"/>
              <w:rPr>
                <w:rFonts w:cs="Arial"/>
                <w:sz w:val="20"/>
                <w:szCs w:val="20"/>
              </w:rPr>
            </w:pPr>
            <w:r w:rsidRPr="002C0F33">
              <w:rPr>
                <w:rFonts w:cs="Arial"/>
                <w:sz w:val="20"/>
                <w:szCs w:val="20"/>
              </w:rPr>
              <w:t>73,8</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23,0</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dostawcze</w:t>
            </w:r>
          </w:p>
        </w:tc>
        <w:tc>
          <w:tcPr>
            <w:tcW w:w="528" w:type="pct"/>
            <w:tcBorders>
              <w:top w:val="nil"/>
              <w:bottom w:val="nil"/>
            </w:tcBorders>
            <w:shd w:val="clear" w:color="000000" w:fill="DBE5F1" w:themeFill="accent1" w:themeFillTint="33"/>
            <w:noWrap/>
            <w:vAlign w:val="bottom"/>
            <w:hideMark/>
          </w:tcPr>
          <w:p w:rsidR="002C0F33" w:rsidRPr="002C0F33" w:rsidRDefault="002C0F33" w:rsidP="002C0F33">
            <w:pPr>
              <w:spacing w:line="240" w:lineRule="auto"/>
              <w:ind w:firstLine="0"/>
              <w:jc w:val="right"/>
              <w:rPr>
                <w:rFonts w:cs="Arial"/>
                <w:sz w:val="20"/>
                <w:szCs w:val="20"/>
              </w:rPr>
            </w:pPr>
            <w:r w:rsidRPr="002C0F33">
              <w:rPr>
                <w:rFonts w:cs="Arial"/>
                <w:sz w:val="20"/>
                <w:szCs w:val="20"/>
              </w:rPr>
              <w:t>8,8</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2,5</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ciężarowe</w:t>
            </w:r>
          </w:p>
        </w:tc>
        <w:tc>
          <w:tcPr>
            <w:tcW w:w="528" w:type="pct"/>
            <w:tcBorders>
              <w:top w:val="nil"/>
              <w:bottom w:val="nil"/>
            </w:tcBorders>
            <w:shd w:val="clear" w:color="000000" w:fill="DBE5F1" w:themeFill="accent1" w:themeFillTint="33"/>
            <w:noWrap/>
            <w:vAlign w:val="bottom"/>
            <w:hideMark/>
          </w:tcPr>
          <w:p w:rsidR="002C0F33" w:rsidRPr="002C0F33" w:rsidRDefault="002C0F33" w:rsidP="002C0F33">
            <w:pPr>
              <w:spacing w:line="240" w:lineRule="auto"/>
              <w:ind w:firstLine="0"/>
              <w:jc w:val="right"/>
              <w:rPr>
                <w:rFonts w:cs="Arial"/>
                <w:sz w:val="20"/>
                <w:szCs w:val="20"/>
              </w:rPr>
            </w:pPr>
            <w:r w:rsidRPr="002C0F33">
              <w:rPr>
                <w:rFonts w:cs="Arial"/>
                <w:sz w:val="20"/>
                <w:szCs w:val="20"/>
              </w:rPr>
              <w:t>16,3</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5,0</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autobusy</w:t>
            </w:r>
          </w:p>
        </w:tc>
        <w:tc>
          <w:tcPr>
            <w:tcW w:w="528" w:type="pct"/>
            <w:tcBorders>
              <w:top w:val="nil"/>
              <w:bottom w:val="nil"/>
            </w:tcBorders>
            <w:shd w:val="clear" w:color="000000" w:fill="DBE5F1" w:themeFill="accent1" w:themeFillTint="33"/>
            <w:noWrap/>
            <w:vAlign w:val="bottom"/>
            <w:hideMark/>
          </w:tcPr>
          <w:p w:rsidR="002C0F33" w:rsidRPr="002C0F33" w:rsidRDefault="002C0F33" w:rsidP="002C0F33">
            <w:pPr>
              <w:spacing w:line="240" w:lineRule="auto"/>
              <w:ind w:firstLine="0"/>
              <w:jc w:val="right"/>
              <w:rPr>
                <w:rFonts w:cs="Arial"/>
                <w:sz w:val="20"/>
                <w:szCs w:val="20"/>
              </w:rPr>
            </w:pPr>
            <w:r w:rsidRPr="002C0F33">
              <w:rPr>
                <w:rFonts w:cs="Arial"/>
                <w:sz w:val="20"/>
                <w:szCs w:val="20"/>
              </w:rPr>
              <w:t>0,7</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0,2</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motocykle</w:t>
            </w:r>
          </w:p>
        </w:tc>
        <w:tc>
          <w:tcPr>
            <w:tcW w:w="528" w:type="pct"/>
            <w:tcBorders>
              <w:top w:val="nil"/>
              <w:bottom w:val="nil"/>
            </w:tcBorders>
            <w:shd w:val="clear" w:color="000000" w:fill="DBE5F1" w:themeFill="accent1" w:themeFillTint="33"/>
            <w:noWrap/>
            <w:vAlign w:val="bottom"/>
            <w:hideMark/>
          </w:tcPr>
          <w:p w:rsidR="002C0F33" w:rsidRPr="002C0F33" w:rsidRDefault="002C0F33" w:rsidP="002C0F33">
            <w:pPr>
              <w:spacing w:line="240" w:lineRule="auto"/>
              <w:ind w:firstLine="0"/>
              <w:jc w:val="right"/>
              <w:rPr>
                <w:rFonts w:cs="Arial"/>
                <w:sz w:val="20"/>
                <w:szCs w:val="20"/>
              </w:rPr>
            </w:pPr>
            <w:r w:rsidRPr="002C0F33">
              <w:rPr>
                <w:rFonts w:cs="Arial"/>
                <w:sz w:val="20"/>
                <w:szCs w:val="20"/>
              </w:rPr>
              <w:t>0,4</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p>
        </w:tc>
        <w:tc>
          <w:tcPr>
            <w:tcW w:w="637" w:type="pct"/>
            <w:shd w:val="clear" w:color="auto" w:fill="auto"/>
            <w:noWrap/>
            <w:vAlign w:val="bottom"/>
            <w:hideMark/>
          </w:tcPr>
          <w:p w:rsidR="002C0F33" w:rsidRDefault="002C0F33" w:rsidP="002C0F33">
            <w:pPr>
              <w:spacing w:line="240" w:lineRule="auto"/>
              <w:ind w:firstLine="0"/>
              <w:jc w:val="right"/>
              <w:rPr>
                <w:rFonts w:cs="Arial"/>
                <w:sz w:val="20"/>
                <w:szCs w:val="20"/>
              </w:rPr>
            </w:pPr>
            <w:r>
              <w:rPr>
                <w:rFonts w:cs="Arial"/>
                <w:sz w:val="20"/>
                <w:szCs w:val="20"/>
              </w:rPr>
              <w:t>0,1</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r w:rsidR="002C0F33" w:rsidRPr="008574C4" w:rsidTr="00D03562">
        <w:trPr>
          <w:trHeight w:val="255"/>
          <w:jc w:val="center"/>
        </w:trPr>
        <w:tc>
          <w:tcPr>
            <w:tcW w:w="2250"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tcBorders>
              <w:top w:val="nil"/>
            </w:tcBorders>
            <w:shd w:val="clear" w:color="auto" w:fill="auto"/>
            <w:noWrap/>
            <w:vAlign w:val="bottom"/>
            <w:hideMark/>
          </w:tcPr>
          <w:p w:rsidR="002C0F33" w:rsidRPr="008574C4" w:rsidRDefault="002C0F33" w:rsidP="002C0F33">
            <w:pPr>
              <w:spacing w:line="240" w:lineRule="auto"/>
              <w:ind w:firstLine="0"/>
              <w:jc w:val="right"/>
              <w:rPr>
                <w:rFonts w:cs="Arial"/>
                <w:sz w:val="20"/>
                <w:szCs w:val="20"/>
              </w:rPr>
            </w:pPr>
            <w:r w:rsidRPr="008574C4">
              <w:rPr>
                <w:rFonts w:cs="Arial"/>
                <w:sz w:val="20"/>
                <w:szCs w:val="20"/>
              </w:rPr>
              <w:t> </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637"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c>
          <w:tcPr>
            <w:tcW w:w="528" w:type="pct"/>
            <w:shd w:val="clear" w:color="auto" w:fill="auto"/>
            <w:noWrap/>
            <w:vAlign w:val="bottom"/>
            <w:hideMark/>
          </w:tcPr>
          <w:p w:rsidR="002C0F33" w:rsidRPr="008574C4" w:rsidRDefault="002C0F33" w:rsidP="002C0F33">
            <w:pPr>
              <w:spacing w:line="240" w:lineRule="auto"/>
              <w:ind w:firstLine="0"/>
              <w:rPr>
                <w:rFonts w:cs="Arial"/>
                <w:sz w:val="20"/>
                <w:szCs w:val="20"/>
              </w:rPr>
            </w:pPr>
            <w:r w:rsidRPr="008574C4">
              <w:rPr>
                <w:rFonts w:cs="Arial"/>
                <w:sz w:val="20"/>
                <w:szCs w:val="20"/>
              </w:rPr>
              <w:t> </w:t>
            </w:r>
          </w:p>
        </w:tc>
      </w:tr>
    </w:tbl>
    <w:p w:rsidR="00D8648F" w:rsidRPr="00B40544" w:rsidRDefault="00142501" w:rsidP="002C0F33">
      <w:pPr>
        <w:ind w:firstLine="0"/>
        <w:jc w:val="center"/>
        <w:rPr>
          <w:rFonts w:ascii="Lato" w:hAnsi="Lato"/>
          <w:bCs/>
          <w:i/>
          <w:spacing w:val="-2"/>
          <w:sz w:val="20"/>
          <w:szCs w:val="20"/>
        </w:rPr>
      </w:pPr>
      <w:r w:rsidRPr="00B40544">
        <w:rPr>
          <w:rFonts w:ascii="Lato" w:hAnsi="Lato"/>
          <w:bCs/>
          <w:i/>
          <w:spacing w:val="-2"/>
          <w:sz w:val="20"/>
          <w:szCs w:val="20"/>
        </w:rPr>
        <w:t xml:space="preserve">Źródło: </w:t>
      </w:r>
      <w:r w:rsidR="00BD0E60">
        <w:rPr>
          <w:rFonts w:ascii="Lato" w:hAnsi="Lato"/>
          <w:bCs/>
          <w:i/>
          <w:spacing w:val="-2"/>
          <w:sz w:val="20"/>
          <w:szCs w:val="20"/>
        </w:rPr>
        <w:t>A</w:t>
      </w:r>
      <w:r w:rsidRPr="00B40544">
        <w:rPr>
          <w:rFonts w:ascii="Lato" w:hAnsi="Lato"/>
          <w:bCs/>
          <w:i/>
          <w:spacing w:val="-2"/>
          <w:sz w:val="20"/>
          <w:szCs w:val="20"/>
        </w:rPr>
        <w:t>nalizy własne</w:t>
      </w:r>
    </w:p>
    <w:p w:rsidR="004B329B" w:rsidRPr="00D352C4" w:rsidRDefault="004B329B" w:rsidP="002A4A04">
      <w:pPr>
        <w:ind w:firstLine="0"/>
        <w:jc w:val="center"/>
        <w:rPr>
          <w:rFonts w:ascii="Lato" w:hAnsi="Lato"/>
          <w:bCs/>
          <w:i/>
          <w:spacing w:val="-2"/>
          <w:sz w:val="20"/>
          <w:szCs w:val="20"/>
          <w:highlight w:val="yellow"/>
        </w:rPr>
      </w:pPr>
    </w:p>
    <w:p w:rsidR="00D8648F" w:rsidRPr="00B40544" w:rsidRDefault="00D8648F" w:rsidP="004B329B">
      <w:pPr>
        <w:pStyle w:val="Legenda"/>
        <w:rPr>
          <w:rFonts w:ascii="Lato" w:hAnsi="Lato"/>
          <w:color w:val="1F497D"/>
          <w:sz w:val="20"/>
          <w:szCs w:val="20"/>
        </w:rPr>
      </w:pPr>
      <w:bookmarkStart w:id="216" w:name="_Toc341695838"/>
      <w:bookmarkStart w:id="217" w:name="_Toc336943642"/>
      <w:bookmarkStart w:id="218" w:name="_Toc336419475"/>
      <w:bookmarkStart w:id="219" w:name="_Toc328633032"/>
      <w:bookmarkStart w:id="220" w:name="_Toc421081816"/>
      <w:bookmarkStart w:id="221" w:name="_Toc20219182"/>
      <w:bookmarkStart w:id="222" w:name="_Toc136833620"/>
      <w:r w:rsidRPr="00B40544">
        <w:rPr>
          <w:rFonts w:ascii="Lato" w:hAnsi="Lato"/>
          <w:color w:val="1F497D"/>
          <w:sz w:val="20"/>
          <w:szCs w:val="20"/>
        </w:rPr>
        <w:t xml:space="preserve">Tabela </w:t>
      </w:r>
      <w:r w:rsidR="004042AE" w:rsidRPr="00B40544">
        <w:rPr>
          <w:rFonts w:ascii="Lato" w:hAnsi="Lato"/>
          <w:color w:val="1F497D"/>
          <w:sz w:val="20"/>
          <w:szCs w:val="20"/>
        </w:rPr>
        <w:fldChar w:fldCharType="begin"/>
      </w:r>
      <w:r w:rsidR="005430ED" w:rsidRPr="00B40544">
        <w:rPr>
          <w:rFonts w:ascii="Lato" w:hAnsi="Lato"/>
          <w:color w:val="1F497D"/>
          <w:sz w:val="20"/>
          <w:szCs w:val="20"/>
        </w:rPr>
        <w:instrText xml:space="preserve"> STYLEREF 1 \s </w:instrText>
      </w:r>
      <w:r w:rsidR="004042AE" w:rsidRPr="00B40544">
        <w:rPr>
          <w:rFonts w:ascii="Lato" w:hAnsi="Lato"/>
          <w:color w:val="1F497D"/>
          <w:sz w:val="20"/>
          <w:szCs w:val="20"/>
        </w:rPr>
        <w:fldChar w:fldCharType="separate"/>
      </w:r>
      <w:r w:rsidR="0040205B">
        <w:rPr>
          <w:rFonts w:ascii="Lato" w:hAnsi="Lato"/>
          <w:noProof/>
          <w:color w:val="1F497D"/>
          <w:sz w:val="20"/>
          <w:szCs w:val="20"/>
        </w:rPr>
        <w:t>2</w:t>
      </w:r>
      <w:r w:rsidR="004042AE" w:rsidRPr="00B40544">
        <w:rPr>
          <w:rFonts w:ascii="Lato" w:hAnsi="Lato"/>
          <w:color w:val="1F497D"/>
          <w:sz w:val="20"/>
          <w:szCs w:val="20"/>
        </w:rPr>
        <w:fldChar w:fldCharType="end"/>
      </w:r>
      <w:r w:rsidR="005430ED" w:rsidRPr="00B40544">
        <w:rPr>
          <w:rFonts w:ascii="Lato" w:hAnsi="Lato"/>
          <w:color w:val="1F497D"/>
          <w:sz w:val="20"/>
          <w:szCs w:val="20"/>
        </w:rPr>
        <w:noBreakHyphen/>
      </w:r>
      <w:r w:rsidR="004042AE" w:rsidRPr="00B40544">
        <w:rPr>
          <w:rFonts w:ascii="Lato" w:hAnsi="Lato"/>
          <w:color w:val="1F497D"/>
          <w:sz w:val="20"/>
          <w:szCs w:val="20"/>
        </w:rPr>
        <w:fldChar w:fldCharType="begin"/>
      </w:r>
      <w:r w:rsidR="005430ED" w:rsidRPr="00B40544">
        <w:rPr>
          <w:rFonts w:ascii="Lato" w:hAnsi="Lato"/>
          <w:color w:val="1F497D"/>
          <w:sz w:val="20"/>
          <w:szCs w:val="20"/>
        </w:rPr>
        <w:instrText xml:space="preserve"> SEQ Tabela \* ARABIC \s 1 </w:instrText>
      </w:r>
      <w:r w:rsidR="004042AE" w:rsidRPr="00B40544">
        <w:rPr>
          <w:rFonts w:ascii="Lato" w:hAnsi="Lato"/>
          <w:color w:val="1F497D"/>
          <w:sz w:val="20"/>
          <w:szCs w:val="20"/>
        </w:rPr>
        <w:fldChar w:fldCharType="separate"/>
      </w:r>
      <w:r w:rsidR="0040205B">
        <w:rPr>
          <w:rFonts w:ascii="Lato" w:hAnsi="Lato"/>
          <w:noProof/>
          <w:color w:val="1F497D"/>
          <w:sz w:val="20"/>
          <w:szCs w:val="20"/>
        </w:rPr>
        <w:t>16</w:t>
      </w:r>
      <w:r w:rsidR="004042AE" w:rsidRPr="00B40544">
        <w:rPr>
          <w:rFonts w:ascii="Lato" w:hAnsi="Lato"/>
          <w:color w:val="1F497D"/>
          <w:sz w:val="20"/>
          <w:szCs w:val="20"/>
        </w:rPr>
        <w:fldChar w:fldCharType="end"/>
      </w:r>
      <w:r w:rsidRPr="00B40544">
        <w:rPr>
          <w:rFonts w:ascii="Lato" w:hAnsi="Lato"/>
          <w:color w:val="1F497D"/>
          <w:sz w:val="20"/>
          <w:szCs w:val="20"/>
        </w:rPr>
        <w:t xml:space="preserve"> Roczna emisja substancji szkodliwych do atmosfery ze środków tran</w:t>
      </w:r>
      <w:r w:rsidR="00125260" w:rsidRPr="00B40544">
        <w:rPr>
          <w:rFonts w:ascii="Lato" w:hAnsi="Lato"/>
          <w:color w:val="1F497D"/>
          <w:sz w:val="20"/>
          <w:szCs w:val="20"/>
        </w:rPr>
        <w:t>sportu na</w:t>
      </w:r>
      <w:r w:rsidR="00052617" w:rsidRPr="00B40544">
        <w:rPr>
          <w:rFonts w:ascii="Lato" w:hAnsi="Lato"/>
          <w:color w:val="1F497D"/>
          <w:sz w:val="20"/>
          <w:szCs w:val="20"/>
        </w:rPr>
        <w:t xml:space="preserve"> </w:t>
      </w:r>
      <w:r w:rsidR="00125260" w:rsidRPr="00B40544">
        <w:rPr>
          <w:rFonts w:ascii="Lato" w:hAnsi="Lato"/>
          <w:color w:val="1F497D"/>
          <w:sz w:val="20"/>
          <w:szCs w:val="20"/>
        </w:rPr>
        <w:t xml:space="preserve">terenie </w:t>
      </w:r>
      <w:r w:rsidR="003C3274" w:rsidRPr="00B40544">
        <w:rPr>
          <w:rFonts w:ascii="Lato" w:hAnsi="Lato"/>
          <w:color w:val="1F497D"/>
          <w:sz w:val="20"/>
          <w:szCs w:val="20"/>
          <w:lang w:val="pl-PL"/>
        </w:rPr>
        <w:t xml:space="preserve">Gminy </w:t>
      </w:r>
      <w:r w:rsidR="00B40544" w:rsidRPr="00B40544">
        <w:rPr>
          <w:rFonts w:ascii="Lato" w:hAnsi="Lato"/>
          <w:color w:val="1F497D"/>
          <w:sz w:val="20"/>
          <w:szCs w:val="20"/>
          <w:lang w:val="pl-PL"/>
        </w:rPr>
        <w:t>Pabianice</w:t>
      </w:r>
      <w:r w:rsidR="00125260" w:rsidRPr="00B40544">
        <w:rPr>
          <w:rFonts w:ascii="Lato" w:hAnsi="Lato"/>
          <w:color w:val="1F497D"/>
          <w:sz w:val="20"/>
          <w:szCs w:val="20"/>
        </w:rPr>
        <w:t xml:space="preserve">, </w:t>
      </w:r>
      <w:r w:rsidRPr="00B40544">
        <w:rPr>
          <w:rFonts w:ascii="Lato" w:hAnsi="Lato"/>
          <w:color w:val="1F497D"/>
          <w:sz w:val="20"/>
          <w:szCs w:val="20"/>
        </w:rPr>
        <w:t>kg/rok</w:t>
      </w:r>
      <w:bookmarkEnd w:id="216"/>
      <w:bookmarkEnd w:id="217"/>
      <w:bookmarkEnd w:id="218"/>
      <w:bookmarkEnd w:id="219"/>
      <w:bookmarkEnd w:id="220"/>
      <w:bookmarkEnd w:id="221"/>
    </w:p>
    <w:tbl>
      <w:tblPr>
        <w:tblW w:w="5000" w:type="pct"/>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1073"/>
        <w:gridCol w:w="1000"/>
        <w:gridCol w:w="1281"/>
        <w:gridCol w:w="1009"/>
        <w:gridCol w:w="823"/>
        <w:gridCol w:w="669"/>
        <w:gridCol w:w="669"/>
        <w:gridCol w:w="669"/>
        <w:gridCol w:w="774"/>
        <w:gridCol w:w="564"/>
        <w:gridCol w:w="669"/>
        <w:gridCol w:w="353"/>
      </w:tblGrid>
      <w:tr w:rsidR="002C0F33" w:rsidRPr="00A92FD2" w:rsidTr="00D03562">
        <w:trPr>
          <w:cantSplit/>
        </w:trPr>
        <w:tc>
          <w:tcPr>
            <w:tcW w:w="56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bookmarkStart w:id="223" w:name="_Toc341695839"/>
            <w:bookmarkStart w:id="224" w:name="_Toc336943643"/>
            <w:bookmarkStart w:id="225" w:name="_Toc336419476"/>
            <w:bookmarkStart w:id="226" w:name="_Toc328633033"/>
            <w:r w:rsidRPr="00A92FD2">
              <w:rPr>
                <w:rFonts w:ascii="Tahoma" w:hAnsi="Tahoma" w:cs="Tahoma"/>
                <w:color w:val="17365D" w:themeColor="text2" w:themeShade="BF"/>
                <w:sz w:val="16"/>
                <w:szCs w:val="16"/>
              </w:rPr>
              <w:t>Rodzaj drogi</w:t>
            </w: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Rodzaj pojazdu</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Śr. prędkość [km/h]</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CO</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C</w:t>
            </w:r>
            <w:r w:rsidRPr="00A92FD2">
              <w:rPr>
                <w:rFonts w:ascii="Tahoma" w:hAnsi="Tahoma" w:cs="Tahoma"/>
                <w:color w:val="17365D" w:themeColor="text2" w:themeShade="BF"/>
                <w:sz w:val="16"/>
                <w:szCs w:val="16"/>
                <w:vertAlign w:val="subscript"/>
              </w:rPr>
              <w:t>6</w:t>
            </w:r>
            <w:r w:rsidRPr="00A92FD2">
              <w:rPr>
                <w:rFonts w:ascii="Tahoma" w:hAnsi="Tahoma" w:cs="Tahoma"/>
                <w:color w:val="17365D" w:themeColor="text2" w:themeShade="BF"/>
                <w:sz w:val="16"/>
                <w:szCs w:val="16"/>
              </w:rPr>
              <w:t>H</w:t>
            </w:r>
            <w:r w:rsidRPr="00A92FD2">
              <w:rPr>
                <w:rFonts w:ascii="Tahoma" w:hAnsi="Tahoma" w:cs="Tahoma"/>
                <w:color w:val="17365D" w:themeColor="text2" w:themeShade="BF"/>
                <w:sz w:val="16"/>
                <w:szCs w:val="16"/>
                <w:vertAlign w:val="subscript"/>
              </w:rPr>
              <w:t>6</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HC</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HCal</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HCar</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NOx</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TSP</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SOx</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2C0F33" w:rsidRPr="00A92FD2" w:rsidRDefault="002C0F33"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Pb</w:t>
            </w:r>
          </w:p>
        </w:tc>
      </w:tr>
      <w:tr w:rsidR="00BD1055" w:rsidRPr="00A92FD2" w:rsidTr="00D03562">
        <w:trPr>
          <w:cantSplit/>
        </w:trPr>
        <w:tc>
          <w:tcPr>
            <w:tcW w:w="561" w:type="pct"/>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rsidR="00BD1055" w:rsidRPr="00A92FD2" w:rsidRDefault="00BD1055"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krajowe</w:t>
            </w: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osobowe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234142</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1969</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33878</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23715</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7114</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70152</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1187</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3403</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32</w:t>
            </w:r>
          </w:p>
        </w:tc>
      </w:tr>
      <w:tr w:rsidR="00BD1055" w:rsidRPr="00A92FD2" w:rsidTr="00D03562">
        <w:trPr>
          <w:cantSplit/>
        </w:trPr>
        <w:tc>
          <w:tcPr>
            <w:tcW w:w="561"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dostawcze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60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10946</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72</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1627</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1139</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342</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5066</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601</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707</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w:t>
            </w:r>
          </w:p>
        </w:tc>
      </w:tr>
      <w:tr w:rsidR="00BD1055" w:rsidRPr="00A92FD2" w:rsidTr="00D03562">
        <w:trPr>
          <w:cantSplit/>
        </w:trPr>
        <w:tc>
          <w:tcPr>
            <w:tcW w:w="561"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ciężarowe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11533</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137</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7242</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5070</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1521</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29353</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2074</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2470</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autobusy</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1935</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21</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1095</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766</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230</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5983</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339</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442</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motocykle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13248</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66</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1239</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867</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260</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134</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val="restart"/>
            <w:tcBorders>
              <w:top w:val="single" w:sz="2" w:space="0" w:color="4F81BD" w:themeColor="accent1"/>
              <w:left w:val="single" w:sz="2" w:space="0" w:color="4F81BD" w:themeColor="accent1"/>
              <w:right w:val="single" w:sz="2" w:space="0" w:color="4F81BD" w:themeColor="accent1"/>
            </w:tcBorders>
            <w:shd w:val="clear" w:color="auto" w:fill="B8CCE4" w:themeFill="accent1" w:themeFillTint="66"/>
            <w:vAlign w:val="center"/>
          </w:tcPr>
          <w:p w:rsidR="00BD1055" w:rsidRPr="00A92FD2" w:rsidRDefault="00BD1055" w:rsidP="002C0F33">
            <w:pPr>
              <w:spacing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wojewódzkie</w:t>
            </w: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osobowe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45</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27248</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242</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4186</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2931</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879</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5804</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125</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312</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w:t>
            </w:r>
          </w:p>
        </w:tc>
      </w:tr>
      <w:tr w:rsidR="00BD1055" w:rsidRPr="00A92FD2" w:rsidTr="00D03562">
        <w:trPr>
          <w:cantSplit/>
        </w:trPr>
        <w:tc>
          <w:tcPr>
            <w:tcW w:w="561" w:type="pct"/>
            <w:vMerge/>
            <w:tcBorders>
              <w:left w:val="single" w:sz="2" w:space="0" w:color="4F81BD" w:themeColor="accent1"/>
              <w:right w:val="single" w:sz="2" w:space="0" w:color="4F81BD" w:themeColor="accent1"/>
            </w:tcBorders>
            <w:shd w:val="clear" w:color="auto" w:fill="B8CCE4" w:themeFill="accent1" w:themeFillTint="66"/>
            <w:vAlign w:val="center"/>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center"/>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dostawcze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2417</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20</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441</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308</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93</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1006</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118</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150</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tcBorders>
              <w:left w:val="single" w:sz="2" w:space="0" w:color="4F81BD" w:themeColor="accent1"/>
              <w:right w:val="single" w:sz="2" w:space="0" w:color="4F81BD" w:themeColor="accent1"/>
            </w:tcBorders>
            <w:shd w:val="clear" w:color="auto" w:fill="B8CCE4" w:themeFill="accent1" w:themeFillTint="66"/>
            <w:vAlign w:val="center"/>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ciężarowe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5003</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76</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4121</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2885</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866</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10905</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1017</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878</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tcBorders>
              <w:left w:val="single" w:sz="2" w:space="0" w:color="4F81BD" w:themeColor="accent1"/>
              <w:right w:val="single" w:sz="2" w:space="0" w:color="4F81BD" w:themeColor="accent1"/>
            </w:tcBorders>
            <w:shd w:val="clear" w:color="auto" w:fill="B8CCE4" w:themeFill="accent1" w:themeFillTint="66"/>
            <w:vAlign w:val="center"/>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center"/>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autobusy</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25</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278</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174</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122</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37</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830</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48</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56</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tcBorders>
              <w:left w:val="single" w:sz="2" w:space="0" w:color="4F81BD" w:themeColor="accent1"/>
              <w:bottom w:val="single" w:sz="2" w:space="0" w:color="4F81BD" w:themeColor="accent1"/>
              <w:right w:val="single" w:sz="2" w:space="0" w:color="4F81BD" w:themeColor="accent1"/>
            </w:tcBorders>
            <w:shd w:val="clear" w:color="auto" w:fill="B8CCE4" w:themeFill="accent1" w:themeFillTint="66"/>
            <w:vAlign w:val="center"/>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motocykle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839</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6</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114</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80</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24</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6</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center"/>
            <w:hideMark/>
          </w:tcPr>
          <w:p w:rsidR="00BD1055" w:rsidRPr="00A92FD2" w:rsidRDefault="00BD1055"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powiatowe</w:t>
            </w: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osobowe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45769</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413</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7196</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5037</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1511</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9484</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201</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532</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w:t>
            </w:r>
          </w:p>
        </w:tc>
      </w:tr>
      <w:tr w:rsidR="00BD1055" w:rsidRPr="00A92FD2" w:rsidTr="00D03562">
        <w:trPr>
          <w:cantSplit/>
        </w:trPr>
        <w:tc>
          <w:tcPr>
            <w:tcW w:w="561"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dostawcze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35</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4119</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35</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790</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553</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166</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1711</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189</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262</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ciężarowe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8100</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124</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6673</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4671</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1401</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17656</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1646</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1421</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autobusy</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25</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736</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208</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145</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44</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1823</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83</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102</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motocykle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35</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1229</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9</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175</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122</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37</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CE6F1"/>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val="restart"/>
            <w:tcBorders>
              <w:top w:val="single" w:sz="2" w:space="0" w:color="4F81BD" w:themeColor="accent1"/>
              <w:left w:val="single" w:sz="2" w:space="0" w:color="4F81BD" w:themeColor="accent1"/>
              <w:right w:val="single" w:sz="2" w:space="0" w:color="4F81BD" w:themeColor="accent1"/>
            </w:tcBorders>
            <w:shd w:val="clear" w:color="auto" w:fill="F2F2F2" w:themeFill="background1" w:themeFillShade="F2"/>
            <w:noWrap/>
            <w:vAlign w:val="center"/>
            <w:hideMark/>
          </w:tcPr>
          <w:p w:rsidR="00BD1055" w:rsidRPr="00A92FD2" w:rsidRDefault="00BD1055" w:rsidP="002C0F33">
            <w:pPr>
              <w:spacing w:before="40" w:after="40" w:line="240" w:lineRule="auto"/>
              <w:ind w:firstLine="0"/>
              <w:jc w:val="center"/>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gminne</w:t>
            </w: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osobowe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35</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48755</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446</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7830</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5481</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1644</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9687</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198</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571</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w:t>
            </w:r>
          </w:p>
        </w:tc>
      </w:tr>
      <w:tr w:rsidR="00BD1055" w:rsidRPr="00A92FD2" w:rsidTr="00D03562">
        <w:trPr>
          <w:cantSplit/>
        </w:trPr>
        <w:tc>
          <w:tcPr>
            <w:tcW w:w="561" w:type="pct"/>
            <w:vMerge/>
            <w:tcBorders>
              <w:left w:val="single" w:sz="2" w:space="0" w:color="4F81BD" w:themeColor="accent1"/>
              <w:right w:val="single" w:sz="2" w:space="0" w:color="4F81BD" w:themeColor="accent1"/>
            </w:tcBorders>
            <w:shd w:val="clear" w:color="auto" w:fill="F2F2F2" w:themeFill="background1" w:themeFillShade="F2"/>
            <w:vAlign w:val="center"/>
            <w:hideMark/>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dostawcze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35</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4097</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35</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786</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550</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165</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1702</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188</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260</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tcBorders>
              <w:left w:val="single" w:sz="2" w:space="0" w:color="4F81BD" w:themeColor="accent1"/>
              <w:right w:val="single" w:sz="2" w:space="0" w:color="4F81BD" w:themeColor="accent1"/>
            </w:tcBorders>
            <w:shd w:val="clear" w:color="auto" w:fill="F2F2F2" w:themeFill="background1" w:themeFillShade="F2"/>
            <w:vAlign w:val="center"/>
            <w:hideMark/>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ciężarowe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7658</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114</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6188</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4332</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1300</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16269</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1546</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1331</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tcBorders>
              <w:left w:val="single" w:sz="2" w:space="0" w:color="4F81BD" w:themeColor="accent1"/>
              <w:right w:val="single" w:sz="2" w:space="0" w:color="4F81BD" w:themeColor="accent1"/>
            </w:tcBorders>
            <w:shd w:val="clear" w:color="auto" w:fill="F2F2F2" w:themeFill="background1" w:themeFillShade="F2"/>
            <w:vAlign w:val="center"/>
            <w:hideMark/>
          </w:tcPr>
          <w:p w:rsidR="00BD1055" w:rsidRPr="00A92FD2" w:rsidRDefault="00BD1055" w:rsidP="002C0F33">
            <w:pPr>
              <w:spacing w:line="240" w:lineRule="auto"/>
              <w:ind w:firstLine="0"/>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autobusy</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25</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747</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211</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148</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44</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1850</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85</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104</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noWrap/>
            <w:vAlign w:val="bottom"/>
            <w:hideMark/>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Pr>
        <w:tc>
          <w:tcPr>
            <w:tcW w:w="561" w:type="pct"/>
            <w:vMerge/>
            <w:tcBorders>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vAlign w:val="center"/>
          </w:tcPr>
          <w:p w:rsidR="00BD1055" w:rsidRPr="00A92FD2" w:rsidRDefault="00BD1055" w:rsidP="002C0F33">
            <w:pPr>
              <w:spacing w:before="40" w:after="40" w:line="240" w:lineRule="auto"/>
              <w:ind w:firstLine="0"/>
              <w:jc w:val="center"/>
              <w:rPr>
                <w:rFonts w:ascii="Tahoma" w:hAnsi="Tahoma" w:cs="Tahoma"/>
                <w:color w:val="17365D" w:themeColor="text2" w:themeShade="BF"/>
                <w:sz w:val="16"/>
                <w:szCs w:val="16"/>
              </w:rPr>
            </w:pP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motocykle</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30</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1486</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12</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231</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162</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48</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8</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1</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7365D" w:themeColor="text2" w:themeShade="BF"/>
                <w:sz w:val="16"/>
                <w:szCs w:val="16"/>
              </w:rPr>
            </w:pPr>
            <w:r w:rsidRPr="00BD1055">
              <w:rPr>
                <w:rFonts w:ascii="Tahoma" w:hAnsi="Tahoma" w:cs="Tahoma"/>
                <w:color w:val="17365D" w:themeColor="text2" w:themeShade="BF"/>
                <w:sz w:val="16"/>
                <w:szCs w:val="16"/>
              </w:rPr>
              <w:t>0</w:t>
            </w:r>
          </w:p>
        </w:tc>
      </w:tr>
      <w:tr w:rsidR="00BD1055" w:rsidRPr="00A92FD2" w:rsidTr="00D03562">
        <w:trPr>
          <w:cantSplit/>
          <w:trHeight w:val="468"/>
        </w:trPr>
        <w:tc>
          <w:tcPr>
            <w:tcW w:w="56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RAZEM</w:t>
            </w:r>
          </w:p>
        </w:tc>
        <w:tc>
          <w:tcPr>
            <w:tcW w:w="523"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A92FD2" w:rsidRDefault="00BD1055" w:rsidP="002C0F33">
            <w:pPr>
              <w:spacing w:before="40" w:after="40" w:line="240" w:lineRule="auto"/>
              <w:ind w:firstLine="0"/>
              <w:rPr>
                <w:rFonts w:ascii="Tahoma" w:hAnsi="Tahoma" w:cs="Tahoma"/>
                <w:color w:val="17365D" w:themeColor="text2" w:themeShade="BF"/>
                <w:sz w:val="16"/>
                <w:szCs w:val="16"/>
              </w:rPr>
            </w:pPr>
            <w:r w:rsidRPr="00A92FD2">
              <w:rPr>
                <w:rFonts w:ascii="Tahoma" w:hAnsi="Tahoma" w:cs="Tahoma"/>
                <w:color w:val="17365D" w:themeColor="text2" w:themeShade="BF"/>
                <w:sz w:val="16"/>
                <w:szCs w:val="16"/>
              </w:rPr>
              <w:t> </w:t>
            </w:r>
          </w:p>
        </w:tc>
        <w:tc>
          <w:tcPr>
            <w:tcW w:w="67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BD1055" w:rsidRDefault="00BD1055" w:rsidP="00BD1055">
            <w:pPr>
              <w:spacing w:before="40" w:after="40" w:line="240" w:lineRule="auto"/>
              <w:ind w:firstLine="0"/>
              <w:jc w:val="center"/>
              <w:rPr>
                <w:rFonts w:ascii="Tahoma" w:hAnsi="Tahoma" w:cs="Tahoma"/>
                <w:b/>
                <w:color w:val="17365D" w:themeColor="text2" w:themeShade="BF"/>
                <w:sz w:val="16"/>
                <w:szCs w:val="16"/>
              </w:rPr>
            </w:pPr>
            <w:r w:rsidRPr="00BD1055">
              <w:rPr>
                <w:rFonts w:ascii="Tahoma" w:hAnsi="Tahoma" w:cs="Tahoma"/>
                <w:b/>
                <w:color w:val="17365D" w:themeColor="text2" w:themeShade="BF"/>
                <w:sz w:val="16"/>
                <w:szCs w:val="16"/>
              </w:rPr>
              <w:t>41,7</w:t>
            </w:r>
          </w:p>
        </w:tc>
        <w:tc>
          <w:tcPr>
            <w:tcW w:w="528"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BD1055" w:rsidRDefault="00BD1055" w:rsidP="00BD1055">
            <w:pPr>
              <w:spacing w:before="40" w:after="40" w:line="240" w:lineRule="auto"/>
              <w:ind w:firstLine="0"/>
              <w:jc w:val="center"/>
              <w:rPr>
                <w:rFonts w:ascii="Tahoma" w:hAnsi="Tahoma" w:cs="Tahoma"/>
                <w:b/>
                <w:color w:val="17365D" w:themeColor="text2" w:themeShade="BF"/>
                <w:sz w:val="16"/>
                <w:szCs w:val="16"/>
              </w:rPr>
            </w:pPr>
            <w:r w:rsidRPr="00BD1055">
              <w:rPr>
                <w:rFonts w:ascii="Tahoma" w:hAnsi="Tahoma" w:cs="Tahoma"/>
                <w:b/>
                <w:color w:val="17365D" w:themeColor="text2" w:themeShade="BF"/>
                <w:sz w:val="16"/>
                <w:szCs w:val="16"/>
              </w:rPr>
              <w:t>430284</w:t>
            </w:r>
          </w:p>
        </w:tc>
        <w:tc>
          <w:tcPr>
            <w:tcW w:w="431"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BD1055" w:rsidRDefault="00BD1055" w:rsidP="00BD1055">
            <w:pPr>
              <w:spacing w:before="40" w:after="40" w:line="240" w:lineRule="auto"/>
              <w:ind w:firstLine="0"/>
              <w:jc w:val="center"/>
              <w:rPr>
                <w:rFonts w:ascii="Tahoma" w:hAnsi="Tahoma" w:cs="Tahoma"/>
                <w:b/>
                <w:color w:val="17365D" w:themeColor="text2" w:themeShade="BF"/>
                <w:sz w:val="16"/>
                <w:szCs w:val="16"/>
              </w:rPr>
            </w:pPr>
            <w:r w:rsidRPr="00BD1055">
              <w:rPr>
                <w:rFonts w:ascii="Tahoma" w:hAnsi="Tahoma" w:cs="Tahoma"/>
                <w:b/>
                <w:color w:val="17365D" w:themeColor="text2" w:themeShade="BF"/>
                <w:sz w:val="16"/>
                <w:szCs w:val="16"/>
              </w:rPr>
              <w:t>3809</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BD1055" w:rsidRDefault="00BD1055" w:rsidP="00BD1055">
            <w:pPr>
              <w:spacing w:before="40" w:after="40" w:line="240" w:lineRule="auto"/>
              <w:ind w:firstLine="0"/>
              <w:jc w:val="center"/>
              <w:rPr>
                <w:rFonts w:ascii="Tahoma" w:hAnsi="Tahoma" w:cs="Tahoma"/>
                <w:b/>
                <w:color w:val="17365D" w:themeColor="text2" w:themeShade="BF"/>
                <w:sz w:val="16"/>
                <w:szCs w:val="16"/>
              </w:rPr>
            </w:pPr>
            <w:r w:rsidRPr="00BD1055">
              <w:rPr>
                <w:rFonts w:ascii="Tahoma" w:hAnsi="Tahoma" w:cs="Tahoma"/>
                <w:b/>
                <w:color w:val="17365D" w:themeColor="text2" w:themeShade="BF"/>
                <w:sz w:val="16"/>
                <w:szCs w:val="16"/>
              </w:rPr>
              <w:t>84404</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BD1055" w:rsidRDefault="00BD1055" w:rsidP="00BD1055">
            <w:pPr>
              <w:spacing w:before="40" w:after="40" w:line="240" w:lineRule="auto"/>
              <w:ind w:firstLine="0"/>
              <w:jc w:val="center"/>
              <w:rPr>
                <w:rFonts w:ascii="Tahoma" w:hAnsi="Tahoma" w:cs="Tahoma"/>
                <w:b/>
                <w:color w:val="17365D" w:themeColor="text2" w:themeShade="BF"/>
                <w:sz w:val="16"/>
                <w:szCs w:val="16"/>
              </w:rPr>
            </w:pPr>
            <w:r w:rsidRPr="00BD1055">
              <w:rPr>
                <w:rFonts w:ascii="Tahoma" w:hAnsi="Tahoma" w:cs="Tahoma"/>
                <w:b/>
                <w:color w:val="17365D" w:themeColor="text2" w:themeShade="BF"/>
                <w:sz w:val="16"/>
                <w:szCs w:val="16"/>
              </w:rPr>
              <w:t>59083</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BD1055" w:rsidRDefault="00BD1055" w:rsidP="00BD1055">
            <w:pPr>
              <w:spacing w:before="40" w:after="40" w:line="240" w:lineRule="auto"/>
              <w:ind w:firstLine="0"/>
              <w:jc w:val="center"/>
              <w:rPr>
                <w:rFonts w:ascii="Tahoma" w:hAnsi="Tahoma" w:cs="Tahoma"/>
                <w:b/>
                <w:color w:val="17365D" w:themeColor="text2" w:themeShade="BF"/>
                <w:sz w:val="16"/>
                <w:szCs w:val="16"/>
              </w:rPr>
            </w:pPr>
            <w:r w:rsidRPr="00BD1055">
              <w:rPr>
                <w:rFonts w:ascii="Tahoma" w:hAnsi="Tahoma" w:cs="Tahoma"/>
                <w:b/>
                <w:color w:val="17365D" w:themeColor="text2" w:themeShade="BF"/>
                <w:sz w:val="16"/>
                <w:szCs w:val="16"/>
              </w:rPr>
              <w:t>17725</w:t>
            </w:r>
          </w:p>
        </w:tc>
        <w:tc>
          <w:tcPr>
            <w:tcW w:w="40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BD1055" w:rsidRDefault="00BD1055" w:rsidP="00BD1055">
            <w:pPr>
              <w:spacing w:before="40" w:after="40" w:line="240" w:lineRule="auto"/>
              <w:ind w:firstLine="0"/>
              <w:jc w:val="center"/>
              <w:rPr>
                <w:rFonts w:ascii="Tahoma" w:hAnsi="Tahoma" w:cs="Tahoma"/>
                <w:b/>
                <w:color w:val="17365D" w:themeColor="text2" w:themeShade="BF"/>
                <w:sz w:val="16"/>
                <w:szCs w:val="16"/>
              </w:rPr>
            </w:pPr>
            <w:r w:rsidRPr="00BD1055">
              <w:rPr>
                <w:rFonts w:ascii="Tahoma" w:hAnsi="Tahoma" w:cs="Tahoma"/>
                <w:b/>
                <w:color w:val="17365D" w:themeColor="text2" w:themeShade="BF"/>
                <w:sz w:val="16"/>
                <w:szCs w:val="16"/>
              </w:rPr>
              <w:t>189437</w:t>
            </w:r>
          </w:p>
        </w:tc>
        <w:tc>
          <w:tcPr>
            <w:tcW w:w="29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BD1055" w:rsidRDefault="00BD1055" w:rsidP="00BD1055">
            <w:pPr>
              <w:spacing w:before="40" w:after="40" w:line="240" w:lineRule="auto"/>
              <w:ind w:firstLine="0"/>
              <w:jc w:val="center"/>
              <w:rPr>
                <w:rFonts w:ascii="Tahoma" w:hAnsi="Tahoma" w:cs="Tahoma"/>
                <w:b/>
                <w:color w:val="17365D" w:themeColor="text2" w:themeShade="BF"/>
                <w:sz w:val="16"/>
                <w:szCs w:val="16"/>
              </w:rPr>
            </w:pPr>
            <w:r w:rsidRPr="00BD1055">
              <w:rPr>
                <w:rFonts w:ascii="Tahoma" w:hAnsi="Tahoma" w:cs="Tahoma"/>
                <w:b/>
                <w:color w:val="17365D" w:themeColor="text2" w:themeShade="BF"/>
                <w:sz w:val="16"/>
                <w:szCs w:val="16"/>
              </w:rPr>
              <w:t>9644</w:t>
            </w:r>
          </w:p>
        </w:tc>
        <w:tc>
          <w:tcPr>
            <w:tcW w:w="350"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BD1055" w:rsidRDefault="00BD1055" w:rsidP="00BD1055">
            <w:pPr>
              <w:spacing w:before="40" w:after="40" w:line="240" w:lineRule="auto"/>
              <w:ind w:firstLine="0"/>
              <w:jc w:val="center"/>
              <w:rPr>
                <w:rFonts w:ascii="Tahoma" w:hAnsi="Tahoma" w:cs="Tahoma"/>
                <w:b/>
                <w:color w:val="17365D" w:themeColor="text2" w:themeShade="BF"/>
                <w:sz w:val="16"/>
                <w:szCs w:val="16"/>
              </w:rPr>
            </w:pPr>
            <w:r w:rsidRPr="00BD1055">
              <w:rPr>
                <w:rFonts w:ascii="Tahoma" w:hAnsi="Tahoma" w:cs="Tahoma"/>
                <w:b/>
                <w:color w:val="17365D" w:themeColor="text2" w:themeShade="BF"/>
                <w:sz w:val="16"/>
                <w:szCs w:val="16"/>
              </w:rPr>
              <w:t>13011</w:t>
            </w:r>
          </w:p>
        </w:tc>
        <w:tc>
          <w:tcPr>
            <w:tcW w:w="185" w:type="pc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BD1055" w:rsidRDefault="00BD1055" w:rsidP="00BD1055">
            <w:pPr>
              <w:spacing w:before="40" w:after="40" w:line="240" w:lineRule="auto"/>
              <w:ind w:firstLine="0"/>
              <w:jc w:val="center"/>
              <w:rPr>
                <w:rFonts w:ascii="Tahoma" w:hAnsi="Tahoma" w:cs="Tahoma"/>
                <w:b/>
                <w:color w:val="17365D" w:themeColor="text2" w:themeShade="BF"/>
                <w:sz w:val="16"/>
                <w:szCs w:val="16"/>
              </w:rPr>
            </w:pPr>
            <w:r w:rsidRPr="00BD1055">
              <w:rPr>
                <w:rFonts w:ascii="Tahoma" w:hAnsi="Tahoma" w:cs="Tahoma"/>
                <w:b/>
                <w:color w:val="17365D" w:themeColor="text2" w:themeShade="BF"/>
                <w:sz w:val="16"/>
                <w:szCs w:val="16"/>
              </w:rPr>
              <w:t>47</w:t>
            </w:r>
          </w:p>
        </w:tc>
      </w:tr>
    </w:tbl>
    <w:p w:rsidR="00D8648F" w:rsidRPr="00B40544" w:rsidRDefault="00D8648F" w:rsidP="002A4A04">
      <w:pPr>
        <w:ind w:firstLine="0"/>
        <w:jc w:val="center"/>
        <w:rPr>
          <w:rFonts w:ascii="Lato" w:hAnsi="Lato"/>
          <w:bCs/>
          <w:i/>
          <w:spacing w:val="-2"/>
          <w:sz w:val="20"/>
          <w:szCs w:val="20"/>
        </w:rPr>
      </w:pPr>
      <w:r w:rsidRPr="00B40544">
        <w:rPr>
          <w:rFonts w:ascii="Lato" w:hAnsi="Lato"/>
          <w:bCs/>
          <w:i/>
          <w:spacing w:val="-2"/>
          <w:sz w:val="20"/>
          <w:szCs w:val="20"/>
        </w:rPr>
        <w:t xml:space="preserve">Źródło: </w:t>
      </w:r>
      <w:r w:rsidR="00BD0E60">
        <w:rPr>
          <w:rFonts w:ascii="Lato" w:hAnsi="Lato"/>
          <w:bCs/>
          <w:i/>
          <w:spacing w:val="-2"/>
          <w:sz w:val="20"/>
          <w:szCs w:val="20"/>
        </w:rPr>
        <w:t>A</w:t>
      </w:r>
      <w:r w:rsidRPr="00B40544">
        <w:rPr>
          <w:rFonts w:ascii="Lato" w:hAnsi="Lato"/>
          <w:bCs/>
          <w:i/>
          <w:spacing w:val="-2"/>
          <w:sz w:val="20"/>
          <w:szCs w:val="20"/>
        </w:rPr>
        <w:t>nalizy własne</w:t>
      </w:r>
    </w:p>
    <w:p w:rsidR="00D8648F" w:rsidRPr="00B40544" w:rsidRDefault="00D8648F" w:rsidP="0025142A">
      <w:pPr>
        <w:pStyle w:val="Legenda"/>
        <w:rPr>
          <w:rFonts w:ascii="Lato" w:hAnsi="Lato"/>
          <w:color w:val="1F497D"/>
          <w:sz w:val="20"/>
          <w:szCs w:val="20"/>
        </w:rPr>
      </w:pPr>
      <w:bookmarkStart w:id="227" w:name="_Toc421081817"/>
      <w:bookmarkStart w:id="228" w:name="_Toc20219183"/>
      <w:r w:rsidRPr="00B40544">
        <w:rPr>
          <w:rFonts w:ascii="Lato" w:hAnsi="Lato"/>
          <w:color w:val="1F497D"/>
          <w:sz w:val="20"/>
          <w:szCs w:val="20"/>
        </w:rPr>
        <w:t xml:space="preserve">Tabela </w:t>
      </w:r>
      <w:r w:rsidR="004042AE" w:rsidRPr="00B40544">
        <w:rPr>
          <w:rFonts w:ascii="Lato" w:hAnsi="Lato"/>
          <w:color w:val="1F497D"/>
          <w:sz w:val="20"/>
          <w:szCs w:val="20"/>
        </w:rPr>
        <w:fldChar w:fldCharType="begin"/>
      </w:r>
      <w:r w:rsidR="005430ED" w:rsidRPr="00B40544">
        <w:rPr>
          <w:rFonts w:ascii="Lato" w:hAnsi="Lato"/>
          <w:color w:val="1F497D"/>
          <w:sz w:val="20"/>
          <w:szCs w:val="20"/>
        </w:rPr>
        <w:instrText xml:space="preserve"> STYLEREF 1 \s </w:instrText>
      </w:r>
      <w:r w:rsidR="004042AE" w:rsidRPr="00B40544">
        <w:rPr>
          <w:rFonts w:ascii="Lato" w:hAnsi="Lato"/>
          <w:color w:val="1F497D"/>
          <w:sz w:val="20"/>
          <w:szCs w:val="20"/>
        </w:rPr>
        <w:fldChar w:fldCharType="separate"/>
      </w:r>
      <w:r w:rsidR="0040205B">
        <w:rPr>
          <w:rFonts w:ascii="Lato" w:hAnsi="Lato"/>
          <w:noProof/>
          <w:color w:val="1F497D"/>
          <w:sz w:val="20"/>
          <w:szCs w:val="20"/>
        </w:rPr>
        <w:t>2</w:t>
      </w:r>
      <w:r w:rsidR="004042AE" w:rsidRPr="00B40544">
        <w:rPr>
          <w:rFonts w:ascii="Lato" w:hAnsi="Lato"/>
          <w:color w:val="1F497D"/>
          <w:sz w:val="20"/>
          <w:szCs w:val="20"/>
        </w:rPr>
        <w:fldChar w:fldCharType="end"/>
      </w:r>
      <w:r w:rsidR="005430ED" w:rsidRPr="00B40544">
        <w:rPr>
          <w:rFonts w:ascii="Lato" w:hAnsi="Lato"/>
          <w:color w:val="1F497D"/>
          <w:sz w:val="20"/>
          <w:szCs w:val="20"/>
        </w:rPr>
        <w:noBreakHyphen/>
      </w:r>
      <w:r w:rsidR="004042AE" w:rsidRPr="00B40544">
        <w:rPr>
          <w:rFonts w:ascii="Lato" w:hAnsi="Lato"/>
          <w:color w:val="1F497D"/>
          <w:sz w:val="20"/>
          <w:szCs w:val="20"/>
        </w:rPr>
        <w:fldChar w:fldCharType="begin"/>
      </w:r>
      <w:r w:rsidR="005430ED" w:rsidRPr="00B40544">
        <w:rPr>
          <w:rFonts w:ascii="Lato" w:hAnsi="Lato"/>
          <w:color w:val="1F497D"/>
          <w:sz w:val="20"/>
          <w:szCs w:val="20"/>
        </w:rPr>
        <w:instrText xml:space="preserve"> SEQ Tabela \* ARABIC \s 1 </w:instrText>
      </w:r>
      <w:r w:rsidR="004042AE" w:rsidRPr="00B40544">
        <w:rPr>
          <w:rFonts w:ascii="Lato" w:hAnsi="Lato"/>
          <w:color w:val="1F497D"/>
          <w:sz w:val="20"/>
          <w:szCs w:val="20"/>
        </w:rPr>
        <w:fldChar w:fldCharType="separate"/>
      </w:r>
      <w:r w:rsidR="0040205B">
        <w:rPr>
          <w:rFonts w:ascii="Lato" w:hAnsi="Lato"/>
          <w:noProof/>
          <w:color w:val="1F497D"/>
          <w:sz w:val="20"/>
          <w:szCs w:val="20"/>
        </w:rPr>
        <w:t>17</w:t>
      </w:r>
      <w:r w:rsidR="004042AE" w:rsidRPr="00B40544">
        <w:rPr>
          <w:rFonts w:ascii="Lato" w:hAnsi="Lato"/>
          <w:color w:val="1F497D"/>
          <w:sz w:val="20"/>
          <w:szCs w:val="20"/>
        </w:rPr>
        <w:fldChar w:fldCharType="end"/>
      </w:r>
      <w:r w:rsidRPr="00B40544">
        <w:rPr>
          <w:rFonts w:ascii="Lato" w:hAnsi="Lato"/>
          <w:color w:val="1F497D"/>
          <w:sz w:val="20"/>
          <w:szCs w:val="20"/>
        </w:rPr>
        <w:t xml:space="preserve"> Roczna emisja dwutlenku węgla ze środków tran</w:t>
      </w:r>
      <w:r w:rsidR="00125260" w:rsidRPr="00B40544">
        <w:rPr>
          <w:rFonts w:ascii="Lato" w:hAnsi="Lato"/>
          <w:color w:val="1F497D"/>
          <w:sz w:val="20"/>
          <w:szCs w:val="20"/>
        </w:rPr>
        <w:t xml:space="preserve">sportu na terenie </w:t>
      </w:r>
      <w:r w:rsidR="00CC7710" w:rsidRPr="00B40544">
        <w:rPr>
          <w:rFonts w:ascii="Lato" w:hAnsi="Lato"/>
          <w:color w:val="1F497D"/>
          <w:sz w:val="20"/>
          <w:szCs w:val="20"/>
          <w:lang w:val="pl-PL"/>
        </w:rPr>
        <w:t xml:space="preserve">Gminy </w:t>
      </w:r>
      <w:r w:rsidR="00B40544" w:rsidRPr="00B40544">
        <w:rPr>
          <w:rFonts w:ascii="Lato" w:hAnsi="Lato"/>
          <w:color w:val="1F497D"/>
          <w:sz w:val="20"/>
          <w:szCs w:val="20"/>
          <w:lang w:val="pl-PL"/>
        </w:rPr>
        <w:t>Pabianice</w:t>
      </w:r>
      <w:r w:rsidR="00125260" w:rsidRPr="00B40544">
        <w:rPr>
          <w:rFonts w:ascii="Lato" w:hAnsi="Lato"/>
          <w:color w:val="1F497D"/>
          <w:sz w:val="20"/>
          <w:szCs w:val="20"/>
        </w:rPr>
        <w:t xml:space="preserve">, </w:t>
      </w:r>
      <w:r w:rsidRPr="00B40544">
        <w:rPr>
          <w:rFonts w:ascii="Lato" w:hAnsi="Lato"/>
          <w:color w:val="1F497D"/>
          <w:sz w:val="20"/>
          <w:szCs w:val="20"/>
        </w:rPr>
        <w:t>kg/rok</w:t>
      </w:r>
      <w:bookmarkEnd w:id="223"/>
      <w:bookmarkEnd w:id="224"/>
      <w:bookmarkEnd w:id="225"/>
      <w:bookmarkEnd w:id="226"/>
      <w:bookmarkEnd w:id="227"/>
      <w:bookmarkEnd w:id="228"/>
    </w:p>
    <w:tbl>
      <w:tblPr>
        <w:tblW w:w="0" w:type="auto"/>
        <w:tblInd w:w="65" w:type="dxa"/>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CellMar>
          <w:left w:w="70" w:type="dxa"/>
          <w:right w:w="70" w:type="dxa"/>
        </w:tblCellMar>
        <w:tblLook w:val="04A0" w:firstRow="1" w:lastRow="0" w:firstColumn="1" w:lastColumn="0" w:noHBand="0" w:noVBand="1"/>
      </w:tblPr>
      <w:tblGrid>
        <w:gridCol w:w="1042"/>
        <w:gridCol w:w="957"/>
        <w:gridCol w:w="1109"/>
        <w:gridCol w:w="1304"/>
        <w:gridCol w:w="946"/>
        <w:gridCol w:w="1615"/>
        <w:gridCol w:w="1295"/>
        <w:gridCol w:w="1220"/>
      </w:tblGrid>
      <w:tr w:rsidR="00BD1055" w:rsidRPr="00A876D2" w:rsidTr="0036328A">
        <w:trPr>
          <w:cantSplit/>
          <w:trHeight w:val="790"/>
        </w:trPr>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Rodzaj drogi</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Rodzaj pojazdu</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Natężenie ruchu [poj/rok]</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Śr. ilość spalanego paliwa [l/100km]</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Dł. odcinka drogi  [km]</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Śr. ilość spalonego paliwa na danym odcinku drogi  [l]</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Śr. wskaźnik emisji  [kgCO</w:t>
            </w:r>
            <w:r w:rsidRPr="00A876D2">
              <w:rPr>
                <w:rFonts w:ascii="Tahoma" w:hAnsi="Tahoma" w:cs="Tahoma"/>
                <w:color w:val="1F497D" w:themeColor="text2"/>
                <w:sz w:val="16"/>
                <w:szCs w:val="16"/>
                <w:vertAlign w:val="subscript"/>
              </w:rPr>
              <w:t>2</w:t>
            </w:r>
            <w:r w:rsidRPr="00A876D2">
              <w:rPr>
                <w:rFonts w:ascii="Tahoma" w:hAnsi="Tahoma" w:cs="Tahoma"/>
                <w:color w:val="1F497D" w:themeColor="text2"/>
                <w:sz w:val="16"/>
                <w:szCs w:val="16"/>
              </w:rPr>
              <w:t>/m</w:t>
            </w:r>
            <w:r w:rsidRPr="00A876D2">
              <w:rPr>
                <w:rFonts w:ascii="Tahoma" w:hAnsi="Tahoma" w:cs="Tahoma"/>
                <w:color w:val="1F497D" w:themeColor="text2"/>
                <w:sz w:val="16"/>
                <w:szCs w:val="16"/>
                <w:vertAlign w:val="superscript"/>
              </w:rPr>
              <w:t>3</w:t>
            </w:r>
            <w:r w:rsidRPr="00A876D2">
              <w:rPr>
                <w:rFonts w:ascii="Tahoma" w:hAnsi="Tahoma" w:cs="Tahoma"/>
                <w:color w:val="1F497D" w:themeColor="text2"/>
                <w:sz w:val="16"/>
                <w:szCs w:val="16"/>
              </w:rPr>
              <w:t>]</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vAlign w:val="center"/>
            <w:hideMark/>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Roczna emisja CO</w:t>
            </w:r>
            <w:r w:rsidRPr="00A876D2">
              <w:rPr>
                <w:rFonts w:ascii="Tahoma" w:hAnsi="Tahoma" w:cs="Tahoma"/>
                <w:color w:val="1F497D" w:themeColor="text2"/>
                <w:sz w:val="16"/>
                <w:szCs w:val="16"/>
                <w:vertAlign w:val="subscript"/>
              </w:rPr>
              <w:t>2</w:t>
            </w:r>
            <w:r w:rsidRPr="00A876D2">
              <w:rPr>
                <w:rFonts w:ascii="Tahoma" w:hAnsi="Tahoma" w:cs="Tahoma"/>
                <w:color w:val="1F497D" w:themeColor="text2"/>
                <w:sz w:val="16"/>
                <w:szCs w:val="16"/>
              </w:rPr>
              <w:t xml:space="preserve"> [kg/rok]</w:t>
            </w:r>
          </w:p>
        </w:tc>
      </w:tr>
      <w:tr w:rsidR="00BD1055" w:rsidRPr="00A876D2" w:rsidTr="0036328A">
        <w:trPr>
          <w:cantSplit/>
        </w:trPr>
        <w:tc>
          <w:tcPr>
            <w:tcW w:w="0" w:type="auto"/>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krajowe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osobowe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4451953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6,5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1,6</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2305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16344181</w:t>
            </w:r>
          </w:p>
        </w:tc>
      </w:tr>
      <w:tr w:rsidR="00BD1055" w:rsidRPr="00A876D2" w:rsidTr="0036328A">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dostawcze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202786</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9,0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1182525</w:t>
            </w:r>
          </w:p>
        </w:tc>
      </w:tr>
      <w:tr w:rsidR="00BD1055" w:rsidRPr="00A876D2" w:rsidTr="0036328A">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ciężarowe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232666</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30,0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7,4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4522566</w:t>
            </w:r>
          </w:p>
        </w:tc>
      </w:tr>
      <w:tr w:rsidR="00BD1055" w:rsidRPr="00A876D2" w:rsidTr="0036328A">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autobusy</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31047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25,0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6,1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502917</w:t>
            </w:r>
          </w:p>
        </w:tc>
      </w:tr>
      <w:tr w:rsidR="00BD1055" w:rsidRPr="00A876D2" w:rsidTr="0036328A">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motocykle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26612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0,8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2302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95B3D7" w:themeFill="accent1" w:themeFillTint="99"/>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49540</w:t>
            </w:r>
          </w:p>
        </w:tc>
      </w:tr>
      <w:tr w:rsidR="00BD1055" w:rsidRPr="00A876D2" w:rsidTr="0036328A">
        <w:trPr>
          <w:cantSplit/>
        </w:trPr>
        <w:tc>
          <w:tcPr>
            <w:tcW w:w="0" w:type="auto"/>
            <w:vMerge w:val="restart"/>
            <w:tcBorders>
              <w:top w:val="single" w:sz="2" w:space="0" w:color="4F81BD" w:themeColor="accent1"/>
              <w:left w:val="single" w:sz="2" w:space="0" w:color="4F81BD" w:themeColor="accent1"/>
              <w:right w:val="single" w:sz="2" w:space="0" w:color="4F81BD" w:themeColor="accent1"/>
            </w:tcBorders>
            <w:shd w:val="clear" w:color="auto" w:fill="B8CCE4" w:themeFill="accent1" w:themeFillTint="66"/>
            <w:noWrap/>
            <w:vAlign w:val="center"/>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wojewódzkie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osobowe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2944538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6,5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0,2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2305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1544300</w:t>
            </w:r>
          </w:p>
        </w:tc>
      </w:tr>
      <w:tr w:rsidR="00BD1055" w:rsidRPr="00A876D2" w:rsidTr="0036328A">
        <w:trPr>
          <w:cantSplit/>
        </w:trPr>
        <w:tc>
          <w:tcPr>
            <w:tcW w:w="0" w:type="auto"/>
            <w:vMerge/>
            <w:tcBorders>
              <w:left w:val="single" w:sz="2" w:space="0" w:color="4F81BD" w:themeColor="accent1"/>
              <w:right w:val="single" w:sz="2" w:space="0" w:color="4F81BD" w:themeColor="accent1"/>
            </w:tcBorders>
            <w:shd w:val="clear" w:color="auto" w:fill="B8CCE4" w:themeFill="accent1" w:themeFillTint="66"/>
            <w:noWrap/>
            <w:vAlign w:val="center"/>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center"/>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dostawcze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287677</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9,0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0,3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239652</w:t>
            </w:r>
          </w:p>
        </w:tc>
      </w:tr>
      <w:tr w:rsidR="00BD1055" w:rsidRPr="00A876D2" w:rsidTr="0036328A">
        <w:trPr>
          <w:cantSplit/>
        </w:trPr>
        <w:tc>
          <w:tcPr>
            <w:tcW w:w="0" w:type="auto"/>
            <w:vMerge/>
            <w:tcBorders>
              <w:left w:val="single" w:sz="2" w:space="0" w:color="4F81BD" w:themeColor="accent1"/>
              <w:right w:val="single" w:sz="2" w:space="0" w:color="4F81BD" w:themeColor="accent1"/>
            </w:tcBorders>
            <w:shd w:val="clear" w:color="auto" w:fill="B8CCE4" w:themeFill="accent1" w:themeFillTint="66"/>
            <w:noWrap/>
            <w:vAlign w:val="center"/>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ciężarowe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610704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30,0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1695839</w:t>
            </w:r>
          </w:p>
        </w:tc>
      </w:tr>
      <w:tr w:rsidR="00BD1055" w:rsidRPr="00A876D2" w:rsidTr="0036328A">
        <w:trPr>
          <w:cantSplit/>
        </w:trPr>
        <w:tc>
          <w:tcPr>
            <w:tcW w:w="0" w:type="auto"/>
            <w:vMerge/>
            <w:tcBorders>
              <w:left w:val="single" w:sz="2" w:space="0" w:color="4F81BD" w:themeColor="accent1"/>
              <w:right w:val="single" w:sz="2" w:space="0" w:color="4F81BD" w:themeColor="accent1"/>
            </w:tcBorders>
            <w:shd w:val="clear" w:color="auto" w:fill="B8CCE4" w:themeFill="accent1" w:themeFillTint="66"/>
            <w:noWrap/>
            <w:vAlign w:val="center"/>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center"/>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autobusy</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19855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25,0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0,9</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FFFFF" w:themeFill="background1"/>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45944</w:t>
            </w:r>
          </w:p>
        </w:tc>
      </w:tr>
      <w:tr w:rsidR="00BD1055" w:rsidRPr="00A876D2" w:rsidTr="0036328A">
        <w:trPr>
          <w:cantSplit/>
        </w:trPr>
        <w:tc>
          <w:tcPr>
            <w:tcW w:w="0" w:type="auto"/>
            <w:vMerge/>
            <w:tcBorders>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center"/>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motocykle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12435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0,1</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2302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B8CCE4" w:themeFill="accent1" w:themeFillTint="66"/>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3507</w:t>
            </w:r>
          </w:p>
        </w:tc>
      </w:tr>
      <w:tr w:rsidR="00BD1055" w:rsidRPr="00A876D2" w:rsidTr="0036328A">
        <w:trPr>
          <w:cantSplit/>
        </w:trPr>
        <w:tc>
          <w:tcPr>
            <w:tcW w:w="0" w:type="auto"/>
            <w:vMerge w:val="restart"/>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powiatowe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osobowe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490756</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7,0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34,0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2305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2692626</w:t>
            </w:r>
          </w:p>
        </w:tc>
      </w:tr>
      <w:tr w:rsidR="00BD1055" w:rsidRPr="00A876D2" w:rsidTr="0036328A">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dostawcze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47946</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10,0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34,0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3,40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431120</w:t>
            </w:r>
          </w:p>
        </w:tc>
      </w:tr>
      <w:tr w:rsidR="00BD1055" w:rsidRPr="00A876D2" w:rsidTr="0036328A">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ciężarowe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101784</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32,0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34,0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10,9</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2928688</w:t>
            </w:r>
          </w:p>
        </w:tc>
      </w:tr>
      <w:tr w:rsidR="00BD1055" w:rsidRPr="00A876D2" w:rsidTr="0036328A">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autobusy</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3309</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35,0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34,0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11,9</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104141</w:t>
            </w:r>
          </w:p>
        </w:tc>
      </w:tr>
      <w:tr w:rsidR="00BD1055" w:rsidRPr="00A876D2" w:rsidTr="0036328A">
        <w:trPr>
          <w:cantSplit/>
        </w:trPr>
        <w:tc>
          <w:tcPr>
            <w:tcW w:w="0" w:type="auto"/>
            <w:vMerge/>
            <w:tcBorders>
              <w:top w:val="single" w:sz="2" w:space="0" w:color="4F81BD" w:themeColor="accent1"/>
              <w:left w:val="single" w:sz="2" w:space="0" w:color="4F81BD" w:themeColor="accent1"/>
              <w:bottom w:val="single" w:sz="2" w:space="0" w:color="4F81BD" w:themeColor="accent1"/>
              <w:right w:val="single" w:sz="2" w:space="0" w:color="4F81BD" w:themeColor="accent1"/>
            </w:tcBorders>
            <w:vAlign w:val="center"/>
            <w:hideMark/>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motocykle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2073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34,0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2302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BE5F1" w:themeFill="accent1" w:themeFillTint="33"/>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6165</w:t>
            </w:r>
          </w:p>
        </w:tc>
      </w:tr>
      <w:tr w:rsidR="00BD1055" w:rsidRPr="00A876D2" w:rsidTr="0036328A">
        <w:trPr>
          <w:cantSplit/>
        </w:trPr>
        <w:tc>
          <w:tcPr>
            <w:tcW w:w="0" w:type="auto"/>
            <w:vMerge w:val="restart"/>
            <w:tcBorders>
              <w:top w:val="single" w:sz="2" w:space="0" w:color="4F81BD" w:themeColor="accent1"/>
              <w:left w:val="single" w:sz="2" w:space="0" w:color="4F81BD" w:themeColor="accent1"/>
              <w:right w:val="single" w:sz="2" w:space="0" w:color="4F81BD" w:themeColor="accent1"/>
            </w:tcBorders>
            <w:shd w:val="clear" w:color="auto" w:fill="F2F2F2" w:themeFill="background1" w:themeFillShade="F2"/>
            <w:noWrap/>
            <w:vAlign w:val="center"/>
            <w:hideMark/>
          </w:tcPr>
          <w:p w:rsidR="00BD1055" w:rsidRPr="00A876D2" w:rsidRDefault="00BD1055" w:rsidP="00BD1055">
            <w:pPr>
              <w:spacing w:before="40" w:after="40" w:line="240" w:lineRule="auto"/>
              <w:ind w:firstLine="0"/>
              <w:jc w:val="center"/>
              <w:rPr>
                <w:rFonts w:ascii="Tahoma" w:hAnsi="Tahoma" w:cs="Tahoma"/>
                <w:color w:val="1F497D" w:themeColor="text2"/>
                <w:sz w:val="16"/>
                <w:szCs w:val="16"/>
              </w:rPr>
            </w:pPr>
            <w:r w:rsidRPr="00A876D2">
              <w:rPr>
                <w:rFonts w:ascii="Tahoma" w:hAnsi="Tahoma" w:cs="Tahoma"/>
                <w:color w:val="1F497D" w:themeColor="text2"/>
                <w:sz w:val="16"/>
                <w:szCs w:val="16"/>
              </w:rPr>
              <w:t>gminne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osobowe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245378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7,5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69,0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5,2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2305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2927382</w:t>
            </w:r>
          </w:p>
        </w:tc>
      </w:tr>
      <w:tr w:rsidR="00BD1055" w:rsidRPr="00A876D2" w:rsidTr="0036328A">
        <w:trPr>
          <w:cantSplit/>
        </w:trPr>
        <w:tc>
          <w:tcPr>
            <w:tcW w:w="0" w:type="auto"/>
            <w:vMerge/>
            <w:tcBorders>
              <w:left w:val="single" w:sz="2" w:space="0" w:color="4F81BD" w:themeColor="accent1"/>
              <w:right w:val="single" w:sz="2" w:space="0" w:color="4F81BD" w:themeColor="accent1"/>
            </w:tcBorders>
            <w:shd w:val="clear" w:color="auto" w:fill="F2F2F2" w:themeFill="background1" w:themeFillShade="F2"/>
            <w:vAlign w:val="center"/>
            <w:hideMark/>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dostawcze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23973</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11,0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69,0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7,6</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481206</w:t>
            </w:r>
          </w:p>
        </w:tc>
      </w:tr>
      <w:tr w:rsidR="00BD1055" w:rsidRPr="00A876D2" w:rsidTr="0036328A">
        <w:trPr>
          <w:cantSplit/>
        </w:trPr>
        <w:tc>
          <w:tcPr>
            <w:tcW w:w="0" w:type="auto"/>
            <w:vMerge/>
            <w:tcBorders>
              <w:left w:val="single" w:sz="2" w:space="0" w:color="4F81BD" w:themeColor="accent1"/>
              <w:right w:val="single" w:sz="2" w:space="0" w:color="4F81BD" w:themeColor="accent1"/>
            </w:tcBorders>
            <w:shd w:val="clear" w:color="auto" w:fill="F2F2F2" w:themeFill="background1" w:themeFillShade="F2"/>
            <w:vAlign w:val="center"/>
            <w:hideMark/>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ciężarowe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50892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35,0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69,0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24,2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3250359</w:t>
            </w:r>
          </w:p>
        </w:tc>
      </w:tr>
      <w:tr w:rsidR="00BD1055" w:rsidRPr="00A876D2" w:rsidTr="0036328A">
        <w:trPr>
          <w:cantSplit/>
        </w:trPr>
        <w:tc>
          <w:tcPr>
            <w:tcW w:w="0" w:type="auto"/>
            <w:vMerge/>
            <w:tcBorders>
              <w:left w:val="single" w:sz="2" w:space="0" w:color="4F81BD" w:themeColor="accent1"/>
              <w:right w:val="single" w:sz="2" w:space="0" w:color="4F81BD" w:themeColor="accent1"/>
            </w:tcBorders>
            <w:shd w:val="clear" w:color="auto" w:fill="F2F2F2" w:themeFill="background1" w:themeFillShade="F2"/>
            <w:vAlign w:val="center"/>
            <w:hideMark/>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center"/>
            <w:hideMark/>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autobusy</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1678</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40,0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69,0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27,6</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2645</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noWrap/>
            <w:vAlign w:val="bottom"/>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122466</w:t>
            </w:r>
          </w:p>
        </w:tc>
      </w:tr>
      <w:tr w:rsidR="00BD1055" w:rsidRPr="00A876D2" w:rsidTr="0036328A">
        <w:trPr>
          <w:cantSplit/>
        </w:trPr>
        <w:tc>
          <w:tcPr>
            <w:tcW w:w="0" w:type="auto"/>
            <w:vMerge/>
            <w:tcBorders>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vAlign w:val="center"/>
          </w:tcPr>
          <w:p w:rsidR="00BD1055" w:rsidRPr="00A876D2" w:rsidRDefault="00BD1055" w:rsidP="00BD1055">
            <w:pPr>
              <w:spacing w:line="240" w:lineRule="auto"/>
              <w:ind w:firstLine="0"/>
              <w:rPr>
                <w:rFonts w:ascii="Tahoma" w:hAnsi="Tahoma" w:cs="Tahoma"/>
                <w:color w:val="1F497D" w:themeColor="text2"/>
                <w:sz w:val="16"/>
                <w:szCs w:val="16"/>
              </w:rPr>
            </w:pP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center"/>
          </w:tcPr>
          <w:p w:rsidR="00BD1055" w:rsidRPr="00A876D2" w:rsidRDefault="00BD1055" w:rsidP="00BD1055">
            <w:pPr>
              <w:spacing w:before="40" w:after="40" w:line="240" w:lineRule="auto"/>
              <w:ind w:firstLine="0"/>
              <w:rPr>
                <w:rFonts w:ascii="Tahoma" w:hAnsi="Tahoma" w:cs="Tahoma"/>
                <w:color w:val="1F497D" w:themeColor="text2"/>
                <w:sz w:val="16"/>
                <w:szCs w:val="16"/>
              </w:rPr>
            </w:pPr>
            <w:r w:rsidRPr="00A876D2">
              <w:rPr>
                <w:rFonts w:ascii="Tahoma" w:hAnsi="Tahoma" w:cs="Tahoma"/>
                <w:color w:val="1F497D" w:themeColor="text2"/>
                <w:sz w:val="16"/>
                <w:szCs w:val="16"/>
              </w:rPr>
              <w:t>motocykle</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1036</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4,2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69,0</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2,9</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2302</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F2F2F2" w:themeFill="background1" w:themeFillShade="F2"/>
            <w:noWrap/>
            <w:vAlign w:val="bottom"/>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6915</w:t>
            </w:r>
          </w:p>
        </w:tc>
      </w:tr>
      <w:tr w:rsidR="00BD1055" w:rsidRPr="0070202D" w:rsidTr="0036328A">
        <w:trPr>
          <w:cantSplit/>
        </w:trPr>
        <w:tc>
          <w:tcPr>
            <w:tcW w:w="0" w:type="auto"/>
            <w:gridSpan w:val="7"/>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A876D2" w:rsidRDefault="00BD1055" w:rsidP="00BD1055">
            <w:pPr>
              <w:spacing w:before="40" w:after="40" w:line="240" w:lineRule="auto"/>
              <w:ind w:firstLine="0"/>
              <w:jc w:val="right"/>
              <w:rPr>
                <w:rFonts w:ascii="Tahoma" w:hAnsi="Tahoma" w:cs="Tahoma"/>
                <w:bCs/>
                <w:color w:val="1F497D" w:themeColor="text2"/>
                <w:sz w:val="16"/>
                <w:szCs w:val="16"/>
              </w:rPr>
            </w:pPr>
            <w:r w:rsidRPr="00A876D2">
              <w:rPr>
                <w:rFonts w:ascii="Tahoma" w:hAnsi="Tahoma" w:cs="Tahoma"/>
                <w:bCs/>
                <w:color w:val="1F497D" w:themeColor="text2"/>
                <w:sz w:val="16"/>
                <w:szCs w:val="16"/>
              </w:rPr>
              <w:t>RAZEM</w:t>
            </w:r>
          </w:p>
        </w:tc>
        <w:tc>
          <w:tcPr>
            <w:tcW w:w="0" w:type="auto"/>
            <w:tcBorders>
              <w:top w:val="single" w:sz="2" w:space="0" w:color="4F81BD" w:themeColor="accent1"/>
              <w:left w:val="single" w:sz="2" w:space="0" w:color="4F81BD" w:themeColor="accent1"/>
              <w:bottom w:val="single" w:sz="2" w:space="0" w:color="4F81BD" w:themeColor="accent1"/>
              <w:right w:val="single" w:sz="2" w:space="0" w:color="4F81BD" w:themeColor="accent1"/>
            </w:tcBorders>
            <w:shd w:val="clear" w:color="auto" w:fill="D9D9D9" w:themeFill="background1" w:themeFillShade="D9"/>
            <w:noWrap/>
            <w:vAlign w:val="center"/>
            <w:hideMark/>
          </w:tcPr>
          <w:p w:rsidR="00BD1055" w:rsidRPr="00BD1055" w:rsidRDefault="00BD1055" w:rsidP="00BD1055">
            <w:pPr>
              <w:spacing w:before="40" w:after="40" w:line="240" w:lineRule="auto"/>
              <w:ind w:firstLine="0"/>
              <w:jc w:val="center"/>
              <w:rPr>
                <w:rFonts w:ascii="Tahoma" w:hAnsi="Tahoma" w:cs="Tahoma"/>
                <w:color w:val="1F497D" w:themeColor="text2"/>
                <w:sz w:val="16"/>
                <w:szCs w:val="16"/>
              </w:rPr>
            </w:pPr>
            <w:r w:rsidRPr="00BD1055">
              <w:rPr>
                <w:rFonts w:ascii="Tahoma" w:hAnsi="Tahoma" w:cs="Tahoma"/>
                <w:color w:val="1F497D" w:themeColor="text2"/>
                <w:sz w:val="16"/>
                <w:szCs w:val="16"/>
              </w:rPr>
              <w:t>39 082 039</w:t>
            </w:r>
          </w:p>
        </w:tc>
      </w:tr>
    </w:tbl>
    <w:p w:rsidR="00D8648F" w:rsidRPr="00B40544" w:rsidRDefault="00142501" w:rsidP="002A4A04">
      <w:pPr>
        <w:ind w:firstLine="0"/>
        <w:jc w:val="center"/>
        <w:rPr>
          <w:rFonts w:ascii="Lato" w:hAnsi="Lato"/>
          <w:bCs/>
          <w:i/>
          <w:spacing w:val="-2"/>
          <w:sz w:val="20"/>
          <w:szCs w:val="20"/>
        </w:rPr>
      </w:pPr>
      <w:r w:rsidRPr="00B40544">
        <w:rPr>
          <w:rFonts w:ascii="Lato" w:hAnsi="Lato"/>
          <w:bCs/>
          <w:i/>
          <w:spacing w:val="-2"/>
          <w:sz w:val="20"/>
          <w:szCs w:val="20"/>
        </w:rPr>
        <w:t xml:space="preserve">Źródło: </w:t>
      </w:r>
      <w:r w:rsidR="00BD0E60">
        <w:rPr>
          <w:rFonts w:ascii="Lato" w:hAnsi="Lato"/>
          <w:bCs/>
          <w:i/>
          <w:spacing w:val="-2"/>
          <w:sz w:val="20"/>
          <w:szCs w:val="20"/>
        </w:rPr>
        <w:t>A</w:t>
      </w:r>
      <w:r w:rsidRPr="00B40544">
        <w:rPr>
          <w:rFonts w:ascii="Lato" w:hAnsi="Lato"/>
          <w:bCs/>
          <w:i/>
          <w:spacing w:val="-2"/>
          <w:sz w:val="20"/>
          <w:szCs w:val="20"/>
        </w:rPr>
        <w:t>nalizy własne</w:t>
      </w:r>
    </w:p>
    <w:p w:rsidR="00D8648F" w:rsidRPr="00D352C4" w:rsidRDefault="00D8648F" w:rsidP="00D8648F">
      <w:pPr>
        <w:spacing w:before="40" w:after="40" w:line="240" w:lineRule="auto"/>
        <w:jc w:val="both"/>
        <w:rPr>
          <w:rFonts w:ascii="Lato" w:hAnsi="Lato"/>
          <w:highlight w:val="yellow"/>
        </w:rPr>
      </w:pPr>
    </w:p>
    <w:bookmarkEnd w:id="222"/>
    <w:p w:rsidR="00D8648F" w:rsidRPr="00B40544" w:rsidRDefault="00D8648F" w:rsidP="00F75645">
      <w:pPr>
        <w:widowControl w:val="0"/>
        <w:ind w:firstLine="709"/>
        <w:jc w:val="both"/>
        <w:rPr>
          <w:rFonts w:ascii="Lato" w:hAnsi="Lato"/>
        </w:rPr>
      </w:pPr>
      <w:r w:rsidRPr="00B40544">
        <w:rPr>
          <w:rFonts w:ascii="Lato" w:hAnsi="Lato"/>
        </w:rPr>
        <w:t>W dalszej części opracowania, wyznaczono dla poszczególnych źródeł emisje takich substancji szkodliwych jak: SO</w:t>
      </w:r>
      <w:r w:rsidRPr="00B40544">
        <w:rPr>
          <w:rFonts w:ascii="Lato" w:hAnsi="Lato"/>
          <w:vertAlign w:val="subscript"/>
        </w:rPr>
        <w:t>2</w:t>
      </w:r>
      <w:r w:rsidRPr="00B40544">
        <w:rPr>
          <w:rFonts w:ascii="Lato" w:hAnsi="Lato"/>
        </w:rPr>
        <w:t>, NO</w:t>
      </w:r>
      <w:r w:rsidRPr="00B40544">
        <w:rPr>
          <w:rFonts w:ascii="Lato" w:hAnsi="Lato"/>
          <w:vertAlign w:val="subscript"/>
        </w:rPr>
        <w:t>2</w:t>
      </w:r>
      <w:r w:rsidRPr="00B40544">
        <w:rPr>
          <w:rFonts w:ascii="Lato" w:hAnsi="Lato"/>
        </w:rPr>
        <w:t>, CO, pył, B(</w:t>
      </w:r>
      <w:r w:rsidRPr="00B40544">
        <w:rPr>
          <w:rFonts w:cs="Arial"/>
        </w:rPr>
        <w:t>α</w:t>
      </w:r>
      <w:r w:rsidRPr="00B40544">
        <w:rPr>
          <w:rFonts w:ascii="Lato" w:hAnsi="Lato"/>
        </w:rPr>
        <w:t>)P oraz CO</w:t>
      </w:r>
      <w:r w:rsidRPr="00B40544">
        <w:rPr>
          <w:rFonts w:ascii="Lato" w:hAnsi="Lato"/>
          <w:vertAlign w:val="subscript"/>
        </w:rPr>
        <w:t>2</w:t>
      </w:r>
      <w:r w:rsidRPr="00B40544">
        <w:rPr>
          <w:rFonts w:ascii="Lato" w:hAnsi="Lato"/>
        </w:rPr>
        <w:t xml:space="preserve"> wyrażoną w kg danej substancji na rok.</w:t>
      </w:r>
    </w:p>
    <w:p w:rsidR="00D8648F" w:rsidRPr="00B40544" w:rsidRDefault="00D8648F" w:rsidP="00F75645">
      <w:pPr>
        <w:widowControl w:val="0"/>
        <w:ind w:firstLine="709"/>
        <w:jc w:val="both"/>
        <w:rPr>
          <w:rFonts w:ascii="Lato" w:hAnsi="Lato"/>
        </w:rPr>
      </w:pPr>
      <w:r w:rsidRPr="00B40544">
        <w:rPr>
          <w:rFonts w:ascii="Lato" w:hAnsi="Lato"/>
        </w:rPr>
        <w:t>Wyznaczono także emisję równoważną, czyli zastę</w:t>
      </w:r>
      <w:r w:rsidR="00D03562">
        <w:rPr>
          <w:rFonts w:ascii="Lato" w:hAnsi="Lato"/>
        </w:rPr>
        <w:t>pczą. Emisja równoważna jest to </w:t>
      </w:r>
      <w:r w:rsidRPr="00B40544">
        <w:rPr>
          <w:rFonts w:ascii="Lato" w:hAnsi="Lato"/>
        </w:rPr>
        <w:t>wielkość ogólna emisji zanieczyszczeń pochodzących z określonego (ocenianego) źródła zanieczyszczeń, przeliczona na emisję dwutlenku siarki. Oblicza się ją poprzez sumowanie rzeczywistych emisji poszczególnych rodzajów zanieczyszczeń, emitowanych z danego źródła emisji i pomnożonych przez ich współczynniki toksyczności zgodnie ze wzorem:</w:t>
      </w:r>
    </w:p>
    <w:p w:rsidR="00D8648F" w:rsidRPr="00B40544" w:rsidRDefault="00D8648F" w:rsidP="00D8648F">
      <w:pPr>
        <w:widowControl w:val="0"/>
        <w:ind w:firstLine="624"/>
        <w:jc w:val="both"/>
        <w:rPr>
          <w:rFonts w:ascii="Lato" w:hAnsi="Lato"/>
        </w:rPr>
      </w:pPr>
      <w:r w:rsidRPr="00B40544">
        <w:rPr>
          <w:rFonts w:ascii="Lato" w:hAnsi="Lato"/>
        </w:rPr>
        <w:object w:dxaOrig="2085" w:dyaOrig="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47.25pt" o:ole="" fillcolor="window">
            <v:imagedata r:id="rId45" o:title=""/>
          </v:shape>
          <o:OLEObject Type="Embed" ProgID="Equation.3" ShapeID="_x0000_i1025" DrawAspect="Content" ObjectID="_1632203323" r:id="rId46"/>
        </w:object>
      </w:r>
    </w:p>
    <w:p w:rsidR="00D8648F" w:rsidRPr="00B40544" w:rsidRDefault="00D8648F" w:rsidP="00D8648F">
      <w:pPr>
        <w:widowControl w:val="0"/>
        <w:spacing w:after="80"/>
        <w:jc w:val="both"/>
        <w:rPr>
          <w:rFonts w:ascii="Lato" w:hAnsi="Lato"/>
        </w:rPr>
      </w:pPr>
      <w:r w:rsidRPr="00B40544">
        <w:rPr>
          <w:rFonts w:ascii="Lato" w:hAnsi="Lato"/>
        </w:rPr>
        <w:t>gdzie:</w:t>
      </w:r>
    </w:p>
    <w:p w:rsidR="00D8648F" w:rsidRPr="00B40544" w:rsidRDefault="00D8648F" w:rsidP="00D8648F">
      <w:pPr>
        <w:widowControl w:val="0"/>
        <w:spacing w:after="80"/>
        <w:ind w:left="426"/>
        <w:jc w:val="both"/>
        <w:rPr>
          <w:rFonts w:ascii="Lato" w:hAnsi="Lato"/>
          <w:sz w:val="20"/>
        </w:rPr>
      </w:pPr>
      <w:r w:rsidRPr="00B40544">
        <w:rPr>
          <w:rFonts w:ascii="Lato" w:hAnsi="Lato"/>
          <w:sz w:val="20"/>
        </w:rPr>
        <w:t>E</w:t>
      </w:r>
      <w:r w:rsidRPr="00B40544">
        <w:rPr>
          <w:rFonts w:ascii="Lato" w:hAnsi="Lato"/>
          <w:sz w:val="20"/>
          <w:vertAlign w:val="subscript"/>
        </w:rPr>
        <w:t>r</w:t>
      </w:r>
      <w:r w:rsidRPr="00B40544">
        <w:rPr>
          <w:rFonts w:ascii="Lato" w:hAnsi="Lato"/>
          <w:sz w:val="20"/>
        </w:rPr>
        <w:t xml:space="preserve"> - emisja równoważna źródeł emisji,</w:t>
      </w:r>
    </w:p>
    <w:p w:rsidR="00D8648F" w:rsidRPr="00B40544" w:rsidRDefault="00D8648F" w:rsidP="00D8648F">
      <w:pPr>
        <w:widowControl w:val="0"/>
        <w:spacing w:after="80"/>
        <w:ind w:left="426"/>
        <w:jc w:val="both"/>
        <w:rPr>
          <w:rFonts w:ascii="Lato" w:hAnsi="Lato"/>
          <w:sz w:val="20"/>
        </w:rPr>
      </w:pPr>
      <w:r w:rsidRPr="00B40544">
        <w:rPr>
          <w:rFonts w:ascii="Lato" w:hAnsi="Lato"/>
          <w:sz w:val="20"/>
        </w:rPr>
        <w:t>t - liczba różnych zanieczyszczeń emitowanych ze źródła emisji,</w:t>
      </w:r>
    </w:p>
    <w:p w:rsidR="00D8648F" w:rsidRPr="00B40544" w:rsidRDefault="00D8648F" w:rsidP="00D8648F">
      <w:pPr>
        <w:widowControl w:val="0"/>
        <w:spacing w:after="80"/>
        <w:ind w:left="426"/>
        <w:jc w:val="both"/>
        <w:rPr>
          <w:rFonts w:ascii="Lato" w:hAnsi="Lato"/>
          <w:sz w:val="20"/>
        </w:rPr>
      </w:pPr>
      <w:r w:rsidRPr="00B40544">
        <w:rPr>
          <w:rFonts w:ascii="Lato" w:hAnsi="Lato"/>
          <w:sz w:val="20"/>
        </w:rPr>
        <w:t>E</w:t>
      </w:r>
      <w:r w:rsidRPr="00B40544">
        <w:rPr>
          <w:rFonts w:ascii="Lato" w:hAnsi="Lato"/>
          <w:sz w:val="20"/>
          <w:vertAlign w:val="subscript"/>
        </w:rPr>
        <w:t>t</w:t>
      </w:r>
      <w:r w:rsidRPr="00B40544">
        <w:rPr>
          <w:rFonts w:ascii="Lato" w:hAnsi="Lato"/>
          <w:sz w:val="20"/>
        </w:rPr>
        <w:t xml:space="preserve"> - emisja rzeczywista zanieczyszczenia o indeksie t,</w:t>
      </w:r>
    </w:p>
    <w:p w:rsidR="00D8648F" w:rsidRPr="00B40544" w:rsidRDefault="00D8648F" w:rsidP="00D8648F">
      <w:pPr>
        <w:widowControl w:val="0"/>
        <w:ind w:left="426"/>
        <w:jc w:val="both"/>
        <w:rPr>
          <w:rFonts w:ascii="Lato" w:hAnsi="Lato"/>
          <w:sz w:val="20"/>
        </w:rPr>
      </w:pPr>
      <w:r w:rsidRPr="00B40544">
        <w:rPr>
          <w:rFonts w:ascii="Lato" w:hAnsi="Lato"/>
          <w:sz w:val="20"/>
        </w:rPr>
        <w:t>K</w:t>
      </w:r>
      <w:r w:rsidRPr="00B40544">
        <w:rPr>
          <w:rFonts w:ascii="Lato" w:hAnsi="Lato"/>
          <w:sz w:val="20"/>
          <w:vertAlign w:val="subscript"/>
        </w:rPr>
        <w:t>t</w:t>
      </w:r>
      <w:r w:rsidRPr="00B40544">
        <w:rPr>
          <w:rFonts w:ascii="Lato" w:hAnsi="Lato"/>
          <w:sz w:val="20"/>
        </w:rPr>
        <w:t xml:space="preserve"> - współczynnik toksyczności zanieczyszczenia o indeksie t, który to współczynnik wyraża stosunek dopuszczalnej średniorocznej wartości stęże</w:t>
      </w:r>
      <w:r w:rsidR="001F2BEA" w:rsidRPr="00B40544">
        <w:rPr>
          <w:rFonts w:ascii="Lato" w:hAnsi="Lato"/>
          <w:sz w:val="20"/>
        </w:rPr>
        <w:t>nia dwutlenku siarki e</w:t>
      </w:r>
      <w:r w:rsidR="001F2BEA" w:rsidRPr="00B40544">
        <w:rPr>
          <w:rFonts w:ascii="Lato" w:hAnsi="Lato"/>
          <w:sz w:val="20"/>
          <w:vertAlign w:val="subscript"/>
        </w:rPr>
        <w:t>SO2</w:t>
      </w:r>
      <w:r w:rsidRPr="00B40544">
        <w:rPr>
          <w:rFonts w:ascii="Lato" w:hAnsi="Lato"/>
          <w:sz w:val="20"/>
        </w:rPr>
        <w:t xml:space="preserve"> do dopuszczalnej średniorocznej wartości stę</w:t>
      </w:r>
      <w:r w:rsidR="001F2BEA" w:rsidRPr="00B40544">
        <w:rPr>
          <w:rFonts w:ascii="Lato" w:hAnsi="Lato"/>
          <w:sz w:val="20"/>
        </w:rPr>
        <w:t>żenia danego zanieczyszczenia e</w:t>
      </w:r>
      <w:r w:rsidR="001F2BEA" w:rsidRPr="00B40544">
        <w:rPr>
          <w:rFonts w:ascii="Lato" w:hAnsi="Lato"/>
          <w:sz w:val="20"/>
          <w:vertAlign w:val="subscript"/>
        </w:rPr>
        <w:t>t</w:t>
      </w:r>
      <w:r w:rsidRPr="00B40544">
        <w:rPr>
          <w:rFonts w:ascii="Lato" w:hAnsi="Lato"/>
          <w:sz w:val="20"/>
        </w:rPr>
        <w:t xml:space="preserve"> co można określić wzorem:</w:t>
      </w:r>
    </w:p>
    <w:p w:rsidR="00D8648F" w:rsidRPr="00B40544" w:rsidRDefault="00D8648F" w:rsidP="00D8648F">
      <w:pPr>
        <w:pStyle w:val="Stopka"/>
        <w:widowControl w:val="0"/>
        <w:tabs>
          <w:tab w:val="left" w:pos="708"/>
        </w:tabs>
        <w:ind w:firstLine="708"/>
        <w:jc w:val="both"/>
        <w:rPr>
          <w:rFonts w:ascii="Lato" w:hAnsi="Lato"/>
        </w:rPr>
      </w:pPr>
      <w:r w:rsidRPr="00B40544">
        <w:rPr>
          <w:rFonts w:ascii="Lato" w:hAnsi="Lato"/>
        </w:rPr>
        <w:object w:dxaOrig="1440" w:dyaOrig="1035">
          <v:shape id="_x0000_i1026" type="#_x0000_t75" style="width:1in;height:51.75pt" o:ole="" fillcolor="window">
            <v:imagedata r:id="rId47" o:title=""/>
          </v:shape>
          <o:OLEObject Type="Embed" ProgID="Equation.3" ShapeID="_x0000_i1026" DrawAspect="Content" ObjectID="_1632203324" r:id="rId48"/>
        </w:object>
      </w:r>
    </w:p>
    <w:p w:rsidR="00CF6629" w:rsidRPr="00B40544" w:rsidRDefault="00CF6629" w:rsidP="00D8648F">
      <w:pPr>
        <w:widowControl w:val="0"/>
        <w:ind w:firstLine="624"/>
        <w:jc w:val="both"/>
        <w:rPr>
          <w:rFonts w:ascii="Lato" w:hAnsi="Lato"/>
        </w:rPr>
      </w:pPr>
    </w:p>
    <w:p w:rsidR="00D8648F" w:rsidRPr="00B40544" w:rsidRDefault="00D8648F" w:rsidP="00F75645">
      <w:pPr>
        <w:widowControl w:val="0"/>
        <w:ind w:firstLine="709"/>
        <w:jc w:val="both"/>
        <w:rPr>
          <w:rFonts w:ascii="Lato" w:hAnsi="Lato"/>
        </w:rPr>
      </w:pPr>
      <w:r w:rsidRPr="00B40544">
        <w:rPr>
          <w:rFonts w:ascii="Lato" w:hAnsi="Lato"/>
        </w:rPr>
        <w:t xml:space="preserve">Współczynniki toksyczności zanieczyszczeń traktowane są jako stałe, gdyż są ilorazami wielkości </w:t>
      </w:r>
      <w:r w:rsidRPr="00B40544">
        <w:rPr>
          <w:rFonts w:ascii="Lato" w:hAnsi="Lato"/>
        </w:rPr>
        <w:lastRenderedPageBreak/>
        <w:t>określonych w Rozporządzeniu Ministra Środowiska z dnia 24 sierpnia 2012 r. w sprawie poziomów niektórych substancji w powietrzu (Dz. U. 2012 poz. 1031).</w:t>
      </w:r>
    </w:p>
    <w:p w:rsidR="00833196" w:rsidRPr="00B40544" w:rsidRDefault="00833196" w:rsidP="00D8648F">
      <w:pPr>
        <w:widowControl w:val="0"/>
        <w:ind w:firstLine="624"/>
        <w:jc w:val="both"/>
        <w:rPr>
          <w:rFonts w:ascii="Lato" w:hAnsi="Lato"/>
        </w:rPr>
      </w:pPr>
    </w:p>
    <w:p w:rsidR="00D8648F" w:rsidRPr="00B40544" w:rsidRDefault="00D8648F" w:rsidP="00833196">
      <w:pPr>
        <w:pStyle w:val="Legenda"/>
        <w:rPr>
          <w:rFonts w:ascii="Lato" w:hAnsi="Lato"/>
          <w:color w:val="1F497D"/>
          <w:sz w:val="20"/>
          <w:szCs w:val="20"/>
        </w:rPr>
      </w:pPr>
      <w:bookmarkStart w:id="229" w:name="_Toc421081823"/>
      <w:bookmarkStart w:id="230" w:name="_Toc20219184"/>
      <w:r w:rsidRPr="00B40544">
        <w:rPr>
          <w:rFonts w:ascii="Lato" w:hAnsi="Lato"/>
          <w:color w:val="1F497D"/>
          <w:sz w:val="20"/>
          <w:szCs w:val="20"/>
        </w:rPr>
        <w:t xml:space="preserve">Tabela </w:t>
      </w:r>
      <w:r w:rsidR="004042AE" w:rsidRPr="00B40544">
        <w:rPr>
          <w:rFonts w:ascii="Lato" w:hAnsi="Lato"/>
          <w:color w:val="1F497D"/>
          <w:sz w:val="20"/>
          <w:szCs w:val="20"/>
        </w:rPr>
        <w:fldChar w:fldCharType="begin"/>
      </w:r>
      <w:r w:rsidR="005430ED" w:rsidRPr="00B40544">
        <w:rPr>
          <w:rFonts w:ascii="Lato" w:hAnsi="Lato"/>
          <w:color w:val="1F497D"/>
          <w:sz w:val="20"/>
          <w:szCs w:val="20"/>
        </w:rPr>
        <w:instrText xml:space="preserve"> STYLEREF 1 \s </w:instrText>
      </w:r>
      <w:r w:rsidR="004042AE" w:rsidRPr="00B40544">
        <w:rPr>
          <w:rFonts w:ascii="Lato" w:hAnsi="Lato"/>
          <w:color w:val="1F497D"/>
          <w:sz w:val="20"/>
          <w:szCs w:val="20"/>
        </w:rPr>
        <w:fldChar w:fldCharType="separate"/>
      </w:r>
      <w:r w:rsidR="0040205B">
        <w:rPr>
          <w:rFonts w:ascii="Lato" w:hAnsi="Lato"/>
          <w:noProof/>
          <w:color w:val="1F497D"/>
          <w:sz w:val="20"/>
          <w:szCs w:val="20"/>
        </w:rPr>
        <w:t>2</w:t>
      </w:r>
      <w:r w:rsidR="004042AE" w:rsidRPr="00B40544">
        <w:rPr>
          <w:rFonts w:ascii="Lato" w:hAnsi="Lato"/>
          <w:color w:val="1F497D"/>
          <w:sz w:val="20"/>
          <w:szCs w:val="20"/>
        </w:rPr>
        <w:fldChar w:fldCharType="end"/>
      </w:r>
      <w:r w:rsidR="005430ED" w:rsidRPr="00B40544">
        <w:rPr>
          <w:rFonts w:ascii="Lato" w:hAnsi="Lato"/>
          <w:color w:val="1F497D"/>
          <w:sz w:val="20"/>
          <w:szCs w:val="20"/>
        </w:rPr>
        <w:noBreakHyphen/>
      </w:r>
      <w:r w:rsidR="004042AE" w:rsidRPr="00B40544">
        <w:rPr>
          <w:rFonts w:ascii="Lato" w:hAnsi="Lato"/>
          <w:color w:val="1F497D"/>
          <w:sz w:val="20"/>
          <w:szCs w:val="20"/>
        </w:rPr>
        <w:fldChar w:fldCharType="begin"/>
      </w:r>
      <w:r w:rsidR="005430ED" w:rsidRPr="00B40544">
        <w:rPr>
          <w:rFonts w:ascii="Lato" w:hAnsi="Lato"/>
          <w:color w:val="1F497D"/>
          <w:sz w:val="20"/>
          <w:szCs w:val="20"/>
        </w:rPr>
        <w:instrText xml:space="preserve"> SEQ Tabela \* ARABIC \s 1 </w:instrText>
      </w:r>
      <w:r w:rsidR="004042AE" w:rsidRPr="00B40544">
        <w:rPr>
          <w:rFonts w:ascii="Lato" w:hAnsi="Lato"/>
          <w:color w:val="1F497D"/>
          <w:sz w:val="20"/>
          <w:szCs w:val="20"/>
        </w:rPr>
        <w:fldChar w:fldCharType="separate"/>
      </w:r>
      <w:r w:rsidR="0040205B">
        <w:rPr>
          <w:rFonts w:ascii="Lato" w:hAnsi="Lato"/>
          <w:noProof/>
          <w:color w:val="1F497D"/>
          <w:sz w:val="20"/>
          <w:szCs w:val="20"/>
        </w:rPr>
        <w:t>18</w:t>
      </w:r>
      <w:r w:rsidR="004042AE" w:rsidRPr="00B40544">
        <w:rPr>
          <w:rFonts w:ascii="Lato" w:hAnsi="Lato"/>
          <w:color w:val="1F497D"/>
          <w:sz w:val="20"/>
          <w:szCs w:val="20"/>
        </w:rPr>
        <w:fldChar w:fldCharType="end"/>
      </w:r>
      <w:r w:rsidRPr="00B40544">
        <w:rPr>
          <w:rFonts w:ascii="Lato" w:hAnsi="Lato"/>
          <w:color w:val="1F497D"/>
          <w:sz w:val="20"/>
          <w:szCs w:val="20"/>
        </w:rPr>
        <w:t xml:space="preserve"> Współczynniki toksyczności zanieczyszczeń</w:t>
      </w:r>
      <w:bookmarkEnd w:id="229"/>
      <w:bookmarkEnd w:id="230"/>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152"/>
        <w:gridCol w:w="2972"/>
        <w:gridCol w:w="1901"/>
        <w:gridCol w:w="2604"/>
      </w:tblGrid>
      <w:tr w:rsidR="00D8648F" w:rsidRPr="00B40544" w:rsidTr="00D03562">
        <w:trPr>
          <w:jc w:val="center"/>
        </w:trPr>
        <w:tc>
          <w:tcPr>
            <w:tcW w:w="1117" w:type="pct"/>
            <w:tcBorders>
              <w:top w:val="single" w:sz="4" w:space="0" w:color="4F81BD"/>
              <w:left w:val="single" w:sz="4" w:space="0" w:color="4F81BD"/>
              <w:bottom w:val="single" w:sz="4" w:space="0" w:color="4F81BD"/>
              <w:right w:val="single" w:sz="4" w:space="0" w:color="4F81BD"/>
            </w:tcBorders>
            <w:shd w:val="clear" w:color="auto" w:fill="DBE5F1"/>
            <w:vAlign w:val="center"/>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Nazwa substancji</w:t>
            </w:r>
          </w:p>
        </w:tc>
        <w:tc>
          <w:tcPr>
            <w:tcW w:w="1543" w:type="pct"/>
            <w:tcBorders>
              <w:top w:val="single" w:sz="4" w:space="0" w:color="4F81BD"/>
              <w:left w:val="single" w:sz="4" w:space="0" w:color="4F81BD"/>
              <w:bottom w:val="single" w:sz="4" w:space="0" w:color="4F81BD"/>
              <w:right w:val="single" w:sz="4" w:space="0" w:color="4F81BD"/>
            </w:tcBorders>
            <w:shd w:val="clear" w:color="auto" w:fill="DBE5F1"/>
            <w:vAlign w:val="center"/>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Dopuszczalny poziom</w:t>
            </w:r>
          </w:p>
          <w:p w:rsidR="00D8648F" w:rsidRPr="00B40544" w:rsidRDefault="00D577AA"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 xml:space="preserve">substancji w powietrzu, </w:t>
            </w:r>
            <w:r w:rsidR="00D8648F" w:rsidRPr="00B40544">
              <w:rPr>
                <w:rFonts w:cs="Arial"/>
                <w:color w:val="16365C"/>
                <w:sz w:val="18"/>
                <w:szCs w:val="16"/>
              </w:rPr>
              <w:t>μ</w:t>
            </w:r>
            <w:r w:rsidR="00D8648F" w:rsidRPr="00B40544">
              <w:rPr>
                <w:rFonts w:ascii="Lato" w:hAnsi="Lato"/>
                <w:color w:val="16365C"/>
                <w:sz w:val="18"/>
                <w:szCs w:val="16"/>
              </w:rPr>
              <w:t>g/m</w:t>
            </w:r>
            <w:r w:rsidR="00D8648F" w:rsidRPr="00B40544">
              <w:rPr>
                <w:rFonts w:ascii="Lato" w:hAnsi="Lato"/>
                <w:color w:val="16365C"/>
                <w:sz w:val="18"/>
                <w:szCs w:val="16"/>
                <w:vertAlign w:val="superscript"/>
              </w:rPr>
              <w:t>3</w:t>
            </w:r>
          </w:p>
        </w:tc>
        <w:tc>
          <w:tcPr>
            <w:tcW w:w="987" w:type="pct"/>
            <w:tcBorders>
              <w:top w:val="single" w:sz="4" w:space="0" w:color="4F81BD"/>
              <w:left w:val="single" w:sz="4" w:space="0" w:color="4F81BD"/>
              <w:bottom w:val="single" w:sz="4" w:space="0" w:color="4F81BD"/>
              <w:right w:val="single" w:sz="4" w:space="0" w:color="4F81BD"/>
            </w:tcBorders>
            <w:shd w:val="clear" w:color="auto" w:fill="DBE5F1"/>
            <w:vAlign w:val="center"/>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Okres uśredniania wyników</w:t>
            </w:r>
          </w:p>
        </w:tc>
        <w:tc>
          <w:tcPr>
            <w:tcW w:w="1352" w:type="pct"/>
            <w:tcBorders>
              <w:top w:val="single" w:sz="4" w:space="0" w:color="4F81BD"/>
              <w:left w:val="single" w:sz="4" w:space="0" w:color="4F81BD"/>
              <w:bottom w:val="single" w:sz="4" w:space="0" w:color="4F81BD"/>
              <w:right w:val="single" w:sz="4" w:space="0" w:color="4F81BD"/>
            </w:tcBorders>
            <w:shd w:val="clear" w:color="auto" w:fill="DBE5F1"/>
            <w:vAlign w:val="center"/>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Współczynnik toksyczności zanieczyszczenia Kt</w:t>
            </w:r>
          </w:p>
        </w:tc>
      </w:tr>
      <w:tr w:rsidR="00D8648F" w:rsidRPr="00B40544" w:rsidTr="00D03562">
        <w:trPr>
          <w:jc w:val="center"/>
        </w:trPr>
        <w:tc>
          <w:tcPr>
            <w:tcW w:w="1117"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both"/>
              <w:rPr>
                <w:rFonts w:ascii="Lato" w:hAnsi="Lato"/>
                <w:color w:val="16365C"/>
                <w:sz w:val="18"/>
                <w:szCs w:val="16"/>
              </w:rPr>
            </w:pPr>
            <w:r w:rsidRPr="00B40544">
              <w:rPr>
                <w:rFonts w:ascii="Lato" w:hAnsi="Lato"/>
                <w:color w:val="16365C"/>
                <w:sz w:val="18"/>
                <w:szCs w:val="16"/>
              </w:rPr>
              <w:t>Dwutlenek azotu</w:t>
            </w:r>
          </w:p>
        </w:tc>
        <w:tc>
          <w:tcPr>
            <w:tcW w:w="1543"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40</w:t>
            </w:r>
          </w:p>
        </w:tc>
        <w:tc>
          <w:tcPr>
            <w:tcW w:w="987"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rok kalendarzowy</w:t>
            </w:r>
          </w:p>
        </w:tc>
        <w:tc>
          <w:tcPr>
            <w:tcW w:w="1352"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0,5</w:t>
            </w:r>
          </w:p>
        </w:tc>
      </w:tr>
      <w:tr w:rsidR="00D8648F" w:rsidRPr="00B40544" w:rsidTr="00D03562">
        <w:trPr>
          <w:jc w:val="center"/>
        </w:trPr>
        <w:tc>
          <w:tcPr>
            <w:tcW w:w="1117"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both"/>
              <w:rPr>
                <w:rFonts w:ascii="Lato" w:hAnsi="Lato"/>
                <w:color w:val="16365C"/>
                <w:sz w:val="18"/>
                <w:szCs w:val="16"/>
              </w:rPr>
            </w:pPr>
            <w:r w:rsidRPr="00B40544">
              <w:rPr>
                <w:rFonts w:ascii="Lato" w:hAnsi="Lato"/>
                <w:color w:val="16365C"/>
                <w:sz w:val="18"/>
                <w:szCs w:val="16"/>
              </w:rPr>
              <w:t>Dwutlenek siarki</w:t>
            </w:r>
          </w:p>
        </w:tc>
        <w:tc>
          <w:tcPr>
            <w:tcW w:w="1543"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20</w:t>
            </w:r>
          </w:p>
        </w:tc>
        <w:tc>
          <w:tcPr>
            <w:tcW w:w="987"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rok kalendarzowy</w:t>
            </w:r>
          </w:p>
        </w:tc>
        <w:tc>
          <w:tcPr>
            <w:tcW w:w="1352"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1</w:t>
            </w:r>
          </w:p>
        </w:tc>
      </w:tr>
      <w:tr w:rsidR="00D8648F" w:rsidRPr="00B40544" w:rsidTr="00D03562">
        <w:trPr>
          <w:jc w:val="center"/>
        </w:trPr>
        <w:tc>
          <w:tcPr>
            <w:tcW w:w="1117"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both"/>
              <w:rPr>
                <w:rFonts w:ascii="Lato" w:hAnsi="Lato"/>
                <w:color w:val="16365C"/>
                <w:sz w:val="18"/>
                <w:szCs w:val="16"/>
              </w:rPr>
            </w:pPr>
            <w:r w:rsidRPr="00B40544">
              <w:rPr>
                <w:rFonts w:ascii="Lato" w:hAnsi="Lato"/>
                <w:color w:val="16365C"/>
                <w:sz w:val="18"/>
                <w:szCs w:val="16"/>
              </w:rPr>
              <w:t>Tlenek węgla</w:t>
            </w:r>
          </w:p>
        </w:tc>
        <w:tc>
          <w:tcPr>
            <w:tcW w:w="1543"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Brak</w:t>
            </w:r>
          </w:p>
        </w:tc>
        <w:tc>
          <w:tcPr>
            <w:tcW w:w="987"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w:t>
            </w:r>
          </w:p>
        </w:tc>
        <w:tc>
          <w:tcPr>
            <w:tcW w:w="1352"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0</w:t>
            </w:r>
          </w:p>
        </w:tc>
      </w:tr>
      <w:tr w:rsidR="00D8648F" w:rsidRPr="00B40544" w:rsidTr="00D03562">
        <w:trPr>
          <w:jc w:val="center"/>
        </w:trPr>
        <w:tc>
          <w:tcPr>
            <w:tcW w:w="1117"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both"/>
              <w:rPr>
                <w:rFonts w:ascii="Lato" w:hAnsi="Lato"/>
                <w:color w:val="16365C"/>
                <w:sz w:val="18"/>
                <w:szCs w:val="16"/>
              </w:rPr>
            </w:pPr>
            <w:r w:rsidRPr="00B40544">
              <w:rPr>
                <w:rFonts w:ascii="Lato" w:hAnsi="Lato"/>
                <w:color w:val="16365C"/>
                <w:sz w:val="18"/>
                <w:szCs w:val="16"/>
              </w:rPr>
              <w:t>pył zawieszony PM10</w:t>
            </w:r>
          </w:p>
        </w:tc>
        <w:tc>
          <w:tcPr>
            <w:tcW w:w="1543"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40</w:t>
            </w:r>
          </w:p>
        </w:tc>
        <w:tc>
          <w:tcPr>
            <w:tcW w:w="987"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rok kalendarzowy</w:t>
            </w:r>
          </w:p>
        </w:tc>
        <w:tc>
          <w:tcPr>
            <w:tcW w:w="1352"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0,5</w:t>
            </w:r>
          </w:p>
        </w:tc>
      </w:tr>
      <w:tr w:rsidR="00D8648F" w:rsidRPr="00B40544" w:rsidTr="00D03562">
        <w:trPr>
          <w:jc w:val="center"/>
        </w:trPr>
        <w:tc>
          <w:tcPr>
            <w:tcW w:w="1117" w:type="pct"/>
            <w:tcBorders>
              <w:top w:val="single" w:sz="4" w:space="0" w:color="4F81BD"/>
              <w:left w:val="single" w:sz="4" w:space="0" w:color="4F81BD"/>
              <w:bottom w:val="single" w:sz="4" w:space="0" w:color="4F81BD"/>
              <w:right w:val="single" w:sz="4" w:space="0" w:color="4F81BD"/>
            </w:tcBorders>
            <w:hideMark/>
          </w:tcPr>
          <w:p w:rsidR="00D8648F" w:rsidRPr="00B40544" w:rsidRDefault="00D577AA" w:rsidP="00022B1E">
            <w:pPr>
              <w:spacing w:before="40" w:after="40" w:line="240" w:lineRule="auto"/>
              <w:ind w:firstLine="0"/>
              <w:jc w:val="both"/>
              <w:rPr>
                <w:rFonts w:ascii="Lato" w:hAnsi="Lato"/>
                <w:color w:val="16365C"/>
                <w:sz w:val="18"/>
                <w:szCs w:val="16"/>
              </w:rPr>
            </w:pPr>
            <w:r w:rsidRPr="00B40544">
              <w:rPr>
                <w:rFonts w:ascii="Lato" w:hAnsi="Lato"/>
                <w:color w:val="16365C"/>
                <w:sz w:val="18"/>
                <w:szCs w:val="16"/>
              </w:rPr>
              <w:t>Benzo(a)</w:t>
            </w:r>
            <w:r w:rsidR="00D8648F" w:rsidRPr="00B40544">
              <w:rPr>
                <w:rFonts w:ascii="Lato" w:hAnsi="Lato"/>
                <w:color w:val="16365C"/>
                <w:sz w:val="18"/>
                <w:szCs w:val="16"/>
              </w:rPr>
              <w:t>piren</w:t>
            </w:r>
          </w:p>
        </w:tc>
        <w:tc>
          <w:tcPr>
            <w:tcW w:w="1543"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0,001</w:t>
            </w:r>
          </w:p>
        </w:tc>
        <w:tc>
          <w:tcPr>
            <w:tcW w:w="987"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rok kalendarzowy</w:t>
            </w:r>
          </w:p>
        </w:tc>
        <w:tc>
          <w:tcPr>
            <w:tcW w:w="1352"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20 000</w:t>
            </w:r>
          </w:p>
        </w:tc>
      </w:tr>
      <w:tr w:rsidR="00D8648F" w:rsidRPr="00B40544" w:rsidTr="00D03562">
        <w:trPr>
          <w:jc w:val="center"/>
        </w:trPr>
        <w:tc>
          <w:tcPr>
            <w:tcW w:w="1117"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both"/>
              <w:rPr>
                <w:rFonts w:ascii="Lato" w:hAnsi="Lato"/>
                <w:color w:val="16365C"/>
                <w:sz w:val="18"/>
                <w:szCs w:val="16"/>
              </w:rPr>
            </w:pPr>
            <w:r w:rsidRPr="00B40544">
              <w:rPr>
                <w:rFonts w:ascii="Lato" w:hAnsi="Lato"/>
                <w:color w:val="16365C"/>
                <w:sz w:val="18"/>
                <w:szCs w:val="16"/>
              </w:rPr>
              <w:t>Dwutlenek węgla</w:t>
            </w:r>
          </w:p>
        </w:tc>
        <w:tc>
          <w:tcPr>
            <w:tcW w:w="1543"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Brak</w:t>
            </w:r>
          </w:p>
        </w:tc>
        <w:tc>
          <w:tcPr>
            <w:tcW w:w="987"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w:t>
            </w:r>
          </w:p>
        </w:tc>
        <w:tc>
          <w:tcPr>
            <w:tcW w:w="1352" w:type="pct"/>
            <w:tcBorders>
              <w:top w:val="single" w:sz="4" w:space="0" w:color="4F81BD"/>
              <w:left w:val="single" w:sz="4" w:space="0" w:color="4F81BD"/>
              <w:bottom w:val="single" w:sz="4" w:space="0" w:color="4F81BD"/>
              <w:right w:val="single" w:sz="4" w:space="0" w:color="4F81BD"/>
            </w:tcBorders>
            <w:hideMark/>
          </w:tcPr>
          <w:p w:rsidR="00D8648F" w:rsidRPr="00B40544" w:rsidRDefault="00D8648F" w:rsidP="00022B1E">
            <w:pPr>
              <w:spacing w:before="40" w:after="40" w:line="240" w:lineRule="auto"/>
              <w:ind w:firstLine="0"/>
              <w:jc w:val="center"/>
              <w:rPr>
                <w:rFonts w:ascii="Lato" w:hAnsi="Lato"/>
                <w:color w:val="16365C"/>
                <w:sz w:val="18"/>
                <w:szCs w:val="16"/>
              </w:rPr>
            </w:pPr>
            <w:r w:rsidRPr="00B40544">
              <w:rPr>
                <w:rFonts w:ascii="Lato" w:hAnsi="Lato"/>
                <w:color w:val="16365C"/>
                <w:sz w:val="18"/>
                <w:szCs w:val="16"/>
              </w:rPr>
              <w:t>0</w:t>
            </w:r>
          </w:p>
        </w:tc>
      </w:tr>
    </w:tbl>
    <w:p w:rsidR="00D8648F" w:rsidRPr="00B40544" w:rsidRDefault="00D8648F" w:rsidP="002A4A04">
      <w:pPr>
        <w:ind w:firstLine="0"/>
        <w:jc w:val="center"/>
        <w:rPr>
          <w:rFonts w:ascii="Lato" w:hAnsi="Lato"/>
          <w:bCs/>
          <w:i/>
          <w:spacing w:val="-2"/>
          <w:sz w:val="20"/>
          <w:szCs w:val="20"/>
        </w:rPr>
      </w:pPr>
      <w:r w:rsidRPr="00B40544">
        <w:rPr>
          <w:rFonts w:ascii="Lato" w:hAnsi="Lato"/>
          <w:bCs/>
          <w:i/>
          <w:spacing w:val="-2"/>
          <w:sz w:val="20"/>
          <w:szCs w:val="20"/>
        </w:rPr>
        <w:t xml:space="preserve">Źródło: </w:t>
      </w:r>
      <w:r w:rsidR="00BD0E60">
        <w:rPr>
          <w:rFonts w:ascii="Lato" w:hAnsi="Lato"/>
          <w:bCs/>
          <w:i/>
          <w:spacing w:val="-2"/>
          <w:sz w:val="20"/>
          <w:szCs w:val="20"/>
        </w:rPr>
        <w:t>A</w:t>
      </w:r>
      <w:r w:rsidRPr="00B40544">
        <w:rPr>
          <w:rFonts w:ascii="Lato" w:hAnsi="Lato"/>
          <w:bCs/>
          <w:i/>
          <w:spacing w:val="-2"/>
          <w:sz w:val="20"/>
          <w:szCs w:val="20"/>
        </w:rPr>
        <w:t xml:space="preserve">nalizy własne </w:t>
      </w:r>
    </w:p>
    <w:p w:rsidR="00E05AD8" w:rsidRPr="00B40544" w:rsidRDefault="00E05AD8" w:rsidP="00D8648F">
      <w:pPr>
        <w:jc w:val="center"/>
        <w:rPr>
          <w:rFonts w:ascii="Lato" w:hAnsi="Lato"/>
          <w:color w:val="1F497D"/>
        </w:rPr>
      </w:pPr>
    </w:p>
    <w:p w:rsidR="00D8648F" w:rsidRPr="00B40544" w:rsidRDefault="00D8648F" w:rsidP="003E42DF">
      <w:pPr>
        <w:widowControl w:val="0"/>
        <w:ind w:firstLine="709"/>
        <w:jc w:val="both"/>
        <w:rPr>
          <w:rFonts w:ascii="Lato" w:hAnsi="Lato"/>
        </w:rPr>
      </w:pPr>
      <w:r w:rsidRPr="00B40544">
        <w:rPr>
          <w:rFonts w:ascii="Lato" w:hAnsi="Lato"/>
        </w:rPr>
        <w:t>Emisja równoważna uwzględnia emisję różnego rodzaju zanieczyszczeń, o różnym stopniu toksyczności. Pozwala to na prowadzenie porównań stopnia uciążliwości poszczególnych źródeł emisji zanieczyszczeń emitujących różne związki. Umożliwi</w:t>
      </w:r>
      <w:r w:rsidR="00B40544">
        <w:rPr>
          <w:rFonts w:ascii="Lato" w:hAnsi="Lato"/>
        </w:rPr>
        <w:t>a także w prosty, przejrzysty i </w:t>
      </w:r>
      <w:r w:rsidRPr="00B40544">
        <w:rPr>
          <w:rFonts w:ascii="Lato" w:hAnsi="Lato"/>
        </w:rPr>
        <w:t>przekonywujący sposób znaleźć wspólną miarę oceny szkodliwości różnych rodzajów zanieczyszczeń, a także wyliczać efektywność wprowadzanych usprawnień.</w:t>
      </w:r>
    </w:p>
    <w:p w:rsidR="00D8648F" w:rsidRDefault="00CF6629" w:rsidP="003E42DF">
      <w:pPr>
        <w:widowControl w:val="0"/>
        <w:ind w:firstLine="709"/>
        <w:jc w:val="both"/>
        <w:rPr>
          <w:rFonts w:ascii="Lato" w:hAnsi="Lato"/>
        </w:rPr>
      </w:pPr>
      <w:bookmarkStart w:id="231" w:name="_Toc328633034"/>
      <w:bookmarkStart w:id="232" w:name="_Toc341695840"/>
      <w:bookmarkStart w:id="233" w:name="_Toc336943644"/>
      <w:bookmarkStart w:id="234" w:name="_Toc336419477"/>
      <w:r w:rsidRPr="00B40544">
        <w:rPr>
          <w:rFonts w:ascii="Lato" w:hAnsi="Lato"/>
        </w:rPr>
        <w:t>W celu oszacowania ogólnej emisji substancji szkodliwych d</w:t>
      </w:r>
      <w:r w:rsidR="009B3DC4" w:rsidRPr="00B40544">
        <w:rPr>
          <w:rFonts w:ascii="Lato" w:hAnsi="Lato"/>
        </w:rPr>
        <w:t>o atmosfery ze spalania paliw w </w:t>
      </w:r>
      <w:r w:rsidRPr="00B40544">
        <w:rPr>
          <w:rFonts w:ascii="Lato" w:hAnsi="Lato"/>
        </w:rPr>
        <w:t>budownictwie mieszkaniowym, sektorze handlowo-usługo</w:t>
      </w:r>
      <w:r w:rsidR="00B40544" w:rsidRPr="00B40544">
        <w:rPr>
          <w:rFonts w:ascii="Lato" w:hAnsi="Lato"/>
        </w:rPr>
        <w:t>wym i użyteczności publicznej w </w:t>
      </w:r>
      <w:r w:rsidRPr="00B40544">
        <w:rPr>
          <w:rFonts w:ascii="Lato" w:hAnsi="Lato"/>
        </w:rPr>
        <w:t xml:space="preserve">Gminie </w:t>
      </w:r>
      <w:r w:rsidR="00B40544" w:rsidRPr="00B40544">
        <w:rPr>
          <w:rFonts w:ascii="Lato" w:hAnsi="Lato"/>
        </w:rPr>
        <w:t>Pabianice</w:t>
      </w:r>
      <w:r w:rsidRPr="00B40544">
        <w:rPr>
          <w:rFonts w:ascii="Lato" w:hAnsi="Lato"/>
        </w:rPr>
        <w:t xml:space="preserve">, koniecznym było posłużenie się danymi pośrednimi. Punkt wyjściowy stanowiła w tym przypadku struktura zużycia paliw i energii </w:t>
      </w:r>
      <w:r w:rsidR="00B40544" w:rsidRPr="00B40544">
        <w:rPr>
          <w:rFonts w:ascii="Lato" w:hAnsi="Lato"/>
        </w:rPr>
        <w:t>gminy</w:t>
      </w:r>
      <w:r w:rsidRPr="00B40544">
        <w:rPr>
          <w:rFonts w:ascii="Lato" w:hAnsi="Lato"/>
        </w:rPr>
        <w:t>, dane o źródłach wysokiej emisji oraz dane Głównego Urzędu Statystycznego.</w:t>
      </w:r>
    </w:p>
    <w:p w:rsidR="002E499D" w:rsidRPr="00B40544" w:rsidRDefault="002E499D" w:rsidP="003E42DF">
      <w:pPr>
        <w:widowControl w:val="0"/>
        <w:ind w:firstLine="709"/>
        <w:jc w:val="both"/>
        <w:rPr>
          <w:rFonts w:ascii="Lato" w:hAnsi="Lato"/>
        </w:rPr>
      </w:pPr>
    </w:p>
    <w:p w:rsidR="00D8648F" w:rsidRPr="00B40544" w:rsidRDefault="00D8648F" w:rsidP="00833196">
      <w:pPr>
        <w:pStyle w:val="Legenda"/>
        <w:rPr>
          <w:rFonts w:ascii="Lato" w:hAnsi="Lato"/>
          <w:color w:val="1F497D"/>
          <w:sz w:val="20"/>
          <w:szCs w:val="20"/>
        </w:rPr>
      </w:pPr>
      <w:bookmarkStart w:id="235" w:name="_Toc421081824"/>
      <w:bookmarkStart w:id="236" w:name="_Toc20219185"/>
      <w:r w:rsidRPr="00B40544">
        <w:rPr>
          <w:rFonts w:ascii="Lato" w:hAnsi="Lato"/>
          <w:color w:val="1F497D"/>
          <w:sz w:val="20"/>
          <w:szCs w:val="20"/>
        </w:rPr>
        <w:t xml:space="preserve">Tabela </w:t>
      </w:r>
      <w:r w:rsidR="004042AE" w:rsidRPr="00B40544">
        <w:rPr>
          <w:rFonts w:ascii="Lato" w:hAnsi="Lato"/>
          <w:color w:val="1F497D"/>
          <w:sz w:val="20"/>
          <w:szCs w:val="20"/>
        </w:rPr>
        <w:fldChar w:fldCharType="begin"/>
      </w:r>
      <w:r w:rsidR="005430ED" w:rsidRPr="00B40544">
        <w:rPr>
          <w:rFonts w:ascii="Lato" w:hAnsi="Lato"/>
          <w:color w:val="1F497D"/>
          <w:sz w:val="20"/>
          <w:szCs w:val="20"/>
        </w:rPr>
        <w:instrText xml:space="preserve"> STYLEREF 1 \s </w:instrText>
      </w:r>
      <w:r w:rsidR="004042AE" w:rsidRPr="00B40544">
        <w:rPr>
          <w:rFonts w:ascii="Lato" w:hAnsi="Lato"/>
          <w:color w:val="1F497D"/>
          <w:sz w:val="20"/>
          <w:szCs w:val="20"/>
        </w:rPr>
        <w:fldChar w:fldCharType="separate"/>
      </w:r>
      <w:r w:rsidR="0040205B">
        <w:rPr>
          <w:rFonts w:ascii="Lato" w:hAnsi="Lato"/>
          <w:noProof/>
          <w:color w:val="1F497D"/>
          <w:sz w:val="20"/>
          <w:szCs w:val="20"/>
        </w:rPr>
        <w:t>2</w:t>
      </w:r>
      <w:r w:rsidR="004042AE" w:rsidRPr="00B40544">
        <w:rPr>
          <w:rFonts w:ascii="Lato" w:hAnsi="Lato"/>
          <w:color w:val="1F497D"/>
          <w:sz w:val="20"/>
          <w:szCs w:val="20"/>
        </w:rPr>
        <w:fldChar w:fldCharType="end"/>
      </w:r>
      <w:r w:rsidR="005430ED" w:rsidRPr="00B40544">
        <w:rPr>
          <w:rFonts w:ascii="Lato" w:hAnsi="Lato"/>
          <w:color w:val="1F497D"/>
          <w:sz w:val="20"/>
          <w:szCs w:val="20"/>
        </w:rPr>
        <w:noBreakHyphen/>
      </w:r>
      <w:r w:rsidR="004042AE" w:rsidRPr="00B40544">
        <w:rPr>
          <w:rFonts w:ascii="Lato" w:hAnsi="Lato"/>
          <w:color w:val="1F497D"/>
          <w:sz w:val="20"/>
          <w:szCs w:val="20"/>
        </w:rPr>
        <w:fldChar w:fldCharType="begin"/>
      </w:r>
      <w:r w:rsidR="005430ED" w:rsidRPr="00B40544">
        <w:rPr>
          <w:rFonts w:ascii="Lato" w:hAnsi="Lato"/>
          <w:color w:val="1F497D"/>
          <w:sz w:val="20"/>
          <w:szCs w:val="20"/>
        </w:rPr>
        <w:instrText xml:space="preserve"> SEQ Tabela \* ARABIC \s 1 </w:instrText>
      </w:r>
      <w:r w:rsidR="004042AE" w:rsidRPr="00B40544">
        <w:rPr>
          <w:rFonts w:ascii="Lato" w:hAnsi="Lato"/>
          <w:color w:val="1F497D"/>
          <w:sz w:val="20"/>
          <w:szCs w:val="20"/>
        </w:rPr>
        <w:fldChar w:fldCharType="separate"/>
      </w:r>
      <w:r w:rsidR="0040205B">
        <w:rPr>
          <w:rFonts w:ascii="Lato" w:hAnsi="Lato"/>
          <w:noProof/>
          <w:color w:val="1F497D"/>
          <w:sz w:val="20"/>
          <w:szCs w:val="20"/>
        </w:rPr>
        <w:t>19</w:t>
      </w:r>
      <w:r w:rsidR="004042AE" w:rsidRPr="00B40544">
        <w:rPr>
          <w:rFonts w:ascii="Lato" w:hAnsi="Lato"/>
          <w:color w:val="1F497D"/>
          <w:sz w:val="20"/>
          <w:szCs w:val="20"/>
        </w:rPr>
        <w:fldChar w:fldCharType="end"/>
      </w:r>
      <w:r w:rsidRPr="00B40544">
        <w:rPr>
          <w:rFonts w:ascii="Lato" w:hAnsi="Lato"/>
          <w:color w:val="1F497D"/>
          <w:sz w:val="20"/>
          <w:szCs w:val="20"/>
        </w:rPr>
        <w:t xml:space="preserve"> Zestawienie zbiorcze emisji substancji do atmosfery z poszczególnych źródeł emisji na terenie </w:t>
      </w:r>
      <w:bookmarkEnd w:id="231"/>
      <w:bookmarkEnd w:id="232"/>
      <w:bookmarkEnd w:id="233"/>
      <w:bookmarkEnd w:id="234"/>
      <w:r w:rsidR="00662A21" w:rsidRPr="00B40544">
        <w:rPr>
          <w:rFonts w:ascii="Lato" w:hAnsi="Lato"/>
          <w:color w:val="1F497D"/>
          <w:sz w:val="20"/>
          <w:szCs w:val="20"/>
          <w:lang w:val="pl-PL"/>
        </w:rPr>
        <w:t xml:space="preserve">Gminy </w:t>
      </w:r>
      <w:r w:rsidR="00B40544" w:rsidRPr="00B40544">
        <w:rPr>
          <w:rFonts w:ascii="Lato" w:hAnsi="Lato"/>
          <w:color w:val="1F497D"/>
          <w:sz w:val="20"/>
          <w:szCs w:val="20"/>
          <w:lang w:val="pl-PL"/>
        </w:rPr>
        <w:t>Pabianice</w:t>
      </w:r>
      <w:r w:rsidRPr="00B40544">
        <w:rPr>
          <w:rFonts w:ascii="Lato" w:hAnsi="Lato"/>
          <w:color w:val="1F497D"/>
          <w:sz w:val="20"/>
          <w:szCs w:val="20"/>
        </w:rPr>
        <w:t xml:space="preserve"> w 201</w:t>
      </w:r>
      <w:r w:rsidR="007F58ED" w:rsidRPr="00B40544">
        <w:rPr>
          <w:rFonts w:ascii="Lato" w:hAnsi="Lato"/>
          <w:color w:val="1F497D"/>
          <w:sz w:val="20"/>
          <w:szCs w:val="20"/>
          <w:lang w:val="pl-PL"/>
        </w:rPr>
        <w:t>8</w:t>
      </w:r>
      <w:r w:rsidRPr="00B40544">
        <w:rPr>
          <w:rFonts w:ascii="Lato" w:hAnsi="Lato"/>
          <w:color w:val="1F497D"/>
          <w:sz w:val="20"/>
          <w:szCs w:val="20"/>
        </w:rPr>
        <w:t xml:space="preserve"> roku</w:t>
      </w:r>
      <w:bookmarkEnd w:id="235"/>
      <w:bookmarkEnd w:id="236"/>
    </w:p>
    <w:tbl>
      <w:tblPr>
        <w:tblW w:w="5000" w:type="pct"/>
        <w:jc w:val="center"/>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4A0" w:firstRow="1" w:lastRow="0" w:firstColumn="1" w:lastColumn="0" w:noHBand="0" w:noVBand="1"/>
      </w:tblPr>
      <w:tblGrid>
        <w:gridCol w:w="527"/>
        <w:gridCol w:w="2119"/>
        <w:gridCol w:w="1383"/>
        <w:gridCol w:w="1842"/>
        <w:gridCol w:w="1842"/>
        <w:gridCol w:w="1840"/>
      </w:tblGrid>
      <w:tr w:rsidR="00A9612C" w:rsidRPr="00A9612C" w:rsidTr="00A9612C">
        <w:trPr>
          <w:cantSplit/>
          <w:jc w:val="center"/>
        </w:trPr>
        <w:tc>
          <w:tcPr>
            <w:tcW w:w="276" w:type="pct"/>
            <w:vMerge w:val="restart"/>
            <w:tcBorders>
              <w:top w:val="single" w:sz="2" w:space="0" w:color="4F81BD"/>
              <w:left w:val="single" w:sz="2" w:space="0" w:color="4F81BD"/>
              <w:bottom w:val="single" w:sz="2" w:space="0" w:color="4F81BD"/>
              <w:right w:val="single" w:sz="2" w:space="0" w:color="4F81BD"/>
            </w:tcBorders>
            <w:shd w:val="clear" w:color="auto" w:fill="DBE5F1"/>
            <w:noWrap/>
            <w:vAlign w:val="center"/>
            <w:hideMark/>
          </w:tcPr>
          <w:p w:rsidR="00A9612C" w:rsidRPr="00A9612C" w:rsidRDefault="00A9612C" w:rsidP="00D8648F">
            <w:pPr>
              <w:spacing w:before="40" w:after="40" w:line="240" w:lineRule="auto"/>
              <w:ind w:left="-532"/>
              <w:jc w:val="center"/>
              <w:rPr>
                <w:rFonts w:ascii="Lato" w:hAnsi="Lato"/>
                <w:bCs/>
                <w:iCs/>
                <w:color w:val="17365D"/>
                <w:sz w:val="20"/>
                <w:szCs w:val="20"/>
              </w:rPr>
            </w:pPr>
            <w:r w:rsidRPr="00A9612C">
              <w:rPr>
                <w:rFonts w:ascii="Lato" w:hAnsi="Lato"/>
                <w:bCs/>
                <w:iCs/>
                <w:color w:val="17365D"/>
                <w:sz w:val="20"/>
                <w:szCs w:val="20"/>
              </w:rPr>
              <w:t>Lp.</w:t>
            </w:r>
          </w:p>
        </w:tc>
        <w:tc>
          <w:tcPr>
            <w:tcW w:w="1109" w:type="pct"/>
            <w:vMerge w:val="restart"/>
            <w:tcBorders>
              <w:top w:val="single" w:sz="2" w:space="0" w:color="4F81BD"/>
              <w:left w:val="single" w:sz="2" w:space="0" w:color="4F81BD"/>
              <w:bottom w:val="single" w:sz="2" w:space="0" w:color="4F81BD"/>
              <w:right w:val="single" w:sz="2" w:space="0" w:color="4F81BD"/>
            </w:tcBorders>
            <w:shd w:val="clear" w:color="auto" w:fill="DBE5F1"/>
            <w:noWrap/>
            <w:vAlign w:val="center"/>
            <w:hideMark/>
          </w:tcPr>
          <w:p w:rsidR="00A9612C" w:rsidRPr="00A9612C" w:rsidRDefault="00A9612C" w:rsidP="00D8648F">
            <w:pPr>
              <w:spacing w:before="40" w:after="40" w:line="240" w:lineRule="auto"/>
              <w:ind w:left="-532"/>
              <w:jc w:val="center"/>
              <w:rPr>
                <w:rFonts w:ascii="Lato" w:hAnsi="Lato"/>
                <w:bCs/>
                <w:iCs/>
                <w:color w:val="17365D"/>
                <w:sz w:val="20"/>
                <w:szCs w:val="20"/>
              </w:rPr>
            </w:pPr>
            <w:r w:rsidRPr="00A9612C">
              <w:rPr>
                <w:rFonts w:ascii="Lato" w:hAnsi="Lato"/>
                <w:bCs/>
                <w:iCs/>
                <w:color w:val="17365D"/>
                <w:sz w:val="20"/>
                <w:szCs w:val="20"/>
              </w:rPr>
              <w:t>Substancja</w:t>
            </w:r>
          </w:p>
        </w:tc>
        <w:tc>
          <w:tcPr>
            <w:tcW w:w="724" w:type="pct"/>
            <w:vMerge w:val="restart"/>
            <w:tcBorders>
              <w:top w:val="single" w:sz="2" w:space="0" w:color="4F81BD"/>
              <w:left w:val="single" w:sz="2" w:space="0" w:color="4F81BD"/>
              <w:bottom w:val="single" w:sz="2" w:space="0" w:color="4F81BD"/>
              <w:right w:val="single" w:sz="2" w:space="0" w:color="4F81BD"/>
            </w:tcBorders>
            <w:shd w:val="clear" w:color="auto" w:fill="DBE5F1"/>
            <w:noWrap/>
            <w:vAlign w:val="center"/>
            <w:hideMark/>
          </w:tcPr>
          <w:p w:rsidR="00A9612C" w:rsidRPr="00A9612C" w:rsidRDefault="00A9612C" w:rsidP="00D8648F">
            <w:pPr>
              <w:spacing w:before="40" w:after="40" w:line="240" w:lineRule="auto"/>
              <w:ind w:left="-532"/>
              <w:jc w:val="center"/>
              <w:rPr>
                <w:rFonts w:ascii="Lato" w:hAnsi="Lato"/>
                <w:bCs/>
                <w:iCs/>
                <w:color w:val="17365D"/>
                <w:sz w:val="20"/>
                <w:szCs w:val="20"/>
              </w:rPr>
            </w:pPr>
            <w:r w:rsidRPr="00A9612C">
              <w:rPr>
                <w:rFonts w:ascii="Lato" w:hAnsi="Lato"/>
                <w:bCs/>
                <w:iCs/>
                <w:color w:val="17365D"/>
                <w:sz w:val="20"/>
                <w:szCs w:val="20"/>
              </w:rPr>
              <w:t>Jednostka</w:t>
            </w:r>
          </w:p>
        </w:tc>
        <w:tc>
          <w:tcPr>
            <w:tcW w:w="2891" w:type="pct"/>
            <w:gridSpan w:val="3"/>
            <w:tcBorders>
              <w:top w:val="single" w:sz="2" w:space="0" w:color="4F81BD"/>
              <w:left w:val="single" w:sz="2" w:space="0" w:color="4F81BD"/>
              <w:bottom w:val="single" w:sz="2" w:space="0" w:color="4F81BD"/>
              <w:right w:val="single" w:sz="2" w:space="0" w:color="4F81BD"/>
            </w:tcBorders>
            <w:shd w:val="clear" w:color="auto" w:fill="DBE5F1"/>
            <w:vAlign w:val="center"/>
          </w:tcPr>
          <w:p w:rsidR="00A9612C" w:rsidRPr="00A9612C" w:rsidRDefault="00A9612C" w:rsidP="00D8648F">
            <w:pPr>
              <w:spacing w:before="40" w:after="40" w:line="240" w:lineRule="auto"/>
              <w:ind w:left="-532"/>
              <w:jc w:val="center"/>
              <w:rPr>
                <w:rFonts w:ascii="Lato" w:hAnsi="Lato"/>
                <w:bCs/>
                <w:iCs/>
                <w:color w:val="17365D"/>
                <w:sz w:val="20"/>
                <w:szCs w:val="20"/>
              </w:rPr>
            </w:pPr>
            <w:r w:rsidRPr="00A9612C">
              <w:rPr>
                <w:rFonts w:ascii="Lato" w:hAnsi="Lato"/>
                <w:bCs/>
                <w:iCs/>
                <w:color w:val="17365D"/>
                <w:sz w:val="20"/>
                <w:szCs w:val="20"/>
              </w:rPr>
              <w:t>Rodzaj emisji</w:t>
            </w:r>
          </w:p>
        </w:tc>
      </w:tr>
      <w:tr w:rsidR="00662A21" w:rsidRPr="00A9612C" w:rsidTr="00662A21">
        <w:trPr>
          <w:cantSplit/>
          <w:jc w:val="center"/>
        </w:trPr>
        <w:tc>
          <w:tcPr>
            <w:tcW w:w="276" w:type="pct"/>
            <w:vMerge/>
            <w:tcBorders>
              <w:top w:val="single" w:sz="2" w:space="0" w:color="4F81BD"/>
              <w:left w:val="single" w:sz="2" w:space="0" w:color="4F81BD"/>
              <w:bottom w:val="single" w:sz="2" w:space="0" w:color="4F81BD"/>
              <w:right w:val="single" w:sz="2" w:space="0" w:color="4F81BD"/>
            </w:tcBorders>
            <w:vAlign w:val="center"/>
            <w:hideMark/>
          </w:tcPr>
          <w:p w:rsidR="00662A21" w:rsidRPr="00A9612C" w:rsidRDefault="00662A21" w:rsidP="00D8648F">
            <w:pPr>
              <w:spacing w:line="240" w:lineRule="auto"/>
              <w:ind w:left="-532"/>
              <w:rPr>
                <w:rFonts w:ascii="Lato" w:hAnsi="Lato"/>
                <w:bCs/>
                <w:iCs/>
                <w:color w:val="17365D"/>
                <w:sz w:val="20"/>
                <w:szCs w:val="20"/>
              </w:rPr>
            </w:pPr>
          </w:p>
        </w:tc>
        <w:tc>
          <w:tcPr>
            <w:tcW w:w="1109" w:type="pct"/>
            <w:vMerge/>
            <w:tcBorders>
              <w:top w:val="single" w:sz="2" w:space="0" w:color="4F81BD"/>
              <w:left w:val="single" w:sz="2" w:space="0" w:color="4F81BD"/>
              <w:bottom w:val="single" w:sz="2" w:space="0" w:color="4F81BD"/>
              <w:right w:val="single" w:sz="2" w:space="0" w:color="4F81BD"/>
            </w:tcBorders>
            <w:vAlign w:val="center"/>
            <w:hideMark/>
          </w:tcPr>
          <w:p w:rsidR="00662A21" w:rsidRPr="00A9612C" w:rsidRDefault="00662A21" w:rsidP="00D8648F">
            <w:pPr>
              <w:spacing w:line="240" w:lineRule="auto"/>
              <w:ind w:left="-532"/>
              <w:rPr>
                <w:rFonts w:ascii="Lato" w:hAnsi="Lato"/>
                <w:bCs/>
                <w:iCs/>
                <w:color w:val="17365D"/>
                <w:sz w:val="20"/>
                <w:szCs w:val="20"/>
              </w:rPr>
            </w:pPr>
          </w:p>
        </w:tc>
        <w:tc>
          <w:tcPr>
            <w:tcW w:w="724" w:type="pct"/>
            <w:vMerge/>
            <w:tcBorders>
              <w:top w:val="single" w:sz="2" w:space="0" w:color="4F81BD"/>
              <w:left w:val="single" w:sz="2" w:space="0" w:color="4F81BD"/>
              <w:bottom w:val="single" w:sz="2" w:space="0" w:color="4F81BD"/>
              <w:right w:val="single" w:sz="2" w:space="0" w:color="4F81BD"/>
            </w:tcBorders>
            <w:vAlign w:val="center"/>
            <w:hideMark/>
          </w:tcPr>
          <w:p w:rsidR="00662A21" w:rsidRPr="00A9612C" w:rsidRDefault="00662A21" w:rsidP="00D8648F">
            <w:pPr>
              <w:spacing w:line="240" w:lineRule="auto"/>
              <w:ind w:left="-532"/>
              <w:rPr>
                <w:rFonts w:ascii="Lato" w:hAnsi="Lato"/>
                <w:bCs/>
                <w:iCs/>
                <w:color w:val="17365D"/>
                <w:sz w:val="20"/>
                <w:szCs w:val="20"/>
              </w:rPr>
            </w:pPr>
          </w:p>
        </w:tc>
        <w:tc>
          <w:tcPr>
            <w:tcW w:w="964" w:type="pct"/>
            <w:tcBorders>
              <w:top w:val="single" w:sz="2" w:space="0" w:color="4F81BD"/>
              <w:left w:val="single" w:sz="2" w:space="0" w:color="4F81BD"/>
              <w:bottom w:val="single" w:sz="2" w:space="0" w:color="4F81BD"/>
              <w:right w:val="single" w:sz="2" w:space="0" w:color="4F81BD"/>
            </w:tcBorders>
            <w:shd w:val="clear" w:color="auto" w:fill="DBE5F1"/>
            <w:hideMark/>
          </w:tcPr>
          <w:p w:rsidR="00662A21" w:rsidRPr="00A9612C" w:rsidRDefault="00662A21" w:rsidP="00D8648F">
            <w:pPr>
              <w:spacing w:before="40" w:after="40" w:line="240" w:lineRule="auto"/>
              <w:ind w:left="-532"/>
              <w:jc w:val="center"/>
              <w:rPr>
                <w:rFonts w:ascii="Lato" w:hAnsi="Lato"/>
                <w:bCs/>
                <w:iCs/>
                <w:color w:val="17365D"/>
                <w:sz w:val="20"/>
                <w:szCs w:val="20"/>
              </w:rPr>
            </w:pPr>
            <w:r w:rsidRPr="00A9612C">
              <w:rPr>
                <w:rFonts w:ascii="Lato" w:hAnsi="Lato"/>
                <w:bCs/>
                <w:iCs/>
                <w:color w:val="17365D"/>
                <w:sz w:val="20"/>
                <w:szCs w:val="20"/>
              </w:rPr>
              <w:t>Niska</w:t>
            </w:r>
          </w:p>
        </w:tc>
        <w:tc>
          <w:tcPr>
            <w:tcW w:w="964" w:type="pct"/>
            <w:tcBorders>
              <w:top w:val="single" w:sz="2" w:space="0" w:color="4F81BD"/>
              <w:left w:val="single" w:sz="2" w:space="0" w:color="4F81BD"/>
              <w:bottom w:val="single" w:sz="2" w:space="0" w:color="4F81BD"/>
              <w:right w:val="single" w:sz="2" w:space="0" w:color="4F81BD"/>
            </w:tcBorders>
            <w:shd w:val="clear" w:color="auto" w:fill="DBE5F1"/>
            <w:noWrap/>
            <w:vAlign w:val="center"/>
            <w:hideMark/>
          </w:tcPr>
          <w:p w:rsidR="00662A21" w:rsidRPr="00A9612C" w:rsidRDefault="00662A21" w:rsidP="00D8648F">
            <w:pPr>
              <w:spacing w:before="40" w:after="40" w:line="240" w:lineRule="auto"/>
              <w:ind w:left="-532"/>
              <w:jc w:val="center"/>
              <w:rPr>
                <w:rFonts w:ascii="Lato" w:hAnsi="Lato"/>
                <w:bCs/>
                <w:iCs/>
                <w:color w:val="17365D"/>
                <w:sz w:val="20"/>
                <w:szCs w:val="20"/>
              </w:rPr>
            </w:pPr>
            <w:r w:rsidRPr="00A9612C">
              <w:rPr>
                <w:rFonts w:ascii="Lato" w:hAnsi="Lato"/>
                <w:bCs/>
                <w:iCs/>
                <w:color w:val="17365D"/>
                <w:sz w:val="20"/>
                <w:szCs w:val="20"/>
              </w:rPr>
              <w:t>Liniowa</w:t>
            </w:r>
          </w:p>
        </w:tc>
        <w:tc>
          <w:tcPr>
            <w:tcW w:w="963" w:type="pct"/>
            <w:tcBorders>
              <w:top w:val="single" w:sz="2" w:space="0" w:color="4F81BD"/>
              <w:left w:val="single" w:sz="2" w:space="0" w:color="4F81BD"/>
              <w:bottom w:val="single" w:sz="2" w:space="0" w:color="4F81BD"/>
              <w:right w:val="single" w:sz="2" w:space="0" w:color="4F81BD"/>
            </w:tcBorders>
            <w:shd w:val="clear" w:color="auto" w:fill="DBE5F1"/>
            <w:vAlign w:val="center"/>
            <w:hideMark/>
          </w:tcPr>
          <w:p w:rsidR="00662A21" w:rsidRPr="00A9612C" w:rsidRDefault="00662A21" w:rsidP="00D8648F">
            <w:pPr>
              <w:spacing w:before="40" w:after="40" w:line="240" w:lineRule="auto"/>
              <w:ind w:left="-532"/>
              <w:jc w:val="center"/>
              <w:rPr>
                <w:rFonts w:ascii="Lato" w:hAnsi="Lato"/>
                <w:bCs/>
                <w:iCs/>
                <w:color w:val="17365D"/>
                <w:sz w:val="20"/>
                <w:szCs w:val="20"/>
              </w:rPr>
            </w:pPr>
            <w:r w:rsidRPr="00A9612C">
              <w:rPr>
                <w:rFonts w:ascii="Lato" w:hAnsi="Lato"/>
                <w:bCs/>
                <w:iCs/>
                <w:color w:val="17365D"/>
                <w:sz w:val="20"/>
                <w:szCs w:val="20"/>
              </w:rPr>
              <w:t>Razem</w:t>
            </w:r>
          </w:p>
        </w:tc>
      </w:tr>
      <w:tr w:rsidR="00A9612C" w:rsidRPr="00A9612C" w:rsidTr="007654DF">
        <w:trPr>
          <w:cantSplit/>
          <w:jc w:val="center"/>
        </w:trPr>
        <w:tc>
          <w:tcPr>
            <w:tcW w:w="276"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1</w:t>
            </w:r>
          </w:p>
        </w:tc>
        <w:tc>
          <w:tcPr>
            <w:tcW w:w="1109"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SO</w:t>
            </w:r>
            <w:r w:rsidRPr="00A9612C">
              <w:rPr>
                <w:rFonts w:ascii="Lato" w:hAnsi="Lato"/>
                <w:color w:val="17365D"/>
                <w:sz w:val="20"/>
                <w:szCs w:val="20"/>
                <w:vertAlign w:val="subscript"/>
              </w:rPr>
              <w:t>2</w:t>
            </w:r>
          </w:p>
        </w:tc>
        <w:tc>
          <w:tcPr>
            <w:tcW w:w="724"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Mg/rok</w:t>
            </w:r>
          </w:p>
        </w:tc>
        <w:tc>
          <w:tcPr>
            <w:tcW w:w="964" w:type="pct"/>
            <w:tcBorders>
              <w:top w:val="single" w:sz="2" w:space="0" w:color="4F81BD"/>
              <w:left w:val="single" w:sz="2" w:space="0" w:color="4F81BD"/>
              <w:bottom w:val="single" w:sz="2" w:space="0" w:color="4F81BD"/>
              <w:right w:val="single" w:sz="2" w:space="0" w:color="4F81BD"/>
            </w:tcBorders>
            <w:vAlign w:val="center"/>
            <w:hideMark/>
          </w:tcPr>
          <w:p w:rsidR="00A9612C" w:rsidRPr="00A9612C" w:rsidRDefault="00A9612C" w:rsidP="00A9612C">
            <w:pPr>
              <w:spacing w:before="40" w:after="40" w:line="240" w:lineRule="auto"/>
              <w:ind w:left="-532"/>
              <w:jc w:val="center"/>
              <w:rPr>
                <w:rFonts w:ascii="Lato" w:hAnsi="Lato"/>
                <w:color w:val="17365D"/>
                <w:sz w:val="20"/>
                <w:szCs w:val="20"/>
              </w:rPr>
            </w:pPr>
            <w:r w:rsidRPr="00A9612C">
              <w:rPr>
                <w:rFonts w:ascii="Lato" w:hAnsi="Lato"/>
                <w:color w:val="17365D"/>
                <w:sz w:val="20"/>
                <w:szCs w:val="20"/>
              </w:rPr>
              <w:t>101</w:t>
            </w:r>
          </w:p>
        </w:tc>
        <w:tc>
          <w:tcPr>
            <w:tcW w:w="964"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spacing w:before="40" w:after="40" w:line="240" w:lineRule="auto"/>
              <w:ind w:left="-532"/>
              <w:jc w:val="center"/>
              <w:rPr>
                <w:rFonts w:ascii="Lato" w:hAnsi="Lato"/>
                <w:color w:val="17365D"/>
                <w:sz w:val="20"/>
                <w:szCs w:val="20"/>
              </w:rPr>
            </w:pPr>
            <w:r w:rsidRPr="00A9612C">
              <w:rPr>
                <w:rFonts w:ascii="Lato" w:hAnsi="Lato"/>
                <w:color w:val="17365D"/>
                <w:sz w:val="20"/>
                <w:szCs w:val="20"/>
              </w:rPr>
              <w:t>13</w:t>
            </w:r>
          </w:p>
        </w:tc>
        <w:tc>
          <w:tcPr>
            <w:tcW w:w="963"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spacing w:before="40" w:after="40" w:line="240" w:lineRule="auto"/>
              <w:ind w:left="-532"/>
              <w:jc w:val="center"/>
              <w:rPr>
                <w:rFonts w:ascii="Lato" w:hAnsi="Lato"/>
                <w:color w:val="17365D"/>
                <w:sz w:val="20"/>
                <w:szCs w:val="20"/>
              </w:rPr>
            </w:pPr>
            <w:r w:rsidRPr="00A9612C">
              <w:rPr>
                <w:rFonts w:ascii="Lato" w:hAnsi="Lato"/>
                <w:color w:val="17365D"/>
                <w:sz w:val="20"/>
                <w:szCs w:val="20"/>
              </w:rPr>
              <w:t>114</w:t>
            </w:r>
          </w:p>
        </w:tc>
      </w:tr>
      <w:tr w:rsidR="00A9612C" w:rsidRPr="00A9612C" w:rsidTr="007654DF">
        <w:trPr>
          <w:cantSplit/>
          <w:jc w:val="center"/>
        </w:trPr>
        <w:tc>
          <w:tcPr>
            <w:tcW w:w="276"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2</w:t>
            </w:r>
          </w:p>
        </w:tc>
        <w:tc>
          <w:tcPr>
            <w:tcW w:w="1109"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NO</w:t>
            </w:r>
            <w:r w:rsidRPr="00A9612C">
              <w:rPr>
                <w:rFonts w:ascii="Lato" w:hAnsi="Lato"/>
                <w:color w:val="17365D"/>
                <w:sz w:val="20"/>
                <w:szCs w:val="20"/>
                <w:vertAlign w:val="subscript"/>
              </w:rPr>
              <w:t>x</w:t>
            </w:r>
          </w:p>
        </w:tc>
        <w:tc>
          <w:tcPr>
            <w:tcW w:w="724"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Mg/rok</w:t>
            </w:r>
          </w:p>
        </w:tc>
        <w:tc>
          <w:tcPr>
            <w:tcW w:w="964" w:type="pct"/>
            <w:tcBorders>
              <w:top w:val="single" w:sz="2" w:space="0" w:color="4F81BD"/>
              <w:left w:val="single" w:sz="2" w:space="0" w:color="4F81BD"/>
              <w:bottom w:val="single" w:sz="2" w:space="0" w:color="4F81BD"/>
              <w:right w:val="single" w:sz="2" w:space="0" w:color="4F81BD"/>
            </w:tcBorders>
            <w:vAlign w:val="center"/>
            <w:hideMark/>
          </w:tcPr>
          <w:p w:rsidR="00A9612C" w:rsidRPr="00A9612C" w:rsidRDefault="00A9612C" w:rsidP="00A9612C">
            <w:pPr>
              <w:spacing w:before="40" w:after="40" w:line="240" w:lineRule="auto"/>
              <w:ind w:left="-532"/>
              <w:jc w:val="center"/>
              <w:rPr>
                <w:rFonts w:ascii="Lato" w:hAnsi="Lato"/>
                <w:color w:val="17365D"/>
                <w:sz w:val="20"/>
                <w:szCs w:val="20"/>
              </w:rPr>
            </w:pPr>
            <w:r w:rsidRPr="00A9612C">
              <w:rPr>
                <w:rFonts w:ascii="Lato" w:hAnsi="Lato"/>
                <w:color w:val="17365D"/>
                <w:sz w:val="20"/>
                <w:szCs w:val="20"/>
              </w:rPr>
              <w:t>21</w:t>
            </w:r>
          </w:p>
        </w:tc>
        <w:tc>
          <w:tcPr>
            <w:tcW w:w="964"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spacing w:before="40" w:after="40" w:line="240" w:lineRule="auto"/>
              <w:ind w:left="-532"/>
              <w:jc w:val="center"/>
              <w:rPr>
                <w:rFonts w:ascii="Lato" w:hAnsi="Lato"/>
                <w:color w:val="17365D"/>
                <w:sz w:val="20"/>
                <w:szCs w:val="20"/>
              </w:rPr>
            </w:pPr>
            <w:r w:rsidRPr="00A9612C">
              <w:rPr>
                <w:rFonts w:ascii="Lato" w:hAnsi="Lato"/>
                <w:color w:val="17365D"/>
                <w:sz w:val="20"/>
                <w:szCs w:val="20"/>
              </w:rPr>
              <w:t>189</w:t>
            </w:r>
          </w:p>
        </w:tc>
        <w:tc>
          <w:tcPr>
            <w:tcW w:w="963"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spacing w:before="40" w:after="40" w:line="240" w:lineRule="auto"/>
              <w:ind w:left="-532"/>
              <w:jc w:val="center"/>
              <w:rPr>
                <w:rFonts w:ascii="Lato" w:hAnsi="Lato"/>
                <w:color w:val="17365D"/>
                <w:sz w:val="20"/>
                <w:szCs w:val="20"/>
              </w:rPr>
            </w:pPr>
            <w:r w:rsidRPr="00A9612C">
              <w:rPr>
                <w:rFonts w:ascii="Lato" w:hAnsi="Lato"/>
                <w:color w:val="17365D"/>
                <w:sz w:val="20"/>
                <w:szCs w:val="20"/>
              </w:rPr>
              <w:t>210</w:t>
            </w:r>
          </w:p>
        </w:tc>
      </w:tr>
      <w:tr w:rsidR="00A9612C" w:rsidRPr="00A9612C" w:rsidTr="007654DF">
        <w:trPr>
          <w:cantSplit/>
          <w:jc w:val="center"/>
        </w:trPr>
        <w:tc>
          <w:tcPr>
            <w:tcW w:w="276"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3</w:t>
            </w:r>
          </w:p>
        </w:tc>
        <w:tc>
          <w:tcPr>
            <w:tcW w:w="1109"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CO</w:t>
            </w:r>
          </w:p>
        </w:tc>
        <w:tc>
          <w:tcPr>
            <w:tcW w:w="724"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Mg/rok</w:t>
            </w:r>
          </w:p>
        </w:tc>
        <w:tc>
          <w:tcPr>
            <w:tcW w:w="964" w:type="pct"/>
            <w:tcBorders>
              <w:top w:val="single" w:sz="2" w:space="0" w:color="4F81BD"/>
              <w:left w:val="single" w:sz="2" w:space="0" w:color="4F81BD"/>
              <w:bottom w:val="single" w:sz="2" w:space="0" w:color="4F81BD"/>
              <w:right w:val="single" w:sz="2" w:space="0" w:color="4F81BD"/>
            </w:tcBorders>
            <w:vAlign w:val="center"/>
            <w:hideMark/>
          </w:tcPr>
          <w:p w:rsidR="00A9612C" w:rsidRPr="00A9612C" w:rsidRDefault="00A9612C" w:rsidP="00A9612C">
            <w:pPr>
              <w:spacing w:before="40" w:after="40" w:line="240" w:lineRule="auto"/>
              <w:ind w:left="-532"/>
              <w:jc w:val="center"/>
              <w:rPr>
                <w:rFonts w:ascii="Lato" w:hAnsi="Lato"/>
                <w:color w:val="17365D"/>
                <w:sz w:val="20"/>
                <w:szCs w:val="20"/>
              </w:rPr>
            </w:pPr>
            <w:r w:rsidRPr="00A9612C">
              <w:rPr>
                <w:rFonts w:ascii="Lato" w:hAnsi="Lato"/>
                <w:color w:val="17365D"/>
                <w:sz w:val="20"/>
                <w:szCs w:val="20"/>
              </w:rPr>
              <w:t>594</w:t>
            </w:r>
          </w:p>
        </w:tc>
        <w:tc>
          <w:tcPr>
            <w:tcW w:w="964"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spacing w:before="40" w:after="40" w:line="240" w:lineRule="auto"/>
              <w:ind w:left="-532"/>
              <w:jc w:val="center"/>
              <w:rPr>
                <w:rFonts w:ascii="Lato" w:hAnsi="Lato"/>
                <w:color w:val="17365D"/>
                <w:sz w:val="20"/>
                <w:szCs w:val="20"/>
              </w:rPr>
            </w:pPr>
            <w:r w:rsidRPr="00A9612C">
              <w:rPr>
                <w:rFonts w:ascii="Lato" w:hAnsi="Lato"/>
                <w:color w:val="17365D"/>
                <w:sz w:val="20"/>
                <w:szCs w:val="20"/>
              </w:rPr>
              <w:t>430</w:t>
            </w:r>
          </w:p>
        </w:tc>
        <w:tc>
          <w:tcPr>
            <w:tcW w:w="963"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spacing w:before="40" w:after="40" w:line="240" w:lineRule="auto"/>
              <w:ind w:left="-532"/>
              <w:jc w:val="center"/>
              <w:rPr>
                <w:rFonts w:ascii="Lato" w:hAnsi="Lato"/>
                <w:color w:val="17365D"/>
                <w:sz w:val="20"/>
                <w:szCs w:val="20"/>
              </w:rPr>
            </w:pPr>
            <w:r w:rsidRPr="00A9612C">
              <w:rPr>
                <w:rFonts w:ascii="Lato" w:hAnsi="Lato"/>
                <w:color w:val="17365D"/>
                <w:sz w:val="20"/>
                <w:szCs w:val="20"/>
              </w:rPr>
              <w:t>1 024</w:t>
            </w:r>
          </w:p>
        </w:tc>
      </w:tr>
      <w:tr w:rsidR="00A9612C" w:rsidRPr="00A9612C" w:rsidTr="007654DF">
        <w:trPr>
          <w:cantSplit/>
          <w:jc w:val="center"/>
        </w:trPr>
        <w:tc>
          <w:tcPr>
            <w:tcW w:w="276"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4</w:t>
            </w:r>
          </w:p>
        </w:tc>
        <w:tc>
          <w:tcPr>
            <w:tcW w:w="1109"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pył</w:t>
            </w:r>
          </w:p>
        </w:tc>
        <w:tc>
          <w:tcPr>
            <w:tcW w:w="724"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Mg/rok</w:t>
            </w:r>
          </w:p>
        </w:tc>
        <w:tc>
          <w:tcPr>
            <w:tcW w:w="964" w:type="pct"/>
            <w:tcBorders>
              <w:top w:val="single" w:sz="2" w:space="0" w:color="4F81BD"/>
              <w:left w:val="single" w:sz="2" w:space="0" w:color="4F81BD"/>
              <w:bottom w:val="single" w:sz="2" w:space="0" w:color="4F81BD"/>
              <w:right w:val="single" w:sz="2" w:space="0" w:color="4F81BD"/>
            </w:tcBorders>
            <w:vAlign w:val="center"/>
            <w:hideMark/>
          </w:tcPr>
          <w:p w:rsidR="00A9612C" w:rsidRPr="00A9612C" w:rsidRDefault="00A9612C" w:rsidP="00A9612C">
            <w:pPr>
              <w:ind w:firstLine="0"/>
              <w:jc w:val="center"/>
              <w:rPr>
                <w:rFonts w:cs="Arial"/>
                <w:sz w:val="20"/>
                <w:szCs w:val="20"/>
              </w:rPr>
            </w:pPr>
            <w:r w:rsidRPr="00A9612C">
              <w:rPr>
                <w:rFonts w:cs="Arial"/>
                <w:sz w:val="20"/>
                <w:szCs w:val="20"/>
              </w:rPr>
              <w:t>152</w:t>
            </w:r>
          </w:p>
        </w:tc>
        <w:tc>
          <w:tcPr>
            <w:tcW w:w="964"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ind w:firstLine="0"/>
              <w:jc w:val="center"/>
              <w:rPr>
                <w:rFonts w:cs="Arial"/>
                <w:sz w:val="20"/>
                <w:szCs w:val="20"/>
              </w:rPr>
            </w:pPr>
            <w:r w:rsidRPr="00A9612C">
              <w:rPr>
                <w:rFonts w:cs="Arial"/>
                <w:sz w:val="20"/>
                <w:szCs w:val="20"/>
              </w:rPr>
              <w:t>10</w:t>
            </w:r>
          </w:p>
        </w:tc>
        <w:tc>
          <w:tcPr>
            <w:tcW w:w="963"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ind w:firstLine="0"/>
              <w:jc w:val="center"/>
              <w:rPr>
                <w:rFonts w:cs="Arial"/>
                <w:sz w:val="20"/>
                <w:szCs w:val="20"/>
              </w:rPr>
            </w:pPr>
            <w:r w:rsidRPr="00A9612C">
              <w:rPr>
                <w:rFonts w:cs="Arial"/>
                <w:sz w:val="20"/>
                <w:szCs w:val="20"/>
              </w:rPr>
              <w:t>162</w:t>
            </w:r>
          </w:p>
        </w:tc>
      </w:tr>
      <w:tr w:rsidR="00A9612C" w:rsidRPr="00A9612C" w:rsidTr="007654DF">
        <w:trPr>
          <w:cantSplit/>
          <w:jc w:val="center"/>
        </w:trPr>
        <w:tc>
          <w:tcPr>
            <w:tcW w:w="276"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5</w:t>
            </w:r>
          </w:p>
        </w:tc>
        <w:tc>
          <w:tcPr>
            <w:tcW w:w="1109"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B(a)P</w:t>
            </w:r>
          </w:p>
        </w:tc>
        <w:tc>
          <w:tcPr>
            <w:tcW w:w="724"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kg/rok</w:t>
            </w:r>
          </w:p>
        </w:tc>
        <w:tc>
          <w:tcPr>
            <w:tcW w:w="964" w:type="pct"/>
            <w:tcBorders>
              <w:top w:val="single" w:sz="2" w:space="0" w:color="4F81BD"/>
              <w:left w:val="single" w:sz="2" w:space="0" w:color="4F81BD"/>
              <w:bottom w:val="single" w:sz="2" w:space="0" w:color="4F81BD"/>
              <w:right w:val="single" w:sz="2" w:space="0" w:color="4F81BD"/>
            </w:tcBorders>
            <w:vAlign w:val="center"/>
            <w:hideMark/>
          </w:tcPr>
          <w:p w:rsidR="00A9612C" w:rsidRPr="00A9612C" w:rsidRDefault="00A9612C" w:rsidP="00A9612C">
            <w:pPr>
              <w:ind w:firstLine="0"/>
              <w:jc w:val="center"/>
              <w:rPr>
                <w:rFonts w:cs="Arial"/>
                <w:sz w:val="20"/>
                <w:szCs w:val="20"/>
              </w:rPr>
            </w:pPr>
            <w:r w:rsidRPr="00A9612C">
              <w:rPr>
                <w:rFonts w:cs="Arial"/>
                <w:sz w:val="20"/>
                <w:szCs w:val="20"/>
              </w:rPr>
              <w:t>117</w:t>
            </w:r>
          </w:p>
        </w:tc>
        <w:tc>
          <w:tcPr>
            <w:tcW w:w="964"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ind w:firstLine="0"/>
              <w:jc w:val="center"/>
              <w:rPr>
                <w:rFonts w:cs="Arial"/>
                <w:sz w:val="20"/>
                <w:szCs w:val="20"/>
              </w:rPr>
            </w:pPr>
            <w:r w:rsidRPr="00A9612C">
              <w:rPr>
                <w:rFonts w:cs="Arial"/>
                <w:sz w:val="20"/>
                <w:szCs w:val="20"/>
              </w:rPr>
              <w:t>0</w:t>
            </w:r>
          </w:p>
        </w:tc>
        <w:tc>
          <w:tcPr>
            <w:tcW w:w="963"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ind w:firstLine="0"/>
              <w:jc w:val="center"/>
              <w:rPr>
                <w:rFonts w:cs="Arial"/>
                <w:sz w:val="20"/>
                <w:szCs w:val="20"/>
              </w:rPr>
            </w:pPr>
            <w:r w:rsidRPr="00A9612C">
              <w:rPr>
                <w:rFonts w:cs="Arial"/>
                <w:sz w:val="20"/>
                <w:szCs w:val="20"/>
              </w:rPr>
              <w:t>117</w:t>
            </w:r>
          </w:p>
        </w:tc>
      </w:tr>
      <w:tr w:rsidR="00A9612C" w:rsidRPr="00A9612C" w:rsidTr="007654DF">
        <w:trPr>
          <w:cantSplit/>
          <w:jc w:val="center"/>
        </w:trPr>
        <w:tc>
          <w:tcPr>
            <w:tcW w:w="276"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6</w:t>
            </w:r>
          </w:p>
        </w:tc>
        <w:tc>
          <w:tcPr>
            <w:tcW w:w="1109"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CO</w:t>
            </w:r>
            <w:r w:rsidRPr="00A9612C">
              <w:rPr>
                <w:rFonts w:ascii="Lato" w:hAnsi="Lato"/>
                <w:color w:val="17365D"/>
                <w:sz w:val="20"/>
                <w:szCs w:val="20"/>
                <w:vertAlign w:val="subscript"/>
              </w:rPr>
              <w:t>2</w:t>
            </w:r>
          </w:p>
        </w:tc>
        <w:tc>
          <w:tcPr>
            <w:tcW w:w="724" w:type="pct"/>
            <w:tcBorders>
              <w:top w:val="single" w:sz="2" w:space="0" w:color="4F81BD"/>
              <w:left w:val="single" w:sz="2" w:space="0" w:color="4F81BD"/>
              <w:bottom w:val="single" w:sz="2" w:space="0" w:color="4F81BD"/>
              <w:right w:val="single" w:sz="2" w:space="0" w:color="4F81BD"/>
            </w:tcBorders>
            <w:noWrap/>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Mg/rok</w:t>
            </w:r>
          </w:p>
        </w:tc>
        <w:tc>
          <w:tcPr>
            <w:tcW w:w="964" w:type="pct"/>
            <w:tcBorders>
              <w:top w:val="single" w:sz="2" w:space="0" w:color="4F81BD"/>
              <w:left w:val="single" w:sz="2" w:space="0" w:color="4F81BD"/>
              <w:bottom w:val="single" w:sz="2" w:space="0" w:color="4F81BD"/>
              <w:right w:val="single" w:sz="2" w:space="0" w:color="4F81BD"/>
            </w:tcBorders>
            <w:vAlign w:val="center"/>
            <w:hideMark/>
          </w:tcPr>
          <w:p w:rsidR="00A9612C" w:rsidRPr="00A9612C" w:rsidRDefault="00A9612C" w:rsidP="00A9612C">
            <w:pPr>
              <w:ind w:firstLine="0"/>
              <w:jc w:val="center"/>
              <w:rPr>
                <w:rFonts w:cs="Arial"/>
                <w:sz w:val="20"/>
                <w:szCs w:val="20"/>
              </w:rPr>
            </w:pPr>
            <w:r w:rsidRPr="00A9612C">
              <w:rPr>
                <w:rFonts w:cs="Arial"/>
                <w:sz w:val="20"/>
                <w:szCs w:val="20"/>
              </w:rPr>
              <w:t>15 468</w:t>
            </w:r>
          </w:p>
        </w:tc>
        <w:tc>
          <w:tcPr>
            <w:tcW w:w="964"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ind w:firstLine="0"/>
              <w:jc w:val="center"/>
              <w:rPr>
                <w:rFonts w:cs="Arial"/>
                <w:sz w:val="20"/>
                <w:szCs w:val="20"/>
              </w:rPr>
            </w:pPr>
            <w:r w:rsidRPr="00A9612C">
              <w:rPr>
                <w:rFonts w:cs="Arial"/>
                <w:sz w:val="20"/>
                <w:szCs w:val="20"/>
              </w:rPr>
              <w:t>39 082</w:t>
            </w:r>
          </w:p>
        </w:tc>
        <w:tc>
          <w:tcPr>
            <w:tcW w:w="963" w:type="pct"/>
            <w:tcBorders>
              <w:top w:val="single" w:sz="2" w:space="0" w:color="4F81BD"/>
              <w:left w:val="single" w:sz="2" w:space="0" w:color="4F81BD"/>
              <w:bottom w:val="single" w:sz="2" w:space="0" w:color="4F81BD"/>
              <w:right w:val="single" w:sz="2" w:space="0" w:color="4F81BD"/>
            </w:tcBorders>
            <w:noWrap/>
            <w:vAlign w:val="center"/>
            <w:hideMark/>
          </w:tcPr>
          <w:p w:rsidR="00A9612C" w:rsidRPr="00A9612C" w:rsidRDefault="00A9612C" w:rsidP="00A9612C">
            <w:pPr>
              <w:ind w:firstLine="0"/>
              <w:jc w:val="center"/>
              <w:rPr>
                <w:rFonts w:cs="Arial"/>
                <w:sz w:val="20"/>
                <w:szCs w:val="20"/>
              </w:rPr>
            </w:pPr>
            <w:r w:rsidRPr="00A9612C">
              <w:rPr>
                <w:rFonts w:cs="Arial"/>
                <w:sz w:val="20"/>
                <w:szCs w:val="20"/>
              </w:rPr>
              <w:t>54 550</w:t>
            </w:r>
          </w:p>
        </w:tc>
      </w:tr>
      <w:tr w:rsidR="00A9612C" w:rsidRPr="00D352C4" w:rsidTr="007654DF">
        <w:trPr>
          <w:cantSplit/>
          <w:jc w:val="center"/>
        </w:trPr>
        <w:tc>
          <w:tcPr>
            <w:tcW w:w="276" w:type="pct"/>
            <w:tcBorders>
              <w:top w:val="single" w:sz="2" w:space="0" w:color="4F81BD"/>
              <w:left w:val="single" w:sz="2" w:space="0" w:color="4F81BD"/>
              <w:bottom w:val="single" w:sz="2" w:space="0" w:color="4F81BD"/>
              <w:right w:val="single" w:sz="2" w:space="0" w:color="4F81BD"/>
            </w:tcBorders>
            <w:shd w:val="clear" w:color="auto" w:fill="F2F2F2"/>
            <w:noWrap/>
            <w:vAlign w:val="center"/>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7</w:t>
            </w:r>
          </w:p>
        </w:tc>
        <w:tc>
          <w:tcPr>
            <w:tcW w:w="1109" w:type="pct"/>
            <w:tcBorders>
              <w:top w:val="single" w:sz="2" w:space="0" w:color="4F81BD"/>
              <w:left w:val="single" w:sz="2" w:space="0" w:color="4F81BD"/>
              <w:bottom w:val="single" w:sz="2" w:space="0" w:color="4F81BD"/>
              <w:right w:val="single" w:sz="2" w:space="0" w:color="4F81BD"/>
            </w:tcBorders>
            <w:shd w:val="clear" w:color="auto" w:fill="F2F2F2"/>
            <w:noWrap/>
            <w:vAlign w:val="center"/>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 xml:space="preserve">Er </w:t>
            </w:r>
          </w:p>
        </w:tc>
        <w:tc>
          <w:tcPr>
            <w:tcW w:w="724" w:type="pct"/>
            <w:tcBorders>
              <w:top w:val="single" w:sz="2" w:space="0" w:color="4F81BD"/>
              <w:left w:val="single" w:sz="2" w:space="0" w:color="4F81BD"/>
              <w:bottom w:val="single" w:sz="2" w:space="0" w:color="4F81BD"/>
              <w:right w:val="single" w:sz="2" w:space="0" w:color="4F81BD"/>
            </w:tcBorders>
            <w:shd w:val="clear" w:color="auto" w:fill="F2F2F2"/>
            <w:noWrap/>
            <w:vAlign w:val="center"/>
            <w:hideMark/>
          </w:tcPr>
          <w:p w:rsidR="00A9612C" w:rsidRPr="00A9612C" w:rsidRDefault="00A9612C" w:rsidP="00D8648F">
            <w:pPr>
              <w:spacing w:before="40" w:after="40" w:line="240" w:lineRule="auto"/>
              <w:ind w:left="-532"/>
              <w:jc w:val="center"/>
              <w:rPr>
                <w:rFonts w:ascii="Lato" w:hAnsi="Lato"/>
                <w:color w:val="17365D"/>
                <w:sz w:val="20"/>
                <w:szCs w:val="20"/>
              </w:rPr>
            </w:pPr>
            <w:r w:rsidRPr="00A9612C">
              <w:rPr>
                <w:rFonts w:ascii="Lato" w:hAnsi="Lato"/>
                <w:color w:val="17365D"/>
                <w:sz w:val="20"/>
                <w:szCs w:val="20"/>
              </w:rPr>
              <w:t>Mg/rok</w:t>
            </w:r>
          </w:p>
        </w:tc>
        <w:tc>
          <w:tcPr>
            <w:tcW w:w="964" w:type="pct"/>
            <w:tcBorders>
              <w:top w:val="single" w:sz="2" w:space="0" w:color="4F81BD"/>
              <w:left w:val="single" w:sz="2" w:space="0" w:color="4F81BD"/>
              <w:bottom w:val="single" w:sz="2" w:space="0" w:color="4F81BD"/>
              <w:right w:val="single" w:sz="2" w:space="0" w:color="4F81BD"/>
            </w:tcBorders>
            <w:shd w:val="clear" w:color="auto" w:fill="F2F2F2"/>
            <w:vAlign w:val="center"/>
            <w:hideMark/>
          </w:tcPr>
          <w:p w:rsidR="00A9612C" w:rsidRPr="00A9612C" w:rsidRDefault="00A9612C" w:rsidP="00A9612C">
            <w:pPr>
              <w:ind w:firstLine="0"/>
              <w:jc w:val="center"/>
              <w:rPr>
                <w:rFonts w:cs="Arial"/>
                <w:sz w:val="20"/>
                <w:szCs w:val="20"/>
              </w:rPr>
            </w:pPr>
            <w:r w:rsidRPr="00A9612C">
              <w:rPr>
                <w:rFonts w:cs="Arial"/>
                <w:sz w:val="20"/>
                <w:szCs w:val="20"/>
              </w:rPr>
              <w:t>1 632</w:t>
            </w:r>
          </w:p>
        </w:tc>
        <w:tc>
          <w:tcPr>
            <w:tcW w:w="964" w:type="pct"/>
            <w:tcBorders>
              <w:top w:val="single" w:sz="2" w:space="0" w:color="4F81BD"/>
              <w:left w:val="single" w:sz="2" w:space="0" w:color="4F81BD"/>
              <w:bottom w:val="single" w:sz="2" w:space="0" w:color="4F81BD"/>
              <w:right w:val="single" w:sz="2" w:space="0" w:color="4F81BD"/>
            </w:tcBorders>
            <w:shd w:val="clear" w:color="auto" w:fill="F2F2F2"/>
            <w:noWrap/>
            <w:vAlign w:val="center"/>
            <w:hideMark/>
          </w:tcPr>
          <w:p w:rsidR="00A9612C" w:rsidRPr="00A9612C" w:rsidRDefault="00A9612C" w:rsidP="00A9612C">
            <w:pPr>
              <w:ind w:firstLine="0"/>
              <w:jc w:val="center"/>
              <w:rPr>
                <w:rFonts w:cs="Arial"/>
                <w:sz w:val="20"/>
                <w:szCs w:val="20"/>
              </w:rPr>
            </w:pPr>
            <w:r w:rsidRPr="00A9612C">
              <w:rPr>
                <w:rFonts w:cs="Arial"/>
                <w:sz w:val="20"/>
                <w:szCs w:val="20"/>
              </w:rPr>
              <w:t>805</w:t>
            </w:r>
          </w:p>
        </w:tc>
        <w:tc>
          <w:tcPr>
            <w:tcW w:w="963" w:type="pct"/>
            <w:tcBorders>
              <w:top w:val="single" w:sz="2" w:space="0" w:color="4F81BD"/>
              <w:left w:val="single" w:sz="2" w:space="0" w:color="4F81BD"/>
              <w:bottom w:val="single" w:sz="2" w:space="0" w:color="4F81BD"/>
              <w:right w:val="single" w:sz="2" w:space="0" w:color="4F81BD"/>
            </w:tcBorders>
            <w:shd w:val="clear" w:color="auto" w:fill="F2F2F2"/>
            <w:noWrap/>
            <w:vAlign w:val="center"/>
            <w:hideMark/>
          </w:tcPr>
          <w:p w:rsidR="00A9612C" w:rsidRPr="00A9612C" w:rsidRDefault="00A9612C" w:rsidP="00A9612C">
            <w:pPr>
              <w:ind w:firstLine="0"/>
              <w:jc w:val="center"/>
              <w:rPr>
                <w:rFonts w:cs="Arial"/>
                <w:sz w:val="20"/>
                <w:szCs w:val="20"/>
              </w:rPr>
            </w:pPr>
            <w:r w:rsidRPr="00A9612C">
              <w:rPr>
                <w:rFonts w:cs="Arial"/>
                <w:sz w:val="20"/>
                <w:szCs w:val="20"/>
              </w:rPr>
              <w:t>2 437</w:t>
            </w:r>
          </w:p>
        </w:tc>
      </w:tr>
    </w:tbl>
    <w:p w:rsidR="00D8648F" w:rsidRPr="00B40544" w:rsidRDefault="00D8648F" w:rsidP="002A4A04">
      <w:pPr>
        <w:ind w:firstLine="0"/>
        <w:jc w:val="center"/>
        <w:rPr>
          <w:rFonts w:ascii="Lato" w:hAnsi="Lato"/>
          <w:bCs/>
          <w:i/>
          <w:spacing w:val="-2"/>
          <w:sz w:val="20"/>
          <w:szCs w:val="20"/>
        </w:rPr>
      </w:pPr>
      <w:r w:rsidRPr="00B40544">
        <w:rPr>
          <w:rFonts w:ascii="Lato" w:hAnsi="Lato"/>
          <w:bCs/>
          <w:i/>
          <w:spacing w:val="-2"/>
          <w:sz w:val="20"/>
          <w:szCs w:val="20"/>
        </w:rPr>
        <w:t xml:space="preserve">Źródło: </w:t>
      </w:r>
      <w:r w:rsidR="00BD0E60">
        <w:rPr>
          <w:rFonts w:ascii="Lato" w:hAnsi="Lato"/>
          <w:bCs/>
          <w:i/>
          <w:spacing w:val="-2"/>
          <w:sz w:val="20"/>
          <w:szCs w:val="20"/>
        </w:rPr>
        <w:t>Analizy własne</w:t>
      </w:r>
    </w:p>
    <w:p w:rsidR="00D8648F" w:rsidRPr="00B40544" w:rsidRDefault="00D8648F" w:rsidP="003E42DF">
      <w:pPr>
        <w:pStyle w:val="tabela"/>
        <w:widowControl/>
        <w:overflowPunct/>
        <w:autoSpaceDE/>
        <w:adjustRightInd/>
        <w:spacing w:before="0" w:line="312" w:lineRule="auto"/>
        <w:ind w:firstLine="709"/>
        <w:rPr>
          <w:rFonts w:ascii="Lato" w:hAnsi="Lato"/>
          <w:sz w:val="22"/>
          <w:szCs w:val="22"/>
        </w:rPr>
      </w:pPr>
      <w:r w:rsidRPr="00B40544">
        <w:rPr>
          <w:rFonts w:ascii="Lato" w:hAnsi="Lato"/>
          <w:sz w:val="22"/>
          <w:szCs w:val="22"/>
        </w:rPr>
        <w:t xml:space="preserve">Udział punktowych, rozproszonych i liniowych źródeł w całkowitej emisji poszczególnych substancji do atmosfery przedstawia rysunek </w:t>
      </w:r>
      <w:r w:rsidR="00D51AFD" w:rsidRPr="00B40544">
        <w:rPr>
          <w:rFonts w:ascii="Lato" w:hAnsi="Lato"/>
          <w:sz w:val="22"/>
          <w:szCs w:val="22"/>
        </w:rPr>
        <w:t>2</w:t>
      </w:r>
      <w:r w:rsidRPr="00B40544">
        <w:rPr>
          <w:rFonts w:ascii="Lato" w:hAnsi="Lato"/>
          <w:sz w:val="22"/>
          <w:szCs w:val="22"/>
        </w:rPr>
        <w:t>-</w:t>
      </w:r>
      <w:r w:rsidR="00D51AFD" w:rsidRPr="00B40544">
        <w:rPr>
          <w:rFonts w:ascii="Lato" w:hAnsi="Lato"/>
          <w:sz w:val="22"/>
          <w:szCs w:val="22"/>
        </w:rPr>
        <w:t>2</w:t>
      </w:r>
      <w:r w:rsidR="00B40544">
        <w:rPr>
          <w:rFonts w:ascii="Lato" w:hAnsi="Lato"/>
          <w:sz w:val="22"/>
          <w:szCs w:val="22"/>
        </w:rPr>
        <w:t>0</w:t>
      </w:r>
      <w:r w:rsidRPr="00B40544">
        <w:rPr>
          <w:rFonts w:ascii="Lato" w:hAnsi="Lato"/>
          <w:sz w:val="22"/>
          <w:szCs w:val="22"/>
        </w:rPr>
        <w:t>.</w:t>
      </w:r>
    </w:p>
    <w:p w:rsidR="003E42DF" w:rsidRPr="003E42DF" w:rsidRDefault="003E42DF" w:rsidP="003E42DF">
      <w:pPr>
        <w:pStyle w:val="tabela"/>
        <w:widowControl/>
        <w:overflowPunct/>
        <w:autoSpaceDE/>
        <w:adjustRightInd/>
        <w:spacing w:before="0" w:line="312" w:lineRule="auto"/>
        <w:ind w:firstLine="709"/>
        <w:rPr>
          <w:rFonts w:ascii="Lato" w:hAnsi="Lato"/>
          <w:sz w:val="22"/>
          <w:szCs w:val="22"/>
        </w:rPr>
      </w:pPr>
    </w:p>
    <w:p w:rsidR="00D8648F" w:rsidRPr="0036328A" w:rsidRDefault="0036328A" w:rsidP="00D8648F">
      <w:pPr>
        <w:pStyle w:val="tabela"/>
        <w:widowControl/>
        <w:overflowPunct/>
        <w:autoSpaceDE/>
        <w:adjustRightInd/>
        <w:spacing w:before="0" w:line="240" w:lineRule="auto"/>
        <w:ind w:firstLine="0"/>
        <w:jc w:val="center"/>
        <w:rPr>
          <w:rFonts w:ascii="Lato" w:hAnsi="Lato"/>
        </w:rPr>
      </w:pPr>
      <w:r w:rsidRPr="0036328A">
        <w:rPr>
          <w:noProof/>
        </w:rPr>
        <w:lastRenderedPageBreak/>
        <w:drawing>
          <wp:inline distT="0" distB="0" distL="0" distR="0" wp14:anchorId="7A96DCC7" wp14:editId="08A0C64B">
            <wp:extent cx="5977255" cy="3393124"/>
            <wp:effectExtent l="0" t="0" r="4445" b="0"/>
            <wp:docPr id="4780" name="Obraz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7255" cy="3393124"/>
                    </a:xfrm>
                    <a:prstGeom prst="rect">
                      <a:avLst/>
                    </a:prstGeom>
                    <a:noFill/>
                    <a:ln>
                      <a:noFill/>
                    </a:ln>
                  </pic:spPr>
                </pic:pic>
              </a:graphicData>
            </a:graphic>
          </wp:inline>
        </w:drawing>
      </w:r>
    </w:p>
    <w:p w:rsidR="00D8648F" w:rsidRPr="0036328A" w:rsidRDefault="00D8648F" w:rsidP="002B008B">
      <w:pPr>
        <w:pStyle w:val="Legenda"/>
        <w:jc w:val="center"/>
        <w:rPr>
          <w:rFonts w:ascii="Lato" w:hAnsi="Lato"/>
          <w:color w:val="1F497D"/>
          <w:sz w:val="20"/>
          <w:szCs w:val="20"/>
        </w:rPr>
      </w:pPr>
      <w:bookmarkStart w:id="237" w:name="_Toc341695914"/>
      <w:bookmarkStart w:id="238" w:name="_Toc336943697"/>
      <w:bookmarkStart w:id="239" w:name="_Toc336419379"/>
      <w:bookmarkStart w:id="240" w:name="_Toc328633161"/>
      <w:bookmarkStart w:id="241" w:name="_Toc136833644"/>
      <w:bookmarkStart w:id="242" w:name="_Toc405203156"/>
      <w:bookmarkStart w:id="243" w:name="_Toc398029133"/>
      <w:bookmarkStart w:id="244" w:name="_Toc421081742"/>
      <w:bookmarkStart w:id="245" w:name="_Toc20219238"/>
      <w:r w:rsidRPr="0036328A">
        <w:rPr>
          <w:rFonts w:ascii="Lato" w:hAnsi="Lato"/>
          <w:color w:val="1F497D"/>
          <w:sz w:val="20"/>
          <w:szCs w:val="20"/>
        </w:rPr>
        <w:t xml:space="preserve">Rysunek </w:t>
      </w:r>
      <w:r w:rsidR="004042AE" w:rsidRPr="0036328A">
        <w:rPr>
          <w:rFonts w:ascii="Lato" w:hAnsi="Lato"/>
          <w:color w:val="1F497D"/>
          <w:sz w:val="20"/>
          <w:szCs w:val="20"/>
        </w:rPr>
        <w:fldChar w:fldCharType="begin"/>
      </w:r>
      <w:r w:rsidR="005430ED" w:rsidRPr="0036328A">
        <w:rPr>
          <w:rFonts w:ascii="Lato" w:hAnsi="Lato"/>
          <w:color w:val="1F497D"/>
          <w:sz w:val="20"/>
          <w:szCs w:val="20"/>
        </w:rPr>
        <w:instrText xml:space="preserve"> STYLEREF 1 \s </w:instrText>
      </w:r>
      <w:r w:rsidR="004042AE" w:rsidRPr="0036328A">
        <w:rPr>
          <w:rFonts w:ascii="Lato" w:hAnsi="Lato"/>
          <w:color w:val="1F497D"/>
          <w:sz w:val="20"/>
          <w:szCs w:val="20"/>
        </w:rPr>
        <w:fldChar w:fldCharType="separate"/>
      </w:r>
      <w:r w:rsidR="0040205B">
        <w:rPr>
          <w:rFonts w:ascii="Lato" w:hAnsi="Lato"/>
          <w:noProof/>
          <w:color w:val="1F497D"/>
          <w:sz w:val="20"/>
          <w:szCs w:val="20"/>
        </w:rPr>
        <w:t>2</w:t>
      </w:r>
      <w:r w:rsidR="004042AE" w:rsidRPr="0036328A">
        <w:rPr>
          <w:rFonts w:ascii="Lato" w:hAnsi="Lato"/>
          <w:color w:val="1F497D"/>
          <w:sz w:val="20"/>
          <w:szCs w:val="20"/>
        </w:rPr>
        <w:fldChar w:fldCharType="end"/>
      </w:r>
      <w:r w:rsidR="005430ED" w:rsidRPr="0036328A">
        <w:rPr>
          <w:rFonts w:ascii="Lato" w:hAnsi="Lato"/>
          <w:color w:val="1F497D"/>
          <w:sz w:val="20"/>
          <w:szCs w:val="20"/>
        </w:rPr>
        <w:noBreakHyphen/>
      </w:r>
      <w:r w:rsidR="004042AE" w:rsidRPr="0036328A">
        <w:rPr>
          <w:rFonts w:ascii="Lato" w:hAnsi="Lato"/>
          <w:color w:val="1F497D"/>
          <w:sz w:val="20"/>
          <w:szCs w:val="20"/>
        </w:rPr>
        <w:fldChar w:fldCharType="begin"/>
      </w:r>
      <w:r w:rsidR="005430ED" w:rsidRPr="0036328A">
        <w:rPr>
          <w:rFonts w:ascii="Lato" w:hAnsi="Lato"/>
          <w:color w:val="1F497D"/>
          <w:sz w:val="20"/>
          <w:szCs w:val="20"/>
        </w:rPr>
        <w:instrText xml:space="preserve"> SEQ Rysunek \* ARABIC \s 1 </w:instrText>
      </w:r>
      <w:r w:rsidR="004042AE" w:rsidRPr="0036328A">
        <w:rPr>
          <w:rFonts w:ascii="Lato" w:hAnsi="Lato"/>
          <w:color w:val="1F497D"/>
          <w:sz w:val="20"/>
          <w:szCs w:val="20"/>
        </w:rPr>
        <w:fldChar w:fldCharType="separate"/>
      </w:r>
      <w:r w:rsidR="0040205B">
        <w:rPr>
          <w:rFonts w:ascii="Lato" w:hAnsi="Lato"/>
          <w:noProof/>
          <w:color w:val="1F497D"/>
          <w:sz w:val="20"/>
          <w:szCs w:val="20"/>
        </w:rPr>
        <w:t>19</w:t>
      </w:r>
      <w:r w:rsidR="004042AE" w:rsidRPr="0036328A">
        <w:rPr>
          <w:rFonts w:ascii="Lato" w:hAnsi="Lato"/>
          <w:color w:val="1F497D"/>
          <w:sz w:val="20"/>
          <w:szCs w:val="20"/>
        </w:rPr>
        <w:fldChar w:fldCharType="end"/>
      </w:r>
      <w:r w:rsidRPr="0036328A">
        <w:rPr>
          <w:rFonts w:ascii="Lato" w:hAnsi="Lato"/>
          <w:color w:val="1F497D"/>
          <w:sz w:val="20"/>
          <w:szCs w:val="20"/>
        </w:rPr>
        <w:t xml:space="preserve"> Udział rodzajów źródeł emisji w całkowitej emisji poszczególnych zanieczyszczeń do atmosfery w </w:t>
      </w:r>
      <w:bookmarkEnd w:id="237"/>
      <w:bookmarkEnd w:id="238"/>
      <w:bookmarkEnd w:id="239"/>
      <w:bookmarkEnd w:id="240"/>
      <w:bookmarkEnd w:id="241"/>
      <w:r w:rsidR="00C13EDA" w:rsidRPr="0036328A">
        <w:rPr>
          <w:rFonts w:ascii="Lato" w:hAnsi="Lato"/>
          <w:color w:val="1F497D"/>
          <w:sz w:val="20"/>
          <w:szCs w:val="20"/>
          <w:lang w:val="pl-PL"/>
        </w:rPr>
        <w:t xml:space="preserve">Gminie </w:t>
      </w:r>
      <w:r w:rsidR="00E32DC2">
        <w:rPr>
          <w:rFonts w:ascii="Lato" w:hAnsi="Lato"/>
          <w:color w:val="1F497D"/>
          <w:sz w:val="20"/>
          <w:szCs w:val="20"/>
          <w:lang w:val="pl-PL"/>
        </w:rPr>
        <w:t>Pabianice</w:t>
      </w:r>
      <w:r w:rsidRPr="0036328A">
        <w:rPr>
          <w:rFonts w:ascii="Lato" w:hAnsi="Lato"/>
          <w:color w:val="1F497D"/>
          <w:sz w:val="20"/>
          <w:szCs w:val="20"/>
        </w:rPr>
        <w:t xml:space="preserve"> w 201</w:t>
      </w:r>
      <w:r w:rsidR="00C13EDA" w:rsidRPr="0036328A">
        <w:rPr>
          <w:rFonts w:ascii="Lato" w:hAnsi="Lato"/>
          <w:color w:val="1F497D"/>
          <w:sz w:val="20"/>
          <w:szCs w:val="20"/>
          <w:lang w:val="pl-PL"/>
        </w:rPr>
        <w:t>8</w:t>
      </w:r>
      <w:r w:rsidRPr="0036328A">
        <w:rPr>
          <w:rFonts w:ascii="Lato" w:hAnsi="Lato"/>
          <w:color w:val="1F497D"/>
          <w:sz w:val="20"/>
          <w:szCs w:val="20"/>
        </w:rPr>
        <w:t xml:space="preserve"> roku</w:t>
      </w:r>
      <w:bookmarkEnd w:id="242"/>
      <w:bookmarkEnd w:id="243"/>
      <w:bookmarkEnd w:id="244"/>
      <w:bookmarkEnd w:id="245"/>
    </w:p>
    <w:p w:rsidR="00D8648F" w:rsidRPr="00B40544" w:rsidRDefault="00D8648F" w:rsidP="005E7708">
      <w:pPr>
        <w:ind w:firstLine="0"/>
        <w:jc w:val="center"/>
        <w:rPr>
          <w:rFonts w:ascii="Lato" w:hAnsi="Lato"/>
          <w:bCs/>
          <w:i/>
          <w:spacing w:val="-2"/>
          <w:sz w:val="20"/>
          <w:szCs w:val="20"/>
        </w:rPr>
      </w:pPr>
      <w:r w:rsidRPr="0036328A">
        <w:rPr>
          <w:rFonts w:ascii="Lato" w:hAnsi="Lato"/>
          <w:bCs/>
          <w:i/>
          <w:spacing w:val="-2"/>
          <w:sz w:val="20"/>
          <w:szCs w:val="20"/>
        </w:rPr>
        <w:t xml:space="preserve">Źródło: </w:t>
      </w:r>
      <w:r w:rsidR="00BD0E60" w:rsidRPr="0036328A">
        <w:rPr>
          <w:rFonts w:ascii="Lato" w:hAnsi="Lato"/>
          <w:bCs/>
          <w:i/>
          <w:spacing w:val="-2"/>
          <w:sz w:val="20"/>
          <w:szCs w:val="20"/>
        </w:rPr>
        <w:t>A</w:t>
      </w:r>
      <w:r w:rsidRPr="0036328A">
        <w:rPr>
          <w:rFonts w:ascii="Lato" w:hAnsi="Lato"/>
          <w:bCs/>
          <w:i/>
          <w:spacing w:val="-2"/>
          <w:sz w:val="20"/>
          <w:szCs w:val="20"/>
        </w:rPr>
        <w:t>nalizy własne</w:t>
      </w:r>
      <w:r w:rsidRPr="00B40544">
        <w:rPr>
          <w:rFonts w:ascii="Lato" w:hAnsi="Lato"/>
          <w:bCs/>
          <w:i/>
          <w:spacing w:val="-2"/>
          <w:sz w:val="20"/>
          <w:szCs w:val="20"/>
        </w:rPr>
        <w:t xml:space="preserve"> </w:t>
      </w:r>
    </w:p>
    <w:p w:rsidR="005E7708" w:rsidRPr="00D352C4" w:rsidRDefault="005E7708" w:rsidP="009B3DC4">
      <w:pPr>
        <w:widowControl w:val="0"/>
        <w:ind w:firstLine="0"/>
        <w:jc w:val="both"/>
        <w:rPr>
          <w:rFonts w:ascii="Lato" w:hAnsi="Lato"/>
          <w:highlight w:val="yellow"/>
        </w:rPr>
      </w:pPr>
    </w:p>
    <w:p w:rsidR="005E7708" w:rsidRPr="00FE11D6" w:rsidRDefault="00D8648F" w:rsidP="003E42DF">
      <w:pPr>
        <w:widowControl w:val="0"/>
        <w:ind w:firstLine="709"/>
        <w:jc w:val="both"/>
        <w:rPr>
          <w:rFonts w:ascii="Lato" w:hAnsi="Lato"/>
        </w:rPr>
      </w:pPr>
      <w:r w:rsidRPr="00FE11D6">
        <w:rPr>
          <w:rFonts w:ascii="Lato" w:hAnsi="Lato"/>
        </w:rPr>
        <w:t>Widoczny na powyższym zestawieniu największy udział niskiej emisji w emisji całkowitej, niemal wszystkich substancji szkodliwych, potwierdza także wyznaczona emisja równoważna (zastępcza, ekwiwalentna) dla omawianych rodzajów źródeł</w:t>
      </w:r>
      <w:r w:rsidR="002B008B" w:rsidRPr="00FE11D6">
        <w:rPr>
          <w:rFonts w:ascii="Lato" w:hAnsi="Lato"/>
        </w:rPr>
        <w:t xml:space="preserve"> emisji co przedstawia rysunek 2</w:t>
      </w:r>
      <w:r w:rsidRPr="00FE11D6">
        <w:rPr>
          <w:rFonts w:ascii="Lato" w:hAnsi="Lato"/>
        </w:rPr>
        <w:t>-</w:t>
      </w:r>
      <w:r w:rsidR="002B008B" w:rsidRPr="00FE11D6">
        <w:rPr>
          <w:rFonts w:ascii="Lato" w:hAnsi="Lato"/>
        </w:rPr>
        <w:t>2</w:t>
      </w:r>
      <w:r w:rsidR="00B40544" w:rsidRPr="00FE11D6">
        <w:rPr>
          <w:rFonts w:ascii="Lato" w:hAnsi="Lato"/>
        </w:rPr>
        <w:t>1</w:t>
      </w:r>
      <w:r w:rsidRPr="00FE11D6">
        <w:rPr>
          <w:rFonts w:ascii="Lato" w:hAnsi="Lato"/>
        </w:rPr>
        <w:t>.</w:t>
      </w:r>
    </w:p>
    <w:p w:rsidR="003E42DF" w:rsidRPr="00FE11D6" w:rsidRDefault="003E42DF" w:rsidP="00092D91">
      <w:pPr>
        <w:widowControl w:val="0"/>
        <w:ind w:firstLine="624"/>
        <w:jc w:val="both"/>
        <w:rPr>
          <w:rFonts w:ascii="Lato" w:hAnsi="Lato"/>
        </w:rPr>
      </w:pPr>
    </w:p>
    <w:p w:rsidR="00D8648F" w:rsidRPr="0036328A" w:rsidRDefault="0036328A" w:rsidP="00B252F6">
      <w:pPr>
        <w:pStyle w:val="Tekstprzypisudolnego"/>
        <w:keepNext/>
        <w:widowControl w:val="0"/>
        <w:spacing w:before="40" w:after="40"/>
        <w:ind w:firstLine="0"/>
        <w:jc w:val="center"/>
        <w:rPr>
          <w:rFonts w:ascii="Lato" w:hAnsi="Lato"/>
        </w:rPr>
      </w:pPr>
      <w:r w:rsidRPr="0036328A">
        <w:rPr>
          <w:noProof/>
          <w:lang w:val="pl-PL" w:eastAsia="pl-PL"/>
        </w:rPr>
        <w:drawing>
          <wp:inline distT="0" distB="0" distL="0" distR="0" wp14:anchorId="1AE3D270" wp14:editId="310CC617">
            <wp:extent cx="4114800" cy="1847850"/>
            <wp:effectExtent l="0" t="0" r="0" b="0"/>
            <wp:docPr id="4787" name="Wykres 47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8648F" w:rsidRPr="0036328A" w:rsidRDefault="00D8648F" w:rsidP="002B008B">
      <w:pPr>
        <w:pStyle w:val="Legenda"/>
        <w:jc w:val="center"/>
        <w:rPr>
          <w:rFonts w:ascii="Lato" w:hAnsi="Lato"/>
          <w:color w:val="1F497D"/>
          <w:sz w:val="20"/>
          <w:szCs w:val="20"/>
        </w:rPr>
      </w:pPr>
      <w:bookmarkStart w:id="246" w:name="_Toc136833645"/>
      <w:bookmarkStart w:id="247" w:name="_Toc341695915"/>
      <w:bookmarkStart w:id="248" w:name="_Toc336943698"/>
      <w:bookmarkStart w:id="249" w:name="_Toc336419380"/>
      <w:bookmarkStart w:id="250" w:name="_Toc328633162"/>
      <w:bookmarkStart w:id="251" w:name="_Toc405203157"/>
      <w:bookmarkStart w:id="252" w:name="_Toc398029134"/>
      <w:bookmarkStart w:id="253" w:name="_Toc421081743"/>
      <w:bookmarkStart w:id="254" w:name="_Toc20219239"/>
      <w:r w:rsidRPr="0036328A">
        <w:rPr>
          <w:rFonts w:ascii="Lato" w:hAnsi="Lato"/>
          <w:color w:val="1F497D"/>
          <w:sz w:val="20"/>
          <w:szCs w:val="20"/>
        </w:rPr>
        <w:t xml:space="preserve">Rysunek </w:t>
      </w:r>
      <w:r w:rsidR="004042AE" w:rsidRPr="0036328A">
        <w:rPr>
          <w:rFonts w:ascii="Lato" w:hAnsi="Lato"/>
          <w:color w:val="1F497D"/>
          <w:sz w:val="20"/>
          <w:szCs w:val="20"/>
        </w:rPr>
        <w:fldChar w:fldCharType="begin"/>
      </w:r>
      <w:r w:rsidR="005430ED" w:rsidRPr="0036328A">
        <w:rPr>
          <w:rFonts w:ascii="Lato" w:hAnsi="Lato"/>
          <w:color w:val="1F497D"/>
          <w:sz w:val="20"/>
          <w:szCs w:val="20"/>
        </w:rPr>
        <w:instrText xml:space="preserve"> STYLEREF 1 \s </w:instrText>
      </w:r>
      <w:r w:rsidR="004042AE" w:rsidRPr="0036328A">
        <w:rPr>
          <w:rFonts w:ascii="Lato" w:hAnsi="Lato"/>
          <w:color w:val="1F497D"/>
          <w:sz w:val="20"/>
          <w:szCs w:val="20"/>
        </w:rPr>
        <w:fldChar w:fldCharType="separate"/>
      </w:r>
      <w:r w:rsidR="0040205B">
        <w:rPr>
          <w:rFonts w:ascii="Lato" w:hAnsi="Lato"/>
          <w:noProof/>
          <w:color w:val="1F497D"/>
          <w:sz w:val="20"/>
          <w:szCs w:val="20"/>
        </w:rPr>
        <w:t>2</w:t>
      </w:r>
      <w:r w:rsidR="004042AE" w:rsidRPr="0036328A">
        <w:rPr>
          <w:rFonts w:ascii="Lato" w:hAnsi="Lato"/>
          <w:color w:val="1F497D"/>
          <w:sz w:val="20"/>
          <w:szCs w:val="20"/>
        </w:rPr>
        <w:fldChar w:fldCharType="end"/>
      </w:r>
      <w:r w:rsidR="005430ED" w:rsidRPr="0036328A">
        <w:rPr>
          <w:rFonts w:ascii="Lato" w:hAnsi="Lato"/>
          <w:color w:val="1F497D"/>
          <w:sz w:val="20"/>
          <w:szCs w:val="20"/>
        </w:rPr>
        <w:noBreakHyphen/>
      </w:r>
      <w:r w:rsidR="004042AE" w:rsidRPr="0036328A">
        <w:rPr>
          <w:rFonts w:ascii="Lato" w:hAnsi="Lato"/>
          <w:color w:val="1F497D"/>
          <w:sz w:val="20"/>
          <w:szCs w:val="20"/>
        </w:rPr>
        <w:fldChar w:fldCharType="begin"/>
      </w:r>
      <w:r w:rsidR="005430ED" w:rsidRPr="0036328A">
        <w:rPr>
          <w:rFonts w:ascii="Lato" w:hAnsi="Lato"/>
          <w:color w:val="1F497D"/>
          <w:sz w:val="20"/>
          <w:szCs w:val="20"/>
        </w:rPr>
        <w:instrText xml:space="preserve"> SEQ Rysunek \* ARABIC \s 1 </w:instrText>
      </w:r>
      <w:r w:rsidR="004042AE" w:rsidRPr="0036328A">
        <w:rPr>
          <w:rFonts w:ascii="Lato" w:hAnsi="Lato"/>
          <w:color w:val="1F497D"/>
          <w:sz w:val="20"/>
          <w:szCs w:val="20"/>
        </w:rPr>
        <w:fldChar w:fldCharType="separate"/>
      </w:r>
      <w:r w:rsidR="0040205B">
        <w:rPr>
          <w:rFonts w:ascii="Lato" w:hAnsi="Lato"/>
          <w:noProof/>
          <w:color w:val="1F497D"/>
          <w:sz w:val="20"/>
          <w:szCs w:val="20"/>
        </w:rPr>
        <w:t>20</w:t>
      </w:r>
      <w:r w:rsidR="004042AE" w:rsidRPr="0036328A">
        <w:rPr>
          <w:rFonts w:ascii="Lato" w:hAnsi="Lato"/>
          <w:color w:val="1F497D"/>
          <w:sz w:val="20"/>
          <w:szCs w:val="20"/>
        </w:rPr>
        <w:fldChar w:fldCharType="end"/>
      </w:r>
      <w:r w:rsidRPr="0036328A">
        <w:rPr>
          <w:rFonts w:ascii="Lato" w:hAnsi="Lato"/>
          <w:color w:val="1F497D"/>
          <w:sz w:val="20"/>
          <w:szCs w:val="20"/>
        </w:rPr>
        <w:t xml:space="preserve"> Udział emisji zastępczej z poszczególnych źródeł emisji w całkowitej emisji substancji szkodliwych przeliczonych na emisję równoważną SO</w:t>
      </w:r>
      <w:r w:rsidRPr="0036328A">
        <w:rPr>
          <w:rFonts w:ascii="Lato" w:hAnsi="Lato"/>
          <w:color w:val="1F497D"/>
          <w:sz w:val="20"/>
          <w:szCs w:val="20"/>
          <w:vertAlign w:val="subscript"/>
        </w:rPr>
        <w:t>2</w:t>
      </w:r>
      <w:bookmarkEnd w:id="246"/>
      <w:r w:rsidRPr="0036328A">
        <w:rPr>
          <w:rFonts w:ascii="Lato" w:hAnsi="Lato"/>
          <w:color w:val="1F497D"/>
          <w:sz w:val="20"/>
          <w:szCs w:val="20"/>
        </w:rPr>
        <w:t xml:space="preserve">w </w:t>
      </w:r>
      <w:bookmarkEnd w:id="247"/>
      <w:bookmarkEnd w:id="248"/>
      <w:bookmarkEnd w:id="249"/>
      <w:bookmarkEnd w:id="250"/>
      <w:r w:rsidR="00C13EDA" w:rsidRPr="0036328A">
        <w:rPr>
          <w:rFonts w:ascii="Lato" w:hAnsi="Lato"/>
          <w:color w:val="1F497D"/>
          <w:sz w:val="20"/>
          <w:szCs w:val="20"/>
          <w:lang w:val="pl-PL"/>
        </w:rPr>
        <w:t xml:space="preserve">Gminie </w:t>
      </w:r>
      <w:r w:rsidR="00FE11D6" w:rsidRPr="0036328A">
        <w:rPr>
          <w:rFonts w:ascii="Lato" w:hAnsi="Lato"/>
          <w:color w:val="1F497D"/>
          <w:sz w:val="20"/>
          <w:szCs w:val="20"/>
          <w:lang w:val="pl-PL"/>
        </w:rPr>
        <w:t>Pabianice</w:t>
      </w:r>
      <w:r w:rsidRPr="0036328A">
        <w:rPr>
          <w:rFonts w:ascii="Lato" w:hAnsi="Lato"/>
          <w:color w:val="1F497D"/>
          <w:sz w:val="20"/>
          <w:szCs w:val="20"/>
        </w:rPr>
        <w:t xml:space="preserve"> w 201</w:t>
      </w:r>
      <w:r w:rsidR="00C13EDA" w:rsidRPr="0036328A">
        <w:rPr>
          <w:rFonts w:ascii="Lato" w:hAnsi="Lato"/>
          <w:color w:val="1F497D"/>
          <w:sz w:val="20"/>
          <w:szCs w:val="20"/>
          <w:lang w:val="pl-PL"/>
        </w:rPr>
        <w:t>8</w:t>
      </w:r>
      <w:r w:rsidRPr="0036328A">
        <w:rPr>
          <w:rFonts w:ascii="Lato" w:hAnsi="Lato"/>
          <w:color w:val="1F497D"/>
          <w:sz w:val="20"/>
          <w:szCs w:val="20"/>
        </w:rPr>
        <w:t xml:space="preserve"> roku</w:t>
      </w:r>
      <w:bookmarkEnd w:id="251"/>
      <w:bookmarkEnd w:id="252"/>
      <w:bookmarkEnd w:id="253"/>
      <w:bookmarkEnd w:id="254"/>
    </w:p>
    <w:p w:rsidR="00D8648F" w:rsidRPr="00B40544" w:rsidRDefault="00D8648F" w:rsidP="005E7708">
      <w:pPr>
        <w:ind w:firstLine="0"/>
        <w:jc w:val="center"/>
        <w:rPr>
          <w:rFonts w:ascii="Lato" w:hAnsi="Lato"/>
          <w:bCs/>
          <w:i/>
          <w:spacing w:val="-2"/>
          <w:sz w:val="20"/>
          <w:szCs w:val="20"/>
        </w:rPr>
      </w:pPr>
      <w:r w:rsidRPr="0036328A">
        <w:rPr>
          <w:rFonts w:ascii="Lato" w:hAnsi="Lato"/>
          <w:bCs/>
          <w:i/>
          <w:spacing w:val="-2"/>
          <w:sz w:val="20"/>
          <w:szCs w:val="20"/>
        </w:rPr>
        <w:t xml:space="preserve">Źródło: </w:t>
      </w:r>
      <w:r w:rsidR="00BD0E60" w:rsidRPr="0036328A">
        <w:rPr>
          <w:rFonts w:ascii="Lato" w:hAnsi="Lato"/>
          <w:bCs/>
          <w:i/>
          <w:spacing w:val="-2"/>
          <w:sz w:val="20"/>
          <w:szCs w:val="20"/>
        </w:rPr>
        <w:t>A</w:t>
      </w:r>
      <w:r w:rsidRPr="0036328A">
        <w:rPr>
          <w:rFonts w:ascii="Lato" w:hAnsi="Lato"/>
          <w:bCs/>
          <w:i/>
          <w:spacing w:val="-2"/>
          <w:sz w:val="20"/>
          <w:szCs w:val="20"/>
        </w:rPr>
        <w:t>nalizy własne</w:t>
      </w:r>
      <w:r w:rsidRPr="00B40544">
        <w:rPr>
          <w:rFonts w:ascii="Lato" w:hAnsi="Lato"/>
          <w:bCs/>
          <w:i/>
          <w:spacing w:val="-2"/>
          <w:sz w:val="20"/>
          <w:szCs w:val="20"/>
        </w:rPr>
        <w:t xml:space="preserve"> </w:t>
      </w:r>
    </w:p>
    <w:p w:rsidR="00E05AD8" w:rsidRPr="00D352C4" w:rsidRDefault="00E05AD8" w:rsidP="00D8648F">
      <w:pPr>
        <w:widowControl w:val="0"/>
        <w:ind w:firstLine="624"/>
        <w:jc w:val="both"/>
        <w:rPr>
          <w:rFonts w:ascii="Lato" w:hAnsi="Lato"/>
          <w:highlight w:val="yellow"/>
        </w:rPr>
      </w:pPr>
    </w:p>
    <w:p w:rsidR="00D8648F" w:rsidRPr="00FE11D6" w:rsidRDefault="00D8648F" w:rsidP="003E42DF">
      <w:pPr>
        <w:widowControl w:val="0"/>
        <w:ind w:firstLine="709"/>
        <w:jc w:val="both"/>
        <w:rPr>
          <w:rFonts w:ascii="Lato" w:hAnsi="Lato"/>
        </w:rPr>
      </w:pPr>
      <w:r w:rsidRPr="00FE11D6">
        <w:rPr>
          <w:rFonts w:ascii="Lato" w:hAnsi="Lato"/>
        </w:rPr>
        <w:t>Tak duży udział emisji ze źródeł rozproszonych emitujących zanieczyszczenia w wyniku bezpośredniego spalania paliw na cele grzewcze i socjalno-</w:t>
      </w:r>
      <w:r w:rsidR="00FE11D6" w:rsidRPr="00FE11D6">
        <w:rPr>
          <w:rFonts w:ascii="Lato" w:hAnsi="Lato"/>
        </w:rPr>
        <w:t>bytowe w mieszkalnictwie oraz w </w:t>
      </w:r>
      <w:r w:rsidRPr="00FE11D6">
        <w:rPr>
          <w:rFonts w:ascii="Lato" w:hAnsi="Lato"/>
        </w:rPr>
        <w:t>sektorach handlowo-usługowym nie powinien być wielkim zaskoczeniem.</w:t>
      </w:r>
    </w:p>
    <w:p w:rsidR="00D8648F" w:rsidRPr="00FE11D6" w:rsidRDefault="00D8648F" w:rsidP="003E42DF">
      <w:pPr>
        <w:widowControl w:val="0"/>
        <w:ind w:firstLine="709"/>
        <w:jc w:val="both"/>
        <w:rPr>
          <w:rFonts w:ascii="Lato" w:hAnsi="Lato"/>
        </w:rPr>
      </w:pPr>
      <w:r w:rsidRPr="00FE11D6">
        <w:rPr>
          <w:rFonts w:ascii="Lato" w:hAnsi="Lato"/>
        </w:rPr>
        <w:t>Rodzaj i ilość stosowanych paliw, stan techniczny instalacji grzewczych oraz, co zrozumiałe, brak układów oczyszczania spalin, składają się w sumie na wspomniany efekt.</w:t>
      </w:r>
    </w:p>
    <w:p w:rsidR="00D8648F" w:rsidRPr="00FE11D6" w:rsidRDefault="00D8648F" w:rsidP="003E42DF">
      <w:pPr>
        <w:widowControl w:val="0"/>
        <w:ind w:firstLine="709"/>
        <w:jc w:val="both"/>
        <w:rPr>
          <w:rFonts w:ascii="Lato" w:hAnsi="Lato"/>
        </w:rPr>
      </w:pPr>
      <w:r w:rsidRPr="00FE11D6">
        <w:rPr>
          <w:rFonts w:ascii="Lato" w:hAnsi="Lato"/>
        </w:rPr>
        <w:lastRenderedPageBreak/>
        <w:t xml:space="preserve">Należy także pamiętać, że decydujący wpływ na wielkość emisji zastępczej ma ilość </w:t>
      </w:r>
      <w:r w:rsidR="001F2BEA" w:rsidRPr="00FE11D6">
        <w:rPr>
          <w:rFonts w:ascii="Lato" w:hAnsi="Lato"/>
        </w:rPr>
        <w:t>emitowanego do atmosfery benzo</w:t>
      </w:r>
      <w:r w:rsidR="00D577AA" w:rsidRPr="00FE11D6">
        <w:rPr>
          <w:rFonts w:ascii="Lato" w:hAnsi="Lato"/>
        </w:rPr>
        <w:t>(a)</w:t>
      </w:r>
      <w:r w:rsidRPr="00FE11D6">
        <w:rPr>
          <w:rFonts w:ascii="Lato" w:hAnsi="Lato"/>
        </w:rPr>
        <w:t>pirenu, którego wskaźnik toksyczności jest kilka tysięcy razy większy od tego samego wskaźnika dla dwutlenku siarki.</w:t>
      </w:r>
    </w:p>
    <w:p w:rsidR="00D8648F" w:rsidRPr="000829BF" w:rsidRDefault="001B4479" w:rsidP="003E42DF">
      <w:pPr>
        <w:widowControl w:val="0"/>
        <w:ind w:firstLine="709"/>
        <w:jc w:val="both"/>
        <w:rPr>
          <w:rFonts w:ascii="Lato" w:hAnsi="Lato"/>
        </w:rPr>
      </w:pPr>
      <w:bookmarkStart w:id="255" w:name="_Toc341695841"/>
      <w:bookmarkStart w:id="256" w:name="_Toc336943645"/>
      <w:bookmarkStart w:id="257" w:name="_Toc336419478"/>
      <w:bookmarkStart w:id="258" w:name="_Toc328633035"/>
      <w:r w:rsidRPr="00FE11D6">
        <w:rPr>
          <w:rFonts w:ascii="Lato" w:hAnsi="Lato"/>
        </w:rPr>
        <w:t xml:space="preserve">Wynika stąd, że wszelkie działania zmierzające do poprawy jakości powietrza w Gminie </w:t>
      </w:r>
      <w:r w:rsidR="00FE11D6" w:rsidRPr="00FE11D6">
        <w:rPr>
          <w:rFonts w:ascii="Lato" w:hAnsi="Lato"/>
        </w:rPr>
        <w:t>Pabianice</w:t>
      </w:r>
      <w:r w:rsidRPr="00FE11D6">
        <w:rPr>
          <w:rFonts w:ascii="Lato" w:hAnsi="Lato"/>
        </w:rPr>
        <w:t xml:space="preserve"> powinny w pierwszej kolejności dotyczyć kon</w:t>
      </w:r>
      <w:r w:rsidR="00FE11D6" w:rsidRPr="00FE11D6">
        <w:rPr>
          <w:rFonts w:ascii="Lato" w:hAnsi="Lato"/>
        </w:rPr>
        <w:t>tynuacji programów związanych z </w:t>
      </w:r>
      <w:r w:rsidRPr="000829BF">
        <w:rPr>
          <w:rFonts w:ascii="Lato" w:hAnsi="Lato"/>
        </w:rPr>
        <w:t xml:space="preserve">ograniczeniem niskiej emisji. W celu zmniejszenia emisji na terenie </w:t>
      </w:r>
      <w:r w:rsidR="00FE11D6" w:rsidRPr="000829BF">
        <w:rPr>
          <w:rFonts w:ascii="Lato" w:hAnsi="Lato"/>
        </w:rPr>
        <w:t>gminy</w:t>
      </w:r>
      <w:r w:rsidR="00D03562">
        <w:rPr>
          <w:rFonts w:ascii="Lato" w:hAnsi="Lato"/>
        </w:rPr>
        <w:t xml:space="preserve"> proponuje się </w:t>
      </w:r>
      <w:r w:rsidRPr="000829BF">
        <w:rPr>
          <w:rFonts w:ascii="Lato" w:hAnsi="Lato"/>
        </w:rPr>
        <w:t>kontynuację dopłat do wymiany źródeł ciepła na proekologiczne.</w:t>
      </w:r>
    </w:p>
    <w:bookmarkEnd w:id="255"/>
    <w:bookmarkEnd w:id="256"/>
    <w:bookmarkEnd w:id="257"/>
    <w:bookmarkEnd w:id="258"/>
    <w:p w:rsidR="00230823" w:rsidRPr="000829BF" w:rsidRDefault="00230823" w:rsidP="003E42DF">
      <w:pPr>
        <w:ind w:firstLine="709"/>
        <w:jc w:val="both"/>
        <w:rPr>
          <w:rFonts w:ascii="Lato" w:hAnsi="Lato"/>
        </w:rPr>
      </w:pPr>
    </w:p>
    <w:p w:rsidR="006B024A" w:rsidRPr="000829BF" w:rsidRDefault="006B024A" w:rsidP="00907272">
      <w:pPr>
        <w:pStyle w:val="Nagwek2"/>
        <w:rPr>
          <w:rFonts w:ascii="Lato" w:hAnsi="Lato" w:cs="Times New Roman"/>
        </w:rPr>
      </w:pPr>
      <w:bookmarkStart w:id="259" w:name="_Toc336419316"/>
      <w:bookmarkStart w:id="260" w:name="_Toc336943570"/>
      <w:bookmarkStart w:id="261" w:name="_Toc20218516"/>
      <w:bookmarkEnd w:id="147"/>
      <w:bookmarkEnd w:id="148"/>
      <w:bookmarkEnd w:id="149"/>
      <w:bookmarkEnd w:id="150"/>
      <w:bookmarkEnd w:id="151"/>
      <w:r w:rsidRPr="000829BF">
        <w:rPr>
          <w:rFonts w:ascii="Lato" w:hAnsi="Lato" w:cs="Times New Roman"/>
        </w:rPr>
        <w:t>Koszty energii</w:t>
      </w:r>
      <w:bookmarkEnd w:id="259"/>
      <w:bookmarkEnd w:id="260"/>
      <w:bookmarkEnd w:id="261"/>
    </w:p>
    <w:p w:rsidR="006B024A" w:rsidRPr="000829BF" w:rsidRDefault="001F2BEA" w:rsidP="003E42DF">
      <w:pPr>
        <w:ind w:firstLine="709"/>
        <w:jc w:val="both"/>
        <w:rPr>
          <w:rFonts w:ascii="Lato" w:hAnsi="Lato"/>
        </w:rPr>
      </w:pPr>
      <w:r w:rsidRPr="000829BF">
        <w:rPr>
          <w:rFonts w:ascii="Lato" w:hAnsi="Lato"/>
        </w:rPr>
        <w:t xml:space="preserve">Koszt wytworzenia 1 </w:t>
      </w:r>
      <w:r w:rsidR="006B024A" w:rsidRPr="000829BF">
        <w:rPr>
          <w:rFonts w:ascii="Lato" w:hAnsi="Lato"/>
        </w:rPr>
        <w:t>GJ energii cieplnej do ogrzewania przykładowego budynku jednorodzinnego przy uwzględnieniu średniego kosztu zakupu oraz sprawności urządzeń działających na poszczególne nośniki energii przedstawia rysunek 2-</w:t>
      </w:r>
      <w:r w:rsidR="00482F3D" w:rsidRPr="000829BF">
        <w:rPr>
          <w:rFonts w:ascii="Lato" w:hAnsi="Lato"/>
        </w:rPr>
        <w:t>2</w:t>
      </w:r>
      <w:r w:rsidR="000B1253">
        <w:rPr>
          <w:rFonts w:ascii="Lato" w:hAnsi="Lato"/>
        </w:rPr>
        <w:t>1</w:t>
      </w:r>
      <w:r w:rsidR="006B024A" w:rsidRPr="000829BF">
        <w:rPr>
          <w:rFonts w:ascii="Lato" w:hAnsi="Lato"/>
        </w:rPr>
        <w:t>.</w:t>
      </w:r>
    </w:p>
    <w:p w:rsidR="006B024A" w:rsidRPr="000829BF" w:rsidRDefault="006B024A" w:rsidP="003E42DF">
      <w:pPr>
        <w:ind w:firstLine="709"/>
        <w:jc w:val="both"/>
        <w:rPr>
          <w:rFonts w:ascii="Lato" w:hAnsi="Lato"/>
        </w:rPr>
      </w:pPr>
      <w:r w:rsidRPr="000829BF">
        <w:rPr>
          <w:rFonts w:ascii="Lato" w:hAnsi="Lato"/>
        </w:rPr>
        <w:t>Poniżej zestawiono założenia przyjęte do analizy. Dane o powierzchni budynku jednorodzinnego to średnia dla bu</w:t>
      </w:r>
      <w:r w:rsidR="001D1506" w:rsidRPr="000829BF">
        <w:rPr>
          <w:rFonts w:ascii="Lato" w:hAnsi="Lato"/>
        </w:rPr>
        <w:t xml:space="preserve">dynków istniejących na terenie </w:t>
      </w:r>
      <w:r w:rsidR="00A32F52" w:rsidRPr="000829BF">
        <w:rPr>
          <w:rFonts w:ascii="Lato" w:hAnsi="Lato"/>
        </w:rPr>
        <w:t>gminy</w:t>
      </w:r>
      <w:r w:rsidRPr="000829BF">
        <w:rPr>
          <w:rFonts w:ascii="Lato" w:hAnsi="Lato"/>
        </w:rPr>
        <w:t xml:space="preserve"> wynikająca z danych statystycznych.</w:t>
      </w:r>
    </w:p>
    <w:p w:rsidR="00BB45D7" w:rsidRPr="000829BF" w:rsidRDefault="00BB45D7" w:rsidP="003E42DF">
      <w:pPr>
        <w:ind w:firstLine="709"/>
        <w:jc w:val="both"/>
        <w:rPr>
          <w:rFonts w:ascii="Lato" w:hAnsi="Lato"/>
        </w:rPr>
      </w:pPr>
    </w:p>
    <w:p w:rsidR="006B024A" w:rsidRPr="006C2A99" w:rsidRDefault="006B024A" w:rsidP="00BB45D7">
      <w:pPr>
        <w:pStyle w:val="Legenda"/>
        <w:rPr>
          <w:rFonts w:ascii="Lato" w:hAnsi="Lato"/>
          <w:color w:val="1F497D"/>
          <w:sz w:val="20"/>
          <w:szCs w:val="20"/>
        </w:rPr>
      </w:pPr>
      <w:bookmarkStart w:id="262" w:name="_Toc336419479"/>
      <w:bookmarkStart w:id="263" w:name="_Toc336943646"/>
      <w:bookmarkStart w:id="264" w:name="_Toc20219186"/>
      <w:r w:rsidRPr="006C2A99">
        <w:rPr>
          <w:rFonts w:ascii="Lato" w:hAnsi="Lato"/>
          <w:color w:val="1F497D"/>
          <w:sz w:val="20"/>
          <w:szCs w:val="20"/>
        </w:rPr>
        <w:t xml:space="preserve">Tabela </w:t>
      </w:r>
      <w:r w:rsidR="004042AE" w:rsidRPr="006C2A99">
        <w:rPr>
          <w:rFonts w:ascii="Lato" w:hAnsi="Lato"/>
          <w:color w:val="1F497D"/>
          <w:sz w:val="20"/>
          <w:szCs w:val="20"/>
        </w:rPr>
        <w:fldChar w:fldCharType="begin"/>
      </w:r>
      <w:r w:rsidR="005430ED" w:rsidRPr="006C2A99">
        <w:rPr>
          <w:rFonts w:ascii="Lato" w:hAnsi="Lato"/>
          <w:color w:val="1F497D"/>
          <w:sz w:val="20"/>
          <w:szCs w:val="20"/>
        </w:rPr>
        <w:instrText xml:space="preserve"> STYLEREF 1 \s </w:instrText>
      </w:r>
      <w:r w:rsidR="004042AE" w:rsidRPr="006C2A99">
        <w:rPr>
          <w:rFonts w:ascii="Lato" w:hAnsi="Lato"/>
          <w:color w:val="1F497D"/>
          <w:sz w:val="20"/>
          <w:szCs w:val="20"/>
        </w:rPr>
        <w:fldChar w:fldCharType="separate"/>
      </w:r>
      <w:r w:rsidR="0040205B">
        <w:rPr>
          <w:rFonts w:ascii="Lato" w:hAnsi="Lato"/>
          <w:noProof/>
          <w:color w:val="1F497D"/>
          <w:sz w:val="20"/>
          <w:szCs w:val="20"/>
        </w:rPr>
        <w:t>2</w:t>
      </w:r>
      <w:r w:rsidR="004042AE" w:rsidRPr="006C2A99">
        <w:rPr>
          <w:rFonts w:ascii="Lato" w:hAnsi="Lato"/>
          <w:color w:val="1F497D"/>
          <w:sz w:val="20"/>
          <w:szCs w:val="20"/>
        </w:rPr>
        <w:fldChar w:fldCharType="end"/>
      </w:r>
      <w:r w:rsidR="005430ED" w:rsidRPr="006C2A99">
        <w:rPr>
          <w:rFonts w:ascii="Lato" w:hAnsi="Lato"/>
          <w:color w:val="1F497D"/>
          <w:sz w:val="20"/>
          <w:szCs w:val="20"/>
        </w:rPr>
        <w:noBreakHyphen/>
      </w:r>
      <w:r w:rsidR="004042AE" w:rsidRPr="006C2A99">
        <w:rPr>
          <w:rFonts w:ascii="Lato" w:hAnsi="Lato"/>
          <w:color w:val="1F497D"/>
          <w:sz w:val="20"/>
          <w:szCs w:val="20"/>
        </w:rPr>
        <w:fldChar w:fldCharType="begin"/>
      </w:r>
      <w:r w:rsidR="005430ED" w:rsidRPr="006C2A99">
        <w:rPr>
          <w:rFonts w:ascii="Lato" w:hAnsi="Lato"/>
          <w:color w:val="1F497D"/>
          <w:sz w:val="20"/>
          <w:szCs w:val="20"/>
        </w:rPr>
        <w:instrText xml:space="preserve"> SEQ Tabela \* ARABIC \s 1 </w:instrText>
      </w:r>
      <w:r w:rsidR="004042AE" w:rsidRPr="006C2A99">
        <w:rPr>
          <w:rFonts w:ascii="Lato" w:hAnsi="Lato"/>
          <w:color w:val="1F497D"/>
          <w:sz w:val="20"/>
          <w:szCs w:val="20"/>
        </w:rPr>
        <w:fldChar w:fldCharType="separate"/>
      </w:r>
      <w:r w:rsidR="0040205B">
        <w:rPr>
          <w:rFonts w:ascii="Lato" w:hAnsi="Lato"/>
          <w:noProof/>
          <w:color w:val="1F497D"/>
          <w:sz w:val="20"/>
          <w:szCs w:val="20"/>
        </w:rPr>
        <w:t>20</w:t>
      </w:r>
      <w:r w:rsidR="004042AE" w:rsidRPr="006C2A99">
        <w:rPr>
          <w:rFonts w:ascii="Lato" w:hAnsi="Lato"/>
          <w:color w:val="1F497D"/>
          <w:sz w:val="20"/>
          <w:szCs w:val="20"/>
        </w:rPr>
        <w:fldChar w:fldCharType="end"/>
      </w:r>
      <w:r w:rsidRPr="006C2A99">
        <w:rPr>
          <w:rFonts w:ascii="Lato" w:hAnsi="Lato"/>
          <w:color w:val="1F497D"/>
          <w:sz w:val="20"/>
          <w:szCs w:val="20"/>
        </w:rPr>
        <w:t xml:space="preserve"> Charakterystyka przykładowego obiektu jednorodzinnego</w:t>
      </w:r>
      <w:bookmarkEnd w:id="262"/>
      <w:bookmarkEnd w:id="263"/>
      <w:bookmarkEnd w:id="264"/>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000" w:firstRow="0" w:lastRow="0" w:firstColumn="0" w:lastColumn="0" w:noHBand="0" w:noVBand="0"/>
      </w:tblPr>
      <w:tblGrid>
        <w:gridCol w:w="6478"/>
        <w:gridCol w:w="1269"/>
        <w:gridCol w:w="1806"/>
      </w:tblGrid>
      <w:tr w:rsidR="00BB1D80" w:rsidRPr="006C2A99" w:rsidTr="008E3B8C">
        <w:trPr>
          <w:trHeight w:val="375"/>
          <w:jc w:val="center"/>
        </w:trPr>
        <w:tc>
          <w:tcPr>
            <w:tcW w:w="5000" w:type="pct"/>
            <w:gridSpan w:val="3"/>
            <w:shd w:val="clear" w:color="auto" w:fill="DBE5F1"/>
            <w:vAlign w:val="center"/>
          </w:tcPr>
          <w:p w:rsidR="006B024A" w:rsidRPr="006C2A99" w:rsidRDefault="006B024A" w:rsidP="006B024A">
            <w:pPr>
              <w:spacing w:line="240" w:lineRule="auto"/>
              <w:ind w:firstLine="0"/>
              <w:jc w:val="center"/>
              <w:rPr>
                <w:rFonts w:ascii="Lato" w:hAnsi="Lato"/>
                <w:b/>
                <w:bCs/>
                <w:color w:val="1F497D"/>
                <w:szCs w:val="22"/>
              </w:rPr>
            </w:pPr>
            <w:r w:rsidRPr="006C2A99">
              <w:rPr>
                <w:rFonts w:ascii="Lato" w:hAnsi="Lato"/>
                <w:b/>
                <w:bCs/>
                <w:color w:val="1F497D"/>
                <w:szCs w:val="22"/>
              </w:rPr>
              <w:t>Charakterystyka przykładowego obiektu jednorodzinnego</w:t>
            </w:r>
          </w:p>
        </w:tc>
      </w:tr>
      <w:tr w:rsidR="00BB1D80" w:rsidRPr="006C2A99" w:rsidTr="00845EB9">
        <w:trPr>
          <w:trHeight w:val="330"/>
          <w:jc w:val="center"/>
        </w:trPr>
        <w:tc>
          <w:tcPr>
            <w:tcW w:w="3391" w:type="pct"/>
            <w:shd w:val="clear" w:color="auto" w:fill="DBE5F1"/>
            <w:vAlign w:val="center"/>
          </w:tcPr>
          <w:p w:rsidR="006B024A" w:rsidRPr="006C2A99" w:rsidRDefault="006B024A" w:rsidP="006B024A">
            <w:pPr>
              <w:spacing w:line="240" w:lineRule="auto"/>
              <w:ind w:firstLine="0"/>
              <w:jc w:val="center"/>
              <w:rPr>
                <w:rFonts w:ascii="Lato" w:hAnsi="Lato"/>
                <w:color w:val="1F497D"/>
                <w:sz w:val="18"/>
                <w:szCs w:val="18"/>
              </w:rPr>
            </w:pPr>
            <w:r w:rsidRPr="006C2A99">
              <w:rPr>
                <w:rFonts w:ascii="Lato" w:hAnsi="Lato"/>
                <w:color w:val="1F497D"/>
                <w:sz w:val="18"/>
                <w:szCs w:val="18"/>
              </w:rPr>
              <w:t>Cecha</w:t>
            </w:r>
          </w:p>
        </w:tc>
        <w:tc>
          <w:tcPr>
            <w:tcW w:w="664" w:type="pct"/>
            <w:shd w:val="clear" w:color="auto" w:fill="DBE5F1"/>
            <w:vAlign w:val="center"/>
          </w:tcPr>
          <w:p w:rsidR="006B024A" w:rsidRPr="006C2A99" w:rsidRDefault="006B024A" w:rsidP="006B024A">
            <w:pPr>
              <w:spacing w:line="240" w:lineRule="auto"/>
              <w:ind w:firstLine="0"/>
              <w:jc w:val="center"/>
              <w:rPr>
                <w:rFonts w:ascii="Lato" w:hAnsi="Lato"/>
                <w:color w:val="1F497D"/>
                <w:sz w:val="18"/>
                <w:szCs w:val="18"/>
              </w:rPr>
            </w:pPr>
            <w:r w:rsidRPr="006C2A99">
              <w:rPr>
                <w:rFonts w:ascii="Lato" w:hAnsi="Lato"/>
                <w:color w:val="1F497D"/>
                <w:sz w:val="18"/>
                <w:szCs w:val="18"/>
              </w:rPr>
              <w:t>Jednostka</w:t>
            </w:r>
          </w:p>
        </w:tc>
        <w:tc>
          <w:tcPr>
            <w:tcW w:w="945" w:type="pct"/>
            <w:shd w:val="clear" w:color="auto" w:fill="DBE5F1"/>
            <w:vAlign w:val="center"/>
          </w:tcPr>
          <w:p w:rsidR="006B024A" w:rsidRPr="006C2A99" w:rsidRDefault="00A23C07" w:rsidP="006B024A">
            <w:pPr>
              <w:spacing w:line="240" w:lineRule="auto"/>
              <w:ind w:firstLine="0"/>
              <w:jc w:val="center"/>
              <w:rPr>
                <w:rFonts w:ascii="Lato" w:hAnsi="Lato"/>
                <w:color w:val="1F497D"/>
                <w:sz w:val="18"/>
                <w:szCs w:val="18"/>
              </w:rPr>
            </w:pPr>
            <w:r w:rsidRPr="006C2A99">
              <w:rPr>
                <w:rFonts w:ascii="Lato" w:hAnsi="Lato"/>
                <w:color w:val="1F497D"/>
                <w:sz w:val="18"/>
                <w:szCs w:val="18"/>
              </w:rPr>
              <w:t>O</w:t>
            </w:r>
            <w:r w:rsidR="006B024A" w:rsidRPr="006C2A99">
              <w:rPr>
                <w:rFonts w:ascii="Lato" w:hAnsi="Lato"/>
                <w:color w:val="1F497D"/>
                <w:sz w:val="18"/>
                <w:szCs w:val="18"/>
              </w:rPr>
              <w:t>pis / wartość</w:t>
            </w:r>
          </w:p>
        </w:tc>
      </w:tr>
      <w:tr w:rsidR="00BB1D80" w:rsidRPr="006C2A99" w:rsidTr="008E3B8C">
        <w:trPr>
          <w:trHeight w:val="255"/>
          <w:jc w:val="center"/>
        </w:trPr>
        <w:tc>
          <w:tcPr>
            <w:tcW w:w="5000" w:type="pct"/>
            <w:gridSpan w:val="3"/>
          </w:tcPr>
          <w:p w:rsidR="002858FC" w:rsidRPr="006C2A99" w:rsidRDefault="002858FC" w:rsidP="002858FC">
            <w:pPr>
              <w:ind w:firstLine="0"/>
              <w:rPr>
                <w:rFonts w:ascii="Lato" w:hAnsi="Lato"/>
                <w:color w:val="1F497D"/>
              </w:rPr>
            </w:pPr>
            <w:r w:rsidRPr="006C2A99">
              <w:rPr>
                <w:rFonts w:ascii="Lato" w:hAnsi="Lato"/>
                <w:color w:val="1F497D"/>
              </w:rPr>
              <w:t>Dane techniczne budowlane</w:t>
            </w:r>
          </w:p>
        </w:tc>
      </w:tr>
      <w:tr w:rsidR="006C2A99" w:rsidRPr="006C2A99" w:rsidTr="007654DF">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Technologia budowy</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tradycyjna</w:t>
            </w:r>
          </w:p>
        </w:tc>
      </w:tr>
      <w:tr w:rsidR="006C2A99" w:rsidRPr="006C2A99" w:rsidTr="007654DF">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Szerokość budynku</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m</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9,0</w:t>
            </w:r>
          </w:p>
        </w:tc>
      </w:tr>
      <w:tr w:rsidR="006C2A99" w:rsidRPr="006C2A99" w:rsidTr="007654DF">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Długość budynku</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m</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8</w:t>
            </w:r>
          </w:p>
        </w:tc>
      </w:tr>
      <w:tr w:rsidR="006C2A99" w:rsidRPr="006C2A99" w:rsidTr="007654DF">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Wysokość budynku</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m</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6</w:t>
            </w:r>
          </w:p>
        </w:tc>
      </w:tr>
      <w:tr w:rsidR="006C2A99" w:rsidRPr="006C2A99" w:rsidTr="007654DF">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Powierzchnia ogrzewana budynku</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m</w:t>
            </w:r>
            <w:r w:rsidRPr="006C2A99">
              <w:rPr>
                <w:rFonts w:ascii="Lato" w:hAnsi="Lato"/>
                <w:color w:val="1F497D"/>
                <w:vertAlign w:val="superscript"/>
              </w:rPr>
              <w:t>2</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109</w:t>
            </w:r>
          </w:p>
        </w:tc>
      </w:tr>
      <w:tr w:rsidR="006C2A99" w:rsidRPr="006C2A99" w:rsidTr="007654DF">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Kubatura ogrzewana budynku</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m</w:t>
            </w:r>
            <w:r w:rsidRPr="006C2A99">
              <w:rPr>
                <w:rFonts w:ascii="Lato" w:hAnsi="Lato"/>
                <w:color w:val="1F497D"/>
                <w:vertAlign w:val="superscript"/>
              </w:rPr>
              <w:t>3</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273</w:t>
            </w:r>
          </w:p>
        </w:tc>
      </w:tr>
      <w:tr w:rsidR="006C2A99" w:rsidRPr="006C2A99" w:rsidTr="007654DF">
        <w:trPr>
          <w:trHeight w:val="480"/>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Sumaryczna powierzchnia okien i drzwi zewnętrznych</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m</w:t>
            </w:r>
            <w:r w:rsidRPr="006C2A99">
              <w:rPr>
                <w:rFonts w:ascii="Lato" w:hAnsi="Lato"/>
                <w:color w:val="1F497D"/>
                <w:vertAlign w:val="superscript"/>
              </w:rPr>
              <w:t>2</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20,7</w:t>
            </w:r>
          </w:p>
        </w:tc>
      </w:tr>
      <w:tr w:rsidR="006C2A99" w:rsidRPr="006C2A99" w:rsidTr="007654DF">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Sumaryczna powierzchnia drzwi zewnętrznych</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m</w:t>
            </w:r>
            <w:r w:rsidRPr="006C2A99">
              <w:rPr>
                <w:rFonts w:ascii="Lato" w:hAnsi="Lato"/>
                <w:color w:val="1F497D"/>
                <w:vertAlign w:val="superscript"/>
              </w:rPr>
              <w:t>2</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4,0</w:t>
            </w:r>
          </w:p>
        </w:tc>
      </w:tr>
      <w:tr w:rsidR="00BB1D80" w:rsidRPr="006C2A99" w:rsidTr="008E3B8C">
        <w:trPr>
          <w:trHeight w:val="282"/>
          <w:jc w:val="center"/>
        </w:trPr>
        <w:tc>
          <w:tcPr>
            <w:tcW w:w="5000" w:type="pct"/>
            <w:gridSpan w:val="3"/>
          </w:tcPr>
          <w:p w:rsidR="002858FC" w:rsidRPr="006C2A99" w:rsidRDefault="002858FC" w:rsidP="002858FC">
            <w:pPr>
              <w:ind w:firstLine="0"/>
              <w:rPr>
                <w:rFonts w:ascii="Lato" w:hAnsi="Lato"/>
                <w:color w:val="1F497D"/>
              </w:rPr>
            </w:pPr>
            <w:r w:rsidRPr="006C2A99">
              <w:rPr>
                <w:rFonts w:ascii="Lato" w:hAnsi="Lato"/>
                <w:color w:val="1F497D"/>
              </w:rPr>
              <w:t>Dane energetyczne</w:t>
            </w:r>
          </w:p>
        </w:tc>
      </w:tr>
      <w:tr w:rsidR="006C2A99" w:rsidRPr="006C2A99" w:rsidTr="00251E81">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Jednostkowy wskaźnik zapotrzebowania na ciepło</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GJ/m</w:t>
            </w:r>
            <w:r w:rsidRPr="006C2A99">
              <w:rPr>
                <w:rFonts w:ascii="Lato" w:hAnsi="Lato"/>
                <w:color w:val="1F497D"/>
                <w:vertAlign w:val="superscript"/>
              </w:rPr>
              <w:t>2</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0,63</w:t>
            </w:r>
          </w:p>
        </w:tc>
      </w:tr>
      <w:tr w:rsidR="006C2A99" w:rsidRPr="006C2A99" w:rsidTr="00251E81">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Roczne zapotrzebowanie na ciepło budynku</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GJ/rok</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69,0</w:t>
            </w:r>
          </w:p>
        </w:tc>
      </w:tr>
      <w:tr w:rsidR="006C2A99" w:rsidRPr="006C2A99" w:rsidTr="00251E81">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Zapotrzebowanie na moc cieplną budynku</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kW</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9</w:t>
            </w:r>
          </w:p>
        </w:tc>
      </w:tr>
      <w:tr w:rsidR="006C2A99" w:rsidRPr="006C2A99" w:rsidTr="00251E81">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Typ kotła</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węglowy</w:t>
            </w:r>
          </w:p>
        </w:tc>
      </w:tr>
      <w:tr w:rsidR="006C2A99" w:rsidRPr="006C2A99" w:rsidTr="00251E81">
        <w:trPr>
          <w:trHeight w:val="282"/>
          <w:jc w:val="center"/>
        </w:trPr>
        <w:tc>
          <w:tcPr>
            <w:tcW w:w="3391" w:type="pct"/>
          </w:tcPr>
          <w:p w:rsidR="006C2A99" w:rsidRPr="006C2A99" w:rsidRDefault="006C2A99" w:rsidP="002858FC">
            <w:pPr>
              <w:ind w:firstLine="0"/>
              <w:rPr>
                <w:rFonts w:ascii="Lato" w:hAnsi="Lato"/>
                <w:color w:val="1F497D"/>
              </w:rPr>
            </w:pPr>
            <w:r w:rsidRPr="006C2A99">
              <w:rPr>
                <w:rFonts w:ascii="Lato" w:hAnsi="Lato"/>
                <w:color w:val="1F497D"/>
              </w:rPr>
              <w:t>Sprawność kotła</w:t>
            </w:r>
          </w:p>
        </w:tc>
        <w:tc>
          <w:tcPr>
            <w:tcW w:w="664" w:type="pct"/>
          </w:tcPr>
          <w:p w:rsidR="006C2A99" w:rsidRPr="006C2A99" w:rsidRDefault="006C2A99" w:rsidP="002858FC">
            <w:pPr>
              <w:ind w:firstLine="0"/>
              <w:jc w:val="center"/>
              <w:rPr>
                <w:rFonts w:ascii="Lato" w:hAnsi="Lato"/>
                <w:color w:val="1F497D"/>
              </w:rPr>
            </w:pPr>
            <w:r w:rsidRPr="006C2A99">
              <w:rPr>
                <w:rFonts w:ascii="Lato" w:hAnsi="Lato"/>
                <w:color w:val="1F497D"/>
              </w:rPr>
              <w:t>%</w:t>
            </w:r>
          </w:p>
        </w:tc>
        <w:tc>
          <w:tcPr>
            <w:tcW w:w="945" w:type="pct"/>
            <w:vAlign w:val="center"/>
          </w:tcPr>
          <w:p w:rsidR="006C2A99" w:rsidRPr="006C2A99" w:rsidRDefault="006C2A99" w:rsidP="006C2A99">
            <w:pPr>
              <w:ind w:firstLine="0"/>
              <w:jc w:val="center"/>
              <w:rPr>
                <w:rFonts w:ascii="Lato" w:hAnsi="Lato"/>
                <w:color w:val="1F497D"/>
              </w:rPr>
            </w:pPr>
            <w:r w:rsidRPr="006C2A99">
              <w:rPr>
                <w:rFonts w:ascii="Lato" w:hAnsi="Lato"/>
                <w:color w:val="1F497D"/>
              </w:rPr>
              <w:t>65</w:t>
            </w:r>
          </w:p>
        </w:tc>
      </w:tr>
    </w:tbl>
    <w:p w:rsidR="006B024A" w:rsidRPr="000829BF" w:rsidRDefault="00845EB9" w:rsidP="00845EB9">
      <w:pPr>
        <w:ind w:firstLine="0"/>
        <w:jc w:val="center"/>
        <w:rPr>
          <w:rFonts w:ascii="Lato" w:hAnsi="Lato"/>
          <w:bCs/>
          <w:i/>
          <w:spacing w:val="-2"/>
          <w:sz w:val="20"/>
          <w:szCs w:val="20"/>
        </w:rPr>
      </w:pPr>
      <w:r w:rsidRPr="006C2A99">
        <w:rPr>
          <w:rFonts w:ascii="Lato" w:hAnsi="Lato"/>
          <w:bCs/>
          <w:i/>
          <w:spacing w:val="-2"/>
          <w:sz w:val="20"/>
          <w:szCs w:val="20"/>
        </w:rPr>
        <w:t>Źródło:</w:t>
      </w:r>
      <w:r w:rsidR="00A75E27" w:rsidRPr="006C2A99">
        <w:rPr>
          <w:rFonts w:ascii="Lato" w:hAnsi="Lato"/>
          <w:bCs/>
          <w:i/>
          <w:spacing w:val="-2"/>
          <w:sz w:val="20"/>
          <w:szCs w:val="20"/>
        </w:rPr>
        <w:t xml:space="preserve"> Obliczenia własne</w:t>
      </w:r>
    </w:p>
    <w:p w:rsidR="006B024A" w:rsidRPr="000B1253" w:rsidRDefault="006B024A" w:rsidP="006B024A">
      <w:pPr>
        <w:ind w:firstLine="0"/>
        <w:jc w:val="both"/>
        <w:rPr>
          <w:rFonts w:ascii="Lato" w:hAnsi="Lato"/>
        </w:rPr>
      </w:pPr>
      <w:r w:rsidRPr="000B1253">
        <w:rPr>
          <w:rFonts w:ascii="Lato" w:hAnsi="Lato"/>
        </w:rPr>
        <w:t>Ponadto przyjęto poniższe ceny paliw i energii (cena z VAT i ewentualny transport):</w:t>
      </w:r>
    </w:p>
    <w:p w:rsidR="006B024A" w:rsidRPr="000B1253" w:rsidRDefault="006B024A" w:rsidP="00617C1D">
      <w:pPr>
        <w:pStyle w:val="Tekstpodstawowy"/>
        <w:numPr>
          <w:ilvl w:val="0"/>
          <w:numId w:val="83"/>
        </w:numPr>
        <w:tabs>
          <w:tab w:val="clear" w:pos="360"/>
        </w:tabs>
        <w:ind w:left="709" w:hanging="425"/>
        <w:rPr>
          <w:rFonts w:ascii="Lato" w:hAnsi="Lato" w:cs="Times New Roman"/>
        </w:rPr>
      </w:pPr>
      <w:r w:rsidRPr="000B1253">
        <w:rPr>
          <w:rFonts w:ascii="Lato" w:hAnsi="Lato" w:cs="Times New Roman"/>
        </w:rPr>
        <w:t xml:space="preserve">cena węgla do kotłów komorowych </w:t>
      </w:r>
      <w:r w:rsidR="00FB049C" w:rsidRPr="000B1253">
        <w:rPr>
          <w:rFonts w:ascii="Lato" w:hAnsi="Lato" w:cs="Times New Roman"/>
        </w:rPr>
        <w:t>8</w:t>
      </w:r>
      <w:r w:rsidR="008F7FF6" w:rsidRPr="000B1253">
        <w:rPr>
          <w:rFonts w:ascii="Lato" w:hAnsi="Lato" w:cs="Times New Roman"/>
        </w:rPr>
        <w:t>5</w:t>
      </w:r>
      <w:r w:rsidR="006C2A99" w:rsidRPr="000B1253">
        <w:rPr>
          <w:rFonts w:ascii="Lato" w:hAnsi="Lato" w:cs="Times New Roman"/>
        </w:rPr>
        <w:t>0</w:t>
      </w:r>
      <w:r w:rsidR="00FB049C" w:rsidRPr="000B1253">
        <w:rPr>
          <w:rFonts w:ascii="Lato" w:hAnsi="Lato" w:cs="Times New Roman"/>
        </w:rPr>
        <w:t xml:space="preserve"> </w:t>
      </w:r>
      <w:r w:rsidRPr="000B1253">
        <w:rPr>
          <w:rFonts w:ascii="Lato" w:hAnsi="Lato" w:cs="Times New Roman"/>
        </w:rPr>
        <w:t>zł/tonę;</w:t>
      </w:r>
    </w:p>
    <w:p w:rsidR="006B024A" w:rsidRPr="000B1253" w:rsidRDefault="006B024A" w:rsidP="00617C1D">
      <w:pPr>
        <w:pStyle w:val="Tekstpodstawowy"/>
        <w:numPr>
          <w:ilvl w:val="0"/>
          <w:numId w:val="83"/>
        </w:numPr>
        <w:tabs>
          <w:tab w:val="clear" w:pos="360"/>
        </w:tabs>
        <w:ind w:left="709" w:hanging="425"/>
        <w:rPr>
          <w:rFonts w:ascii="Lato" w:hAnsi="Lato" w:cs="Times New Roman"/>
        </w:rPr>
      </w:pPr>
      <w:r w:rsidRPr="000B1253">
        <w:rPr>
          <w:rFonts w:ascii="Lato" w:hAnsi="Lato" w:cs="Times New Roman"/>
        </w:rPr>
        <w:t xml:space="preserve">cena węgla do kotłów retortowych </w:t>
      </w:r>
      <w:r w:rsidR="008F7FF6" w:rsidRPr="000B1253">
        <w:rPr>
          <w:rFonts w:ascii="Lato" w:hAnsi="Lato" w:cs="Times New Roman"/>
        </w:rPr>
        <w:t>900</w:t>
      </w:r>
      <w:r w:rsidR="00FB049C" w:rsidRPr="000B1253">
        <w:rPr>
          <w:rFonts w:ascii="Lato" w:hAnsi="Lato" w:cs="Times New Roman"/>
        </w:rPr>
        <w:t xml:space="preserve"> </w:t>
      </w:r>
      <w:r w:rsidRPr="000B1253">
        <w:rPr>
          <w:rFonts w:ascii="Lato" w:hAnsi="Lato" w:cs="Times New Roman"/>
        </w:rPr>
        <w:t>zł/tonę;</w:t>
      </w:r>
    </w:p>
    <w:p w:rsidR="006B024A" w:rsidRPr="000B1253" w:rsidRDefault="006B024A" w:rsidP="00617C1D">
      <w:pPr>
        <w:pStyle w:val="Tekstpodstawowy"/>
        <w:numPr>
          <w:ilvl w:val="0"/>
          <w:numId w:val="83"/>
        </w:numPr>
        <w:tabs>
          <w:tab w:val="clear" w:pos="360"/>
        </w:tabs>
        <w:ind w:left="709" w:hanging="425"/>
        <w:rPr>
          <w:rFonts w:ascii="Lato" w:hAnsi="Lato" w:cs="Times New Roman"/>
        </w:rPr>
      </w:pPr>
      <w:r w:rsidRPr="000B1253">
        <w:rPr>
          <w:rFonts w:ascii="Lato" w:hAnsi="Lato" w:cs="Times New Roman"/>
        </w:rPr>
        <w:lastRenderedPageBreak/>
        <w:t>cena drewna opałowego 197 zł/m3;</w:t>
      </w:r>
    </w:p>
    <w:p w:rsidR="006B024A" w:rsidRPr="000B1253" w:rsidRDefault="006B024A" w:rsidP="00617C1D">
      <w:pPr>
        <w:pStyle w:val="Tekstpodstawowy"/>
        <w:numPr>
          <w:ilvl w:val="0"/>
          <w:numId w:val="83"/>
        </w:numPr>
        <w:tabs>
          <w:tab w:val="clear" w:pos="360"/>
        </w:tabs>
        <w:ind w:left="709" w:hanging="425"/>
        <w:rPr>
          <w:rFonts w:ascii="Lato" w:hAnsi="Lato" w:cs="Times New Roman"/>
        </w:rPr>
      </w:pPr>
      <w:r w:rsidRPr="000B1253">
        <w:rPr>
          <w:rFonts w:ascii="Lato" w:hAnsi="Lato" w:cs="Times New Roman"/>
        </w:rPr>
        <w:t xml:space="preserve">cena słomy </w:t>
      </w:r>
      <w:r w:rsidR="00E4247B" w:rsidRPr="000B1253">
        <w:rPr>
          <w:rFonts w:ascii="Lato" w:hAnsi="Lato" w:cs="Times New Roman"/>
        </w:rPr>
        <w:t>74</w:t>
      </w:r>
      <w:r w:rsidRPr="000B1253">
        <w:rPr>
          <w:rFonts w:ascii="Lato" w:hAnsi="Lato" w:cs="Times New Roman"/>
        </w:rPr>
        <w:t xml:space="preserve"> zł/m3;</w:t>
      </w:r>
    </w:p>
    <w:p w:rsidR="006B024A" w:rsidRPr="000B1253" w:rsidRDefault="006B024A" w:rsidP="00617C1D">
      <w:pPr>
        <w:pStyle w:val="Tekstpodstawowy"/>
        <w:numPr>
          <w:ilvl w:val="0"/>
          <w:numId w:val="83"/>
        </w:numPr>
        <w:tabs>
          <w:tab w:val="clear" w:pos="360"/>
        </w:tabs>
        <w:ind w:left="709" w:hanging="425"/>
        <w:rPr>
          <w:rFonts w:ascii="Lato" w:hAnsi="Lato" w:cs="Times New Roman"/>
        </w:rPr>
      </w:pPr>
      <w:r w:rsidRPr="000B1253">
        <w:rPr>
          <w:rFonts w:ascii="Lato" w:hAnsi="Lato" w:cs="Times New Roman"/>
        </w:rPr>
        <w:t xml:space="preserve">cena oleju opałowego </w:t>
      </w:r>
      <w:r w:rsidR="002A7C70" w:rsidRPr="000B1253">
        <w:rPr>
          <w:rFonts w:ascii="Lato" w:hAnsi="Lato" w:cs="Times New Roman"/>
        </w:rPr>
        <w:t>3,</w:t>
      </w:r>
      <w:r w:rsidR="006C2A99" w:rsidRPr="000B1253">
        <w:rPr>
          <w:rFonts w:ascii="Lato" w:hAnsi="Lato" w:cs="Times New Roman"/>
        </w:rPr>
        <w:t>30</w:t>
      </w:r>
      <w:r w:rsidRPr="000B1253">
        <w:rPr>
          <w:rFonts w:ascii="Lato" w:hAnsi="Lato" w:cs="Times New Roman"/>
        </w:rPr>
        <w:t xml:space="preserve">  zł/litr;</w:t>
      </w:r>
    </w:p>
    <w:p w:rsidR="006B024A" w:rsidRPr="000B1253" w:rsidRDefault="006B024A" w:rsidP="00617C1D">
      <w:pPr>
        <w:pStyle w:val="Tekstpodstawowy"/>
        <w:numPr>
          <w:ilvl w:val="0"/>
          <w:numId w:val="83"/>
        </w:numPr>
        <w:tabs>
          <w:tab w:val="clear" w:pos="360"/>
        </w:tabs>
        <w:ind w:left="709" w:hanging="425"/>
        <w:rPr>
          <w:rFonts w:ascii="Lato" w:hAnsi="Lato" w:cs="Times New Roman"/>
        </w:rPr>
      </w:pPr>
      <w:r w:rsidRPr="000B1253">
        <w:rPr>
          <w:rFonts w:ascii="Lato" w:hAnsi="Lato" w:cs="Times New Roman"/>
        </w:rPr>
        <w:t xml:space="preserve">cena gazu płynnego LPG </w:t>
      </w:r>
      <w:r w:rsidR="002A7C70" w:rsidRPr="000B1253">
        <w:rPr>
          <w:rFonts w:ascii="Lato" w:hAnsi="Lato" w:cs="Times New Roman"/>
        </w:rPr>
        <w:t>2,</w:t>
      </w:r>
      <w:r w:rsidR="006C2A99" w:rsidRPr="000B1253">
        <w:rPr>
          <w:rFonts w:ascii="Lato" w:hAnsi="Lato" w:cs="Times New Roman"/>
        </w:rPr>
        <w:t>09</w:t>
      </w:r>
      <w:r w:rsidR="002A7C70" w:rsidRPr="000B1253">
        <w:rPr>
          <w:rFonts w:ascii="Lato" w:hAnsi="Lato" w:cs="Times New Roman"/>
        </w:rPr>
        <w:t xml:space="preserve"> </w:t>
      </w:r>
      <w:r w:rsidRPr="000B1253">
        <w:rPr>
          <w:rFonts w:ascii="Lato" w:hAnsi="Lato" w:cs="Times New Roman"/>
        </w:rPr>
        <w:t>zł/litr;</w:t>
      </w:r>
    </w:p>
    <w:p w:rsidR="006B024A" w:rsidRPr="000B1253" w:rsidRDefault="006B024A" w:rsidP="00617C1D">
      <w:pPr>
        <w:pStyle w:val="Tekstpodstawowy"/>
        <w:numPr>
          <w:ilvl w:val="0"/>
          <w:numId w:val="83"/>
        </w:numPr>
        <w:tabs>
          <w:tab w:val="clear" w:pos="360"/>
        </w:tabs>
        <w:ind w:left="709" w:hanging="425"/>
        <w:rPr>
          <w:rFonts w:ascii="Lato" w:hAnsi="Lato" w:cs="Times New Roman"/>
        </w:rPr>
      </w:pPr>
      <w:r w:rsidRPr="000B1253">
        <w:rPr>
          <w:rFonts w:ascii="Lato" w:hAnsi="Lato" w:cs="Times New Roman"/>
        </w:rPr>
        <w:t xml:space="preserve">koszt gazu ziemnego zgodnie z taryfą </w:t>
      </w:r>
      <w:r w:rsidR="00E4247B" w:rsidRPr="000B1253">
        <w:rPr>
          <w:rFonts w:ascii="Lato" w:hAnsi="Lato" w:cs="Times New Roman"/>
        </w:rPr>
        <w:t>PGNiG</w:t>
      </w:r>
      <w:r w:rsidRPr="000B1253">
        <w:rPr>
          <w:rFonts w:ascii="Lato" w:hAnsi="Lato" w:cs="Times New Roman"/>
        </w:rPr>
        <w:t xml:space="preserve"> </w:t>
      </w:r>
      <w:r w:rsidR="00E4247B" w:rsidRPr="000B1253">
        <w:rPr>
          <w:rFonts w:ascii="Lato" w:hAnsi="Lato" w:cs="Times New Roman"/>
        </w:rPr>
        <w:t>S.A</w:t>
      </w:r>
      <w:r w:rsidRPr="000B1253">
        <w:rPr>
          <w:rFonts w:ascii="Lato" w:hAnsi="Lato" w:cs="Times New Roman"/>
        </w:rPr>
        <w:t>. (dla taryfy W-3.6)</w:t>
      </w:r>
      <w:r w:rsidR="006C2A99" w:rsidRPr="000B1253">
        <w:rPr>
          <w:rFonts w:ascii="Lato" w:hAnsi="Lato" w:cs="Times New Roman"/>
        </w:rPr>
        <w:t xml:space="preserve"> oraz PSG Sp. z o.o.</w:t>
      </w:r>
    </w:p>
    <w:p w:rsidR="006B024A" w:rsidRPr="000B1253" w:rsidRDefault="006B024A" w:rsidP="000B1253">
      <w:pPr>
        <w:pStyle w:val="Tekstpodstawowy"/>
        <w:numPr>
          <w:ilvl w:val="0"/>
          <w:numId w:val="83"/>
        </w:numPr>
        <w:tabs>
          <w:tab w:val="clear" w:pos="360"/>
        </w:tabs>
        <w:ind w:left="709"/>
        <w:rPr>
          <w:rFonts w:ascii="Lato" w:hAnsi="Lato" w:cs="Times New Roman"/>
        </w:rPr>
      </w:pPr>
      <w:r w:rsidRPr="000B1253">
        <w:rPr>
          <w:rFonts w:ascii="Lato" w:hAnsi="Lato" w:cs="Times New Roman"/>
        </w:rPr>
        <w:t xml:space="preserve">ceny energii elektrycznej zgodnie z taryfą </w:t>
      </w:r>
      <w:r w:rsidR="000B1253" w:rsidRPr="000B1253">
        <w:rPr>
          <w:rFonts w:ascii="Lato" w:hAnsi="Lato" w:cs="Times New Roman"/>
        </w:rPr>
        <w:t xml:space="preserve">PGE Polska Grupa Energetyczna S.A. oraz PGE Dystrybucja S.A. </w:t>
      </w:r>
      <w:r w:rsidRPr="000B1253">
        <w:rPr>
          <w:rFonts w:ascii="Lato" w:hAnsi="Lato" w:cs="Times New Roman"/>
        </w:rPr>
        <w:t>(dla taryfy G12 – 70% ogrzewania w taryfie nocnej oraz 30% w taryfie dziennej);</w:t>
      </w:r>
    </w:p>
    <w:p w:rsidR="006B024A" w:rsidRPr="000B1253" w:rsidRDefault="006B024A" w:rsidP="000B1253">
      <w:pPr>
        <w:pStyle w:val="Tekstpodstawowy"/>
        <w:numPr>
          <w:ilvl w:val="0"/>
          <w:numId w:val="83"/>
        </w:numPr>
        <w:tabs>
          <w:tab w:val="clear" w:pos="360"/>
        </w:tabs>
        <w:ind w:left="709"/>
        <w:rPr>
          <w:rFonts w:ascii="Lato" w:hAnsi="Lato" w:cs="Times New Roman"/>
        </w:rPr>
      </w:pPr>
      <w:r w:rsidRPr="000B1253">
        <w:rPr>
          <w:rFonts w:ascii="Lato" w:hAnsi="Lato" w:cs="Times New Roman"/>
        </w:rPr>
        <w:t xml:space="preserve">ceny energii elektrycznej zgodnie z taryfą </w:t>
      </w:r>
      <w:r w:rsidR="000B1253" w:rsidRPr="000B1253">
        <w:rPr>
          <w:rFonts w:ascii="Lato" w:hAnsi="Lato" w:cs="Times New Roman"/>
        </w:rPr>
        <w:t xml:space="preserve">PGE Polska Grupa Energetyczna S.A. oraz PGE Dystrybucja S.A. </w:t>
      </w:r>
      <w:r w:rsidRPr="000B1253">
        <w:rPr>
          <w:rFonts w:ascii="Lato" w:hAnsi="Lato" w:cs="Times New Roman"/>
        </w:rPr>
        <w:t>(dla taryfy G11);</w:t>
      </w:r>
    </w:p>
    <w:p w:rsidR="006B024A" w:rsidRPr="000B1253" w:rsidRDefault="006B024A" w:rsidP="00617C1D">
      <w:pPr>
        <w:pStyle w:val="Tekstpodstawowy"/>
        <w:numPr>
          <w:ilvl w:val="0"/>
          <w:numId w:val="83"/>
        </w:numPr>
        <w:tabs>
          <w:tab w:val="clear" w:pos="360"/>
        </w:tabs>
        <w:ind w:left="709" w:hanging="425"/>
        <w:rPr>
          <w:rFonts w:ascii="Lato" w:hAnsi="Lato" w:cs="Times New Roman"/>
        </w:rPr>
      </w:pPr>
      <w:r w:rsidRPr="000B1253">
        <w:rPr>
          <w:rFonts w:ascii="Lato" w:hAnsi="Lato" w:cs="Times New Roman"/>
        </w:rPr>
        <w:t>pompa ciepła zasilana en</w:t>
      </w:r>
      <w:r w:rsidR="00E4247B" w:rsidRPr="000B1253">
        <w:rPr>
          <w:rFonts w:ascii="Lato" w:hAnsi="Lato" w:cs="Times New Roman"/>
        </w:rPr>
        <w:t>ergią elektryczną w taryfie G11.</w:t>
      </w:r>
    </w:p>
    <w:p w:rsidR="006B024A" w:rsidRPr="00BD565E" w:rsidRDefault="006B024A" w:rsidP="003E42DF">
      <w:pPr>
        <w:ind w:firstLine="709"/>
        <w:jc w:val="both"/>
        <w:rPr>
          <w:rFonts w:ascii="Lato" w:hAnsi="Lato"/>
        </w:rPr>
      </w:pPr>
      <w:r w:rsidRPr="00BD565E">
        <w:rPr>
          <w:rFonts w:ascii="Lato" w:hAnsi="Lato"/>
        </w:rPr>
        <w:t>W niniejszej analizie nie uwzględnia się kosztów ewentualnej obsługi i remontów urządzeń oraz nakładów inwestycyjnych niezbędnych do poniesienia w przypadku zmiany nośnika energii.</w:t>
      </w:r>
    </w:p>
    <w:p w:rsidR="006B024A" w:rsidRPr="00BD565E" w:rsidRDefault="006B024A" w:rsidP="006B024A">
      <w:pPr>
        <w:ind w:firstLine="0"/>
        <w:jc w:val="both"/>
        <w:rPr>
          <w:rFonts w:ascii="Lato" w:hAnsi="Lato"/>
        </w:rPr>
      </w:pPr>
      <w:r w:rsidRPr="00BD565E">
        <w:rPr>
          <w:rFonts w:ascii="Lato" w:hAnsi="Lato"/>
        </w:rPr>
        <w:t>Przyjęto również sprawności wytwarzania w zależności od sposobu ogrzewania i rodzaju stosowanego paliwa. Przedstawiono również efekt energetyczny spowodowany zmianą kotła węglowego na inne alternatywne źródło ciepła (Tabela 2-</w:t>
      </w:r>
      <w:r w:rsidR="00E4247B" w:rsidRPr="00BD565E">
        <w:rPr>
          <w:rFonts w:ascii="Lato" w:hAnsi="Lato"/>
        </w:rPr>
        <w:t>2</w:t>
      </w:r>
      <w:r w:rsidR="00C51391">
        <w:rPr>
          <w:rFonts w:ascii="Lato" w:hAnsi="Lato"/>
        </w:rPr>
        <w:t>3</w:t>
      </w:r>
      <w:r w:rsidRPr="00BD565E">
        <w:rPr>
          <w:rFonts w:ascii="Lato" w:hAnsi="Lato"/>
        </w:rPr>
        <w:t>).</w:t>
      </w:r>
    </w:p>
    <w:p w:rsidR="00BB45D7" w:rsidRPr="00BD565E" w:rsidRDefault="00BB45D7" w:rsidP="006B024A">
      <w:pPr>
        <w:ind w:firstLine="0"/>
        <w:jc w:val="both"/>
        <w:rPr>
          <w:rFonts w:ascii="Lato" w:hAnsi="Lato"/>
        </w:rPr>
      </w:pPr>
    </w:p>
    <w:p w:rsidR="006B024A" w:rsidRPr="000B1253" w:rsidRDefault="006B024A" w:rsidP="00BB45D7">
      <w:pPr>
        <w:pStyle w:val="Legenda"/>
        <w:rPr>
          <w:rFonts w:ascii="Lato" w:hAnsi="Lato"/>
          <w:color w:val="1F497D"/>
          <w:sz w:val="20"/>
          <w:szCs w:val="20"/>
        </w:rPr>
      </w:pPr>
      <w:bookmarkStart w:id="265" w:name="_Toc336419480"/>
      <w:bookmarkStart w:id="266" w:name="_Toc336943647"/>
      <w:bookmarkStart w:id="267" w:name="_Toc20219187"/>
      <w:r w:rsidRPr="000B1253">
        <w:rPr>
          <w:rFonts w:ascii="Lato" w:hAnsi="Lato"/>
          <w:bCs/>
          <w:color w:val="1F497D"/>
          <w:sz w:val="20"/>
          <w:szCs w:val="20"/>
        </w:rPr>
        <w:t xml:space="preserve">Tabela </w:t>
      </w:r>
      <w:r w:rsidR="004042AE" w:rsidRPr="000B1253">
        <w:rPr>
          <w:rFonts w:ascii="Lato" w:hAnsi="Lato"/>
          <w:bCs/>
          <w:color w:val="1F497D"/>
          <w:sz w:val="20"/>
          <w:szCs w:val="20"/>
        </w:rPr>
        <w:fldChar w:fldCharType="begin"/>
      </w:r>
      <w:r w:rsidR="005430ED" w:rsidRPr="000B1253">
        <w:rPr>
          <w:rFonts w:ascii="Lato" w:hAnsi="Lato"/>
          <w:bCs/>
          <w:color w:val="1F497D"/>
          <w:sz w:val="20"/>
          <w:szCs w:val="20"/>
        </w:rPr>
        <w:instrText xml:space="preserve"> STYLEREF 1 \s </w:instrText>
      </w:r>
      <w:r w:rsidR="004042AE" w:rsidRPr="000B1253">
        <w:rPr>
          <w:rFonts w:ascii="Lato" w:hAnsi="Lato"/>
          <w:bCs/>
          <w:color w:val="1F497D"/>
          <w:sz w:val="20"/>
          <w:szCs w:val="20"/>
        </w:rPr>
        <w:fldChar w:fldCharType="separate"/>
      </w:r>
      <w:r w:rsidR="0040205B">
        <w:rPr>
          <w:rFonts w:ascii="Lato" w:hAnsi="Lato"/>
          <w:bCs/>
          <w:noProof/>
          <w:color w:val="1F497D"/>
          <w:sz w:val="20"/>
          <w:szCs w:val="20"/>
        </w:rPr>
        <w:t>2</w:t>
      </w:r>
      <w:r w:rsidR="004042AE" w:rsidRPr="000B1253">
        <w:rPr>
          <w:rFonts w:ascii="Lato" w:hAnsi="Lato"/>
          <w:bCs/>
          <w:color w:val="1F497D"/>
          <w:sz w:val="20"/>
          <w:szCs w:val="20"/>
        </w:rPr>
        <w:fldChar w:fldCharType="end"/>
      </w:r>
      <w:r w:rsidR="005430ED" w:rsidRPr="000B1253">
        <w:rPr>
          <w:rFonts w:ascii="Lato" w:hAnsi="Lato"/>
          <w:bCs/>
          <w:color w:val="1F497D"/>
          <w:sz w:val="20"/>
          <w:szCs w:val="20"/>
        </w:rPr>
        <w:noBreakHyphen/>
      </w:r>
      <w:r w:rsidR="004042AE" w:rsidRPr="000B1253">
        <w:rPr>
          <w:rFonts w:ascii="Lato" w:hAnsi="Lato"/>
          <w:bCs/>
          <w:color w:val="1F497D"/>
          <w:sz w:val="20"/>
          <w:szCs w:val="20"/>
        </w:rPr>
        <w:fldChar w:fldCharType="begin"/>
      </w:r>
      <w:r w:rsidR="005430ED" w:rsidRPr="000B1253">
        <w:rPr>
          <w:rFonts w:ascii="Lato" w:hAnsi="Lato"/>
          <w:bCs/>
          <w:color w:val="1F497D"/>
          <w:sz w:val="20"/>
          <w:szCs w:val="20"/>
        </w:rPr>
        <w:instrText xml:space="preserve"> SEQ Tabela \* ARABIC \s 1 </w:instrText>
      </w:r>
      <w:r w:rsidR="004042AE" w:rsidRPr="000B1253">
        <w:rPr>
          <w:rFonts w:ascii="Lato" w:hAnsi="Lato"/>
          <w:bCs/>
          <w:color w:val="1F497D"/>
          <w:sz w:val="20"/>
          <w:szCs w:val="20"/>
        </w:rPr>
        <w:fldChar w:fldCharType="separate"/>
      </w:r>
      <w:r w:rsidR="0040205B">
        <w:rPr>
          <w:rFonts w:ascii="Lato" w:hAnsi="Lato"/>
          <w:bCs/>
          <w:noProof/>
          <w:color w:val="1F497D"/>
          <w:sz w:val="20"/>
          <w:szCs w:val="20"/>
        </w:rPr>
        <w:t>21</w:t>
      </w:r>
      <w:r w:rsidR="004042AE" w:rsidRPr="000B1253">
        <w:rPr>
          <w:rFonts w:ascii="Lato" w:hAnsi="Lato"/>
          <w:bCs/>
          <w:color w:val="1F497D"/>
          <w:sz w:val="20"/>
          <w:szCs w:val="20"/>
        </w:rPr>
        <w:fldChar w:fldCharType="end"/>
      </w:r>
      <w:r w:rsidRPr="000B1253">
        <w:rPr>
          <w:rFonts w:ascii="Lato" w:hAnsi="Lato"/>
          <w:color w:val="1F497D"/>
          <w:sz w:val="20"/>
          <w:szCs w:val="20"/>
        </w:rPr>
        <w:t xml:space="preserve"> Roczne zużycie paliw na ogrzanie budynku indywidualnego z uwzględnieniem sprawności energetycznej urządzeń grzewczych oraz potencjał redukcji zużycia energii w</w:t>
      </w:r>
      <w:r w:rsidR="00A23C07" w:rsidRPr="000B1253">
        <w:rPr>
          <w:rFonts w:ascii="Lato" w:hAnsi="Lato"/>
          <w:color w:val="1F497D"/>
          <w:sz w:val="20"/>
          <w:szCs w:val="20"/>
        </w:rPr>
        <w:t> </w:t>
      </w:r>
      <w:r w:rsidRPr="000B1253">
        <w:rPr>
          <w:rFonts w:ascii="Lato" w:hAnsi="Lato"/>
          <w:color w:val="1F497D"/>
          <w:sz w:val="20"/>
          <w:szCs w:val="20"/>
        </w:rPr>
        <w:t>wyniku zastosowania technologii alternatywnej do kotła węglowego komorowego</w:t>
      </w:r>
      <w:bookmarkEnd w:id="265"/>
      <w:bookmarkEnd w:id="266"/>
      <w:bookmarkEnd w:id="267"/>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000" w:firstRow="0" w:lastRow="0" w:firstColumn="0" w:lastColumn="0" w:noHBand="0" w:noVBand="0"/>
      </w:tblPr>
      <w:tblGrid>
        <w:gridCol w:w="3705"/>
        <w:gridCol w:w="1840"/>
        <w:gridCol w:w="1165"/>
        <w:gridCol w:w="1305"/>
        <w:gridCol w:w="1538"/>
      </w:tblGrid>
      <w:tr w:rsidR="005949ED" w:rsidRPr="000B1253" w:rsidTr="002A7C70">
        <w:trPr>
          <w:cantSplit/>
          <w:trHeight w:val="315"/>
        </w:trPr>
        <w:tc>
          <w:tcPr>
            <w:tcW w:w="4195" w:type="pct"/>
            <w:gridSpan w:val="4"/>
            <w:shd w:val="clear" w:color="auto" w:fill="DBE5F1"/>
            <w:noWrap/>
            <w:vAlign w:val="center"/>
          </w:tcPr>
          <w:p w:rsidR="006B024A" w:rsidRPr="000B1253" w:rsidRDefault="006B024A" w:rsidP="006B024A">
            <w:pPr>
              <w:spacing w:line="240" w:lineRule="auto"/>
              <w:ind w:firstLine="0"/>
              <w:jc w:val="center"/>
              <w:rPr>
                <w:rFonts w:ascii="Lato" w:hAnsi="Lato"/>
                <w:color w:val="1F497D"/>
                <w:sz w:val="20"/>
                <w:szCs w:val="20"/>
              </w:rPr>
            </w:pPr>
            <w:r w:rsidRPr="000B1253">
              <w:rPr>
                <w:rFonts w:ascii="Lato" w:hAnsi="Lato"/>
                <w:color w:val="1F497D"/>
                <w:sz w:val="20"/>
                <w:szCs w:val="20"/>
              </w:rPr>
              <w:t>Roczne zużycie paliwa dla różnych źródeł ciepła</w:t>
            </w:r>
          </w:p>
        </w:tc>
        <w:tc>
          <w:tcPr>
            <w:tcW w:w="805" w:type="pct"/>
            <w:vMerge w:val="restart"/>
            <w:shd w:val="clear" w:color="auto" w:fill="DBE5F1"/>
            <w:vAlign w:val="center"/>
          </w:tcPr>
          <w:p w:rsidR="006B024A" w:rsidRPr="000B1253" w:rsidRDefault="006B024A" w:rsidP="006B024A">
            <w:pPr>
              <w:spacing w:line="240" w:lineRule="auto"/>
              <w:ind w:firstLine="0"/>
              <w:jc w:val="center"/>
              <w:rPr>
                <w:rFonts w:ascii="Lato" w:hAnsi="Lato"/>
                <w:color w:val="1F497D"/>
                <w:sz w:val="20"/>
                <w:szCs w:val="20"/>
              </w:rPr>
            </w:pPr>
            <w:r w:rsidRPr="000B1253">
              <w:rPr>
                <w:rFonts w:ascii="Lato" w:hAnsi="Lato"/>
                <w:color w:val="1F497D"/>
                <w:sz w:val="20"/>
                <w:szCs w:val="20"/>
              </w:rPr>
              <w:t>Redukcja zużycia energii paliwa</w:t>
            </w:r>
          </w:p>
        </w:tc>
      </w:tr>
      <w:tr w:rsidR="005949ED" w:rsidRPr="000B1253" w:rsidTr="002A7C70">
        <w:trPr>
          <w:cantSplit/>
          <w:trHeight w:val="315"/>
        </w:trPr>
        <w:tc>
          <w:tcPr>
            <w:tcW w:w="1939" w:type="pct"/>
            <w:vMerge w:val="restart"/>
            <w:shd w:val="clear" w:color="auto" w:fill="DBE5F1"/>
            <w:vAlign w:val="center"/>
          </w:tcPr>
          <w:p w:rsidR="006B024A" w:rsidRPr="000B1253" w:rsidRDefault="006B024A" w:rsidP="006B024A">
            <w:pPr>
              <w:spacing w:line="240" w:lineRule="auto"/>
              <w:ind w:firstLine="0"/>
              <w:jc w:val="center"/>
              <w:rPr>
                <w:rFonts w:ascii="Lato" w:hAnsi="Lato"/>
                <w:color w:val="1F497D"/>
                <w:sz w:val="20"/>
                <w:szCs w:val="20"/>
              </w:rPr>
            </w:pPr>
            <w:r w:rsidRPr="000B1253">
              <w:rPr>
                <w:rFonts w:ascii="Lato" w:hAnsi="Lato"/>
                <w:color w:val="1F497D"/>
                <w:sz w:val="20"/>
                <w:szCs w:val="20"/>
              </w:rPr>
              <w:t>Rodzaj kotła</w:t>
            </w:r>
          </w:p>
        </w:tc>
        <w:tc>
          <w:tcPr>
            <w:tcW w:w="963" w:type="pct"/>
            <w:vMerge w:val="restart"/>
            <w:shd w:val="clear" w:color="auto" w:fill="DBE5F1"/>
            <w:vAlign w:val="center"/>
          </w:tcPr>
          <w:p w:rsidR="006B024A" w:rsidRPr="000B1253" w:rsidRDefault="006B024A" w:rsidP="00131AAF">
            <w:pPr>
              <w:spacing w:line="240" w:lineRule="auto"/>
              <w:ind w:firstLine="0"/>
              <w:jc w:val="center"/>
              <w:rPr>
                <w:rFonts w:ascii="Lato" w:hAnsi="Lato"/>
                <w:color w:val="1F497D"/>
                <w:sz w:val="20"/>
                <w:szCs w:val="20"/>
              </w:rPr>
            </w:pPr>
            <w:r w:rsidRPr="000B1253">
              <w:rPr>
                <w:rFonts w:ascii="Lato" w:hAnsi="Lato"/>
                <w:color w:val="1F497D"/>
                <w:sz w:val="20"/>
                <w:szCs w:val="20"/>
              </w:rPr>
              <w:t xml:space="preserve">Sprawność </w:t>
            </w:r>
            <w:r w:rsidR="00D577AA" w:rsidRPr="000B1253">
              <w:rPr>
                <w:rFonts w:ascii="Lato" w:hAnsi="Lato"/>
                <w:color w:val="1F497D"/>
                <w:sz w:val="20"/>
                <w:szCs w:val="20"/>
              </w:rPr>
              <w:t>urządzenia, %</w:t>
            </w:r>
            <w:r w:rsidRPr="000B1253">
              <w:rPr>
                <w:rFonts w:ascii="Lato" w:hAnsi="Lato"/>
                <w:color w:val="1F497D"/>
                <w:sz w:val="20"/>
                <w:szCs w:val="20"/>
              </w:rPr>
              <w:t>*</w:t>
            </w:r>
          </w:p>
        </w:tc>
        <w:tc>
          <w:tcPr>
            <w:tcW w:w="1293" w:type="pct"/>
            <w:gridSpan w:val="2"/>
            <w:shd w:val="clear" w:color="auto" w:fill="DBE5F1"/>
            <w:vAlign w:val="center"/>
          </w:tcPr>
          <w:p w:rsidR="006B024A" w:rsidRPr="000B1253" w:rsidRDefault="006B024A" w:rsidP="006B024A">
            <w:pPr>
              <w:spacing w:line="240" w:lineRule="auto"/>
              <w:ind w:firstLine="0"/>
              <w:jc w:val="center"/>
              <w:rPr>
                <w:rFonts w:ascii="Lato" w:hAnsi="Lato"/>
                <w:color w:val="1F497D"/>
                <w:sz w:val="20"/>
                <w:szCs w:val="20"/>
              </w:rPr>
            </w:pPr>
            <w:r w:rsidRPr="000B1253">
              <w:rPr>
                <w:rFonts w:ascii="Lato" w:hAnsi="Lato"/>
                <w:color w:val="1F497D"/>
                <w:sz w:val="20"/>
                <w:szCs w:val="20"/>
              </w:rPr>
              <w:t>Zużycie paliwa</w:t>
            </w:r>
          </w:p>
        </w:tc>
        <w:tc>
          <w:tcPr>
            <w:tcW w:w="805" w:type="pct"/>
            <w:vMerge/>
            <w:shd w:val="clear" w:color="auto" w:fill="DBE5F1"/>
            <w:vAlign w:val="center"/>
          </w:tcPr>
          <w:p w:rsidR="006B024A" w:rsidRPr="000B1253" w:rsidRDefault="006B024A" w:rsidP="006B024A">
            <w:pPr>
              <w:spacing w:line="240" w:lineRule="auto"/>
              <w:ind w:firstLine="0"/>
              <w:rPr>
                <w:rFonts w:ascii="Lato" w:hAnsi="Lato"/>
                <w:color w:val="1F497D"/>
                <w:sz w:val="20"/>
                <w:szCs w:val="20"/>
              </w:rPr>
            </w:pPr>
          </w:p>
        </w:tc>
      </w:tr>
      <w:tr w:rsidR="005949ED" w:rsidRPr="000B1253" w:rsidTr="002A7C70">
        <w:trPr>
          <w:cantSplit/>
          <w:trHeight w:val="315"/>
        </w:trPr>
        <w:tc>
          <w:tcPr>
            <w:tcW w:w="1939" w:type="pct"/>
            <w:vMerge/>
            <w:shd w:val="clear" w:color="auto" w:fill="DBE5F1"/>
            <w:vAlign w:val="center"/>
          </w:tcPr>
          <w:p w:rsidR="006B024A" w:rsidRPr="000B1253" w:rsidRDefault="006B024A" w:rsidP="006B024A">
            <w:pPr>
              <w:spacing w:line="240" w:lineRule="auto"/>
              <w:ind w:firstLine="0"/>
              <w:rPr>
                <w:rFonts w:ascii="Lato" w:hAnsi="Lato"/>
                <w:color w:val="1F497D"/>
                <w:sz w:val="20"/>
                <w:szCs w:val="20"/>
              </w:rPr>
            </w:pPr>
          </w:p>
        </w:tc>
        <w:tc>
          <w:tcPr>
            <w:tcW w:w="963" w:type="pct"/>
            <w:vMerge/>
            <w:shd w:val="clear" w:color="auto" w:fill="DBE5F1"/>
            <w:vAlign w:val="center"/>
          </w:tcPr>
          <w:p w:rsidR="006B024A" w:rsidRPr="000B1253" w:rsidRDefault="006B024A" w:rsidP="006B024A">
            <w:pPr>
              <w:spacing w:line="240" w:lineRule="auto"/>
              <w:ind w:firstLine="0"/>
              <w:rPr>
                <w:rFonts w:ascii="Lato" w:hAnsi="Lato"/>
                <w:color w:val="1F497D"/>
                <w:sz w:val="20"/>
                <w:szCs w:val="20"/>
              </w:rPr>
            </w:pPr>
          </w:p>
        </w:tc>
        <w:tc>
          <w:tcPr>
            <w:tcW w:w="610" w:type="pct"/>
            <w:shd w:val="clear" w:color="auto" w:fill="DBE5F1"/>
            <w:vAlign w:val="center"/>
          </w:tcPr>
          <w:p w:rsidR="006B024A" w:rsidRPr="000B1253" w:rsidRDefault="006B024A" w:rsidP="006B024A">
            <w:pPr>
              <w:spacing w:line="240" w:lineRule="auto"/>
              <w:ind w:firstLine="0"/>
              <w:jc w:val="center"/>
              <w:rPr>
                <w:rFonts w:ascii="Lato" w:hAnsi="Lato"/>
                <w:color w:val="1F497D"/>
                <w:sz w:val="20"/>
                <w:szCs w:val="20"/>
              </w:rPr>
            </w:pPr>
            <w:r w:rsidRPr="000B1253">
              <w:rPr>
                <w:rFonts w:ascii="Lato" w:hAnsi="Lato"/>
                <w:color w:val="1F497D"/>
                <w:sz w:val="20"/>
                <w:szCs w:val="20"/>
              </w:rPr>
              <w:t>Ilość</w:t>
            </w:r>
          </w:p>
        </w:tc>
        <w:tc>
          <w:tcPr>
            <w:tcW w:w="683" w:type="pct"/>
            <w:shd w:val="clear" w:color="auto" w:fill="DBE5F1"/>
            <w:vAlign w:val="center"/>
          </w:tcPr>
          <w:p w:rsidR="006B024A" w:rsidRPr="000B1253" w:rsidRDefault="006B024A" w:rsidP="006B024A">
            <w:pPr>
              <w:spacing w:line="240" w:lineRule="auto"/>
              <w:ind w:firstLine="0"/>
              <w:jc w:val="center"/>
              <w:rPr>
                <w:rFonts w:ascii="Lato" w:hAnsi="Lato"/>
                <w:color w:val="1F497D"/>
                <w:sz w:val="20"/>
                <w:szCs w:val="20"/>
              </w:rPr>
            </w:pPr>
            <w:r w:rsidRPr="000B1253">
              <w:rPr>
                <w:rFonts w:ascii="Lato" w:hAnsi="Lato"/>
                <w:color w:val="1F497D"/>
                <w:sz w:val="20"/>
                <w:szCs w:val="20"/>
              </w:rPr>
              <w:t>Jednostka</w:t>
            </w:r>
          </w:p>
        </w:tc>
        <w:tc>
          <w:tcPr>
            <w:tcW w:w="805" w:type="pct"/>
            <w:vMerge/>
            <w:shd w:val="clear" w:color="auto" w:fill="DBE5F1"/>
            <w:vAlign w:val="center"/>
          </w:tcPr>
          <w:p w:rsidR="006B024A" w:rsidRPr="000B1253" w:rsidRDefault="006B024A" w:rsidP="006B024A">
            <w:pPr>
              <w:spacing w:line="240" w:lineRule="auto"/>
              <w:ind w:firstLine="0"/>
              <w:rPr>
                <w:rFonts w:ascii="Lato" w:hAnsi="Lato"/>
                <w:color w:val="1F497D"/>
                <w:sz w:val="20"/>
                <w:szCs w:val="20"/>
              </w:rPr>
            </w:pPr>
          </w:p>
        </w:tc>
      </w:tr>
      <w:tr w:rsidR="000B1253" w:rsidRPr="000B1253" w:rsidTr="00CD1E61">
        <w:trPr>
          <w:trHeight w:val="285"/>
        </w:trPr>
        <w:tc>
          <w:tcPr>
            <w:tcW w:w="1939" w:type="pct"/>
            <w:vAlign w:val="center"/>
          </w:tcPr>
          <w:p w:rsidR="000B1253" w:rsidRPr="000B1253" w:rsidRDefault="000B1253" w:rsidP="005949ED">
            <w:pPr>
              <w:ind w:firstLine="0"/>
              <w:rPr>
                <w:rFonts w:ascii="Lato" w:hAnsi="Lato"/>
                <w:color w:val="1F497D" w:themeColor="text2"/>
                <w:sz w:val="20"/>
                <w:szCs w:val="20"/>
              </w:rPr>
            </w:pPr>
            <w:r w:rsidRPr="000B1253">
              <w:rPr>
                <w:rFonts w:ascii="Lato" w:hAnsi="Lato"/>
                <w:color w:val="1F497D" w:themeColor="text2"/>
                <w:sz w:val="20"/>
                <w:szCs w:val="20"/>
              </w:rPr>
              <w:t>Kocioł węglowy - tradycyjny</w:t>
            </w:r>
          </w:p>
        </w:tc>
        <w:tc>
          <w:tcPr>
            <w:tcW w:w="96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65</w:t>
            </w:r>
          </w:p>
        </w:tc>
        <w:tc>
          <w:tcPr>
            <w:tcW w:w="610"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4,6</w:t>
            </w:r>
          </w:p>
        </w:tc>
        <w:tc>
          <w:tcPr>
            <w:tcW w:w="68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Mg/a</w:t>
            </w:r>
          </w:p>
        </w:tc>
        <w:tc>
          <w:tcPr>
            <w:tcW w:w="805" w:type="pct"/>
            <w:noWrap/>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w:t>
            </w:r>
          </w:p>
        </w:tc>
      </w:tr>
      <w:tr w:rsidR="000B1253" w:rsidRPr="000B1253" w:rsidTr="00CD1E61">
        <w:trPr>
          <w:trHeight w:val="285"/>
        </w:trPr>
        <w:tc>
          <w:tcPr>
            <w:tcW w:w="1939" w:type="pct"/>
            <w:vAlign w:val="center"/>
          </w:tcPr>
          <w:p w:rsidR="000B1253" w:rsidRPr="000B1253" w:rsidRDefault="000B1253" w:rsidP="005949ED">
            <w:pPr>
              <w:ind w:firstLine="0"/>
              <w:rPr>
                <w:rFonts w:ascii="Lato" w:hAnsi="Lato"/>
                <w:color w:val="1F497D" w:themeColor="text2"/>
                <w:sz w:val="20"/>
                <w:szCs w:val="20"/>
              </w:rPr>
            </w:pPr>
            <w:r w:rsidRPr="000B1253">
              <w:rPr>
                <w:rFonts w:ascii="Lato" w:hAnsi="Lato"/>
                <w:color w:val="1F497D" w:themeColor="text2"/>
                <w:sz w:val="20"/>
                <w:szCs w:val="20"/>
              </w:rPr>
              <w:t>Kocioł węglowy - retortowy</w:t>
            </w:r>
          </w:p>
        </w:tc>
        <w:tc>
          <w:tcPr>
            <w:tcW w:w="96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85</w:t>
            </w:r>
          </w:p>
        </w:tc>
        <w:tc>
          <w:tcPr>
            <w:tcW w:w="610"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3,3</w:t>
            </w:r>
          </w:p>
        </w:tc>
        <w:tc>
          <w:tcPr>
            <w:tcW w:w="68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Mg/a</w:t>
            </w:r>
          </w:p>
        </w:tc>
        <w:tc>
          <w:tcPr>
            <w:tcW w:w="805" w:type="pct"/>
            <w:noWrap/>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23,4%</w:t>
            </w:r>
          </w:p>
        </w:tc>
      </w:tr>
      <w:tr w:rsidR="000B1253" w:rsidRPr="000B1253" w:rsidTr="00CD1E61">
        <w:trPr>
          <w:trHeight w:val="285"/>
        </w:trPr>
        <w:tc>
          <w:tcPr>
            <w:tcW w:w="1939" w:type="pct"/>
            <w:vAlign w:val="center"/>
          </w:tcPr>
          <w:p w:rsidR="000B1253" w:rsidRPr="000B1253" w:rsidRDefault="000B1253" w:rsidP="005949ED">
            <w:pPr>
              <w:ind w:firstLine="0"/>
              <w:rPr>
                <w:rFonts w:ascii="Lato" w:hAnsi="Lato"/>
                <w:color w:val="1F497D" w:themeColor="text2"/>
                <w:sz w:val="20"/>
                <w:szCs w:val="20"/>
              </w:rPr>
            </w:pPr>
            <w:r w:rsidRPr="000B1253">
              <w:rPr>
                <w:rFonts w:ascii="Lato" w:hAnsi="Lato"/>
                <w:color w:val="1F497D" w:themeColor="text2"/>
                <w:sz w:val="20"/>
                <w:szCs w:val="20"/>
              </w:rPr>
              <w:t>Kocioł gazowy</w:t>
            </w:r>
          </w:p>
        </w:tc>
        <w:tc>
          <w:tcPr>
            <w:tcW w:w="96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90</w:t>
            </w:r>
          </w:p>
        </w:tc>
        <w:tc>
          <w:tcPr>
            <w:tcW w:w="610"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2191</w:t>
            </w:r>
          </w:p>
        </w:tc>
        <w:tc>
          <w:tcPr>
            <w:tcW w:w="68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m</w:t>
            </w:r>
            <w:r w:rsidRPr="000B1253">
              <w:rPr>
                <w:rFonts w:ascii="Lato" w:hAnsi="Lato" w:cs="Arial"/>
                <w:color w:val="1F497D" w:themeColor="text2"/>
                <w:sz w:val="20"/>
                <w:szCs w:val="20"/>
                <w:vertAlign w:val="superscript"/>
              </w:rPr>
              <w:t>3</w:t>
            </w:r>
            <w:r w:rsidRPr="000B1253">
              <w:rPr>
                <w:rFonts w:ascii="Lato" w:hAnsi="Lato" w:cs="Arial"/>
                <w:color w:val="1F497D" w:themeColor="text2"/>
                <w:sz w:val="20"/>
                <w:szCs w:val="20"/>
              </w:rPr>
              <w:t>/a</w:t>
            </w:r>
          </w:p>
        </w:tc>
        <w:tc>
          <w:tcPr>
            <w:tcW w:w="805" w:type="pct"/>
            <w:noWrap/>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27,8%</w:t>
            </w:r>
          </w:p>
        </w:tc>
      </w:tr>
      <w:tr w:rsidR="000B1253" w:rsidRPr="000B1253" w:rsidTr="00CD1E61">
        <w:trPr>
          <w:trHeight w:val="285"/>
        </w:trPr>
        <w:tc>
          <w:tcPr>
            <w:tcW w:w="1939" w:type="pct"/>
            <w:vAlign w:val="center"/>
          </w:tcPr>
          <w:p w:rsidR="000B1253" w:rsidRPr="000B1253" w:rsidRDefault="000B1253" w:rsidP="005949ED">
            <w:pPr>
              <w:ind w:firstLine="0"/>
              <w:rPr>
                <w:rFonts w:ascii="Lato" w:hAnsi="Lato"/>
                <w:color w:val="1F497D" w:themeColor="text2"/>
                <w:sz w:val="20"/>
                <w:szCs w:val="20"/>
              </w:rPr>
            </w:pPr>
            <w:r w:rsidRPr="000B1253">
              <w:rPr>
                <w:rFonts w:ascii="Lato" w:hAnsi="Lato"/>
                <w:color w:val="1F497D" w:themeColor="text2"/>
                <w:sz w:val="20"/>
                <w:szCs w:val="20"/>
              </w:rPr>
              <w:t>Kocioł olejowy</w:t>
            </w:r>
          </w:p>
        </w:tc>
        <w:tc>
          <w:tcPr>
            <w:tcW w:w="96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88</w:t>
            </w:r>
          </w:p>
        </w:tc>
        <w:tc>
          <w:tcPr>
            <w:tcW w:w="610"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2,2</w:t>
            </w:r>
          </w:p>
        </w:tc>
        <w:tc>
          <w:tcPr>
            <w:tcW w:w="68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m</w:t>
            </w:r>
            <w:r w:rsidRPr="000B1253">
              <w:rPr>
                <w:rFonts w:ascii="Lato" w:hAnsi="Lato" w:cs="Arial"/>
                <w:color w:val="1F497D" w:themeColor="text2"/>
                <w:sz w:val="20"/>
                <w:szCs w:val="20"/>
                <w:vertAlign w:val="superscript"/>
              </w:rPr>
              <w:t>3</w:t>
            </w:r>
            <w:r w:rsidRPr="000B1253">
              <w:rPr>
                <w:rFonts w:ascii="Lato" w:hAnsi="Lato" w:cs="Arial"/>
                <w:color w:val="1F497D" w:themeColor="text2"/>
                <w:sz w:val="20"/>
                <w:szCs w:val="20"/>
              </w:rPr>
              <w:t>/a</w:t>
            </w:r>
          </w:p>
        </w:tc>
        <w:tc>
          <w:tcPr>
            <w:tcW w:w="805" w:type="pct"/>
            <w:noWrap/>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26,0%</w:t>
            </w:r>
          </w:p>
        </w:tc>
      </w:tr>
      <w:tr w:rsidR="000B1253" w:rsidRPr="000B1253" w:rsidTr="00CD1E61">
        <w:trPr>
          <w:trHeight w:val="285"/>
        </w:trPr>
        <w:tc>
          <w:tcPr>
            <w:tcW w:w="1939" w:type="pct"/>
            <w:vAlign w:val="center"/>
          </w:tcPr>
          <w:p w:rsidR="000B1253" w:rsidRPr="000B1253" w:rsidRDefault="000B1253" w:rsidP="005949ED">
            <w:pPr>
              <w:ind w:firstLine="0"/>
              <w:rPr>
                <w:rFonts w:ascii="Lato" w:hAnsi="Lato"/>
                <w:color w:val="1F497D" w:themeColor="text2"/>
                <w:sz w:val="20"/>
                <w:szCs w:val="20"/>
              </w:rPr>
            </w:pPr>
            <w:r w:rsidRPr="000B1253">
              <w:rPr>
                <w:rFonts w:ascii="Lato" w:hAnsi="Lato"/>
                <w:color w:val="1F497D" w:themeColor="text2"/>
                <w:sz w:val="20"/>
                <w:szCs w:val="20"/>
              </w:rPr>
              <w:t>Kocioł LPG</w:t>
            </w:r>
          </w:p>
        </w:tc>
        <w:tc>
          <w:tcPr>
            <w:tcW w:w="96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90</w:t>
            </w:r>
          </w:p>
        </w:tc>
        <w:tc>
          <w:tcPr>
            <w:tcW w:w="610"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3,2</w:t>
            </w:r>
          </w:p>
        </w:tc>
        <w:tc>
          <w:tcPr>
            <w:tcW w:w="68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m</w:t>
            </w:r>
            <w:r w:rsidRPr="000B1253">
              <w:rPr>
                <w:rFonts w:ascii="Lato" w:hAnsi="Lato" w:cs="Arial"/>
                <w:color w:val="1F497D" w:themeColor="text2"/>
                <w:sz w:val="20"/>
                <w:szCs w:val="20"/>
                <w:vertAlign w:val="superscript"/>
              </w:rPr>
              <w:t>3</w:t>
            </w:r>
            <w:r w:rsidRPr="000B1253">
              <w:rPr>
                <w:rFonts w:ascii="Lato" w:hAnsi="Lato" w:cs="Arial"/>
                <w:color w:val="1F497D" w:themeColor="text2"/>
                <w:sz w:val="20"/>
                <w:szCs w:val="20"/>
              </w:rPr>
              <w:t>/a</w:t>
            </w:r>
          </w:p>
        </w:tc>
        <w:tc>
          <w:tcPr>
            <w:tcW w:w="805" w:type="pct"/>
            <w:noWrap/>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27,7%</w:t>
            </w:r>
          </w:p>
        </w:tc>
      </w:tr>
      <w:tr w:rsidR="000B1253" w:rsidRPr="000B1253" w:rsidTr="00CD1E61">
        <w:trPr>
          <w:trHeight w:val="285"/>
        </w:trPr>
        <w:tc>
          <w:tcPr>
            <w:tcW w:w="1939" w:type="pct"/>
            <w:vAlign w:val="center"/>
          </w:tcPr>
          <w:p w:rsidR="000B1253" w:rsidRPr="000B1253" w:rsidRDefault="000B1253" w:rsidP="005949ED">
            <w:pPr>
              <w:ind w:firstLine="0"/>
              <w:rPr>
                <w:rFonts w:ascii="Lato" w:hAnsi="Lato"/>
                <w:color w:val="1F497D" w:themeColor="text2"/>
                <w:sz w:val="20"/>
                <w:szCs w:val="20"/>
              </w:rPr>
            </w:pPr>
            <w:r w:rsidRPr="000B1253">
              <w:rPr>
                <w:rFonts w:ascii="Lato" w:hAnsi="Lato"/>
                <w:color w:val="1F497D" w:themeColor="text2"/>
                <w:sz w:val="20"/>
                <w:szCs w:val="20"/>
              </w:rPr>
              <w:t>Kocioł na drewno</w:t>
            </w:r>
          </w:p>
        </w:tc>
        <w:tc>
          <w:tcPr>
            <w:tcW w:w="96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80</w:t>
            </w:r>
          </w:p>
        </w:tc>
        <w:tc>
          <w:tcPr>
            <w:tcW w:w="610"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6,6</w:t>
            </w:r>
          </w:p>
        </w:tc>
        <w:tc>
          <w:tcPr>
            <w:tcW w:w="68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Mg/a</w:t>
            </w:r>
          </w:p>
        </w:tc>
        <w:tc>
          <w:tcPr>
            <w:tcW w:w="805" w:type="pct"/>
            <w:noWrap/>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18,8%</w:t>
            </w:r>
          </w:p>
        </w:tc>
      </w:tr>
      <w:tr w:rsidR="000B1253" w:rsidRPr="000B1253" w:rsidTr="00CD1E61">
        <w:trPr>
          <w:trHeight w:val="285"/>
        </w:trPr>
        <w:tc>
          <w:tcPr>
            <w:tcW w:w="1939" w:type="pct"/>
            <w:vAlign w:val="center"/>
          </w:tcPr>
          <w:p w:rsidR="000B1253" w:rsidRPr="000B1253" w:rsidRDefault="000B1253" w:rsidP="005949ED">
            <w:pPr>
              <w:ind w:firstLine="0"/>
              <w:rPr>
                <w:rFonts w:ascii="Lato" w:hAnsi="Lato"/>
                <w:color w:val="1F497D" w:themeColor="text2"/>
                <w:sz w:val="20"/>
                <w:szCs w:val="20"/>
              </w:rPr>
            </w:pPr>
            <w:r w:rsidRPr="000B1253">
              <w:rPr>
                <w:rFonts w:ascii="Lato" w:hAnsi="Lato"/>
                <w:color w:val="1F497D" w:themeColor="text2"/>
                <w:sz w:val="20"/>
                <w:szCs w:val="20"/>
              </w:rPr>
              <w:t>Kocioł na słomę</w:t>
            </w:r>
          </w:p>
        </w:tc>
        <w:tc>
          <w:tcPr>
            <w:tcW w:w="96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80</w:t>
            </w:r>
          </w:p>
        </w:tc>
        <w:tc>
          <w:tcPr>
            <w:tcW w:w="610"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37,5</w:t>
            </w:r>
          </w:p>
        </w:tc>
        <w:tc>
          <w:tcPr>
            <w:tcW w:w="68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m</w:t>
            </w:r>
            <w:r w:rsidRPr="000B1253">
              <w:rPr>
                <w:rFonts w:ascii="Lato" w:hAnsi="Lato" w:cs="Arial"/>
                <w:color w:val="1F497D" w:themeColor="text2"/>
                <w:sz w:val="20"/>
                <w:szCs w:val="20"/>
                <w:vertAlign w:val="superscript"/>
              </w:rPr>
              <w:t>3</w:t>
            </w:r>
            <w:r w:rsidRPr="000B1253">
              <w:rPr>
                <w:rFonts w:ascii="Lato" w:hAnsi="Lato" w:cs="Arial"/>
                <w:color w:val="1F497D" w:themeColor="text2"/>
                <w:sz w:val="20"/>
                <w:szCs w:val="20"/>
              </w:rPr>
              <w:t>/a</w:t>
            </w:r>
          </w:p>
        </w:tc>
        <w:tc>
          <w:tcPr>
            <w:tcW w:w="805" w:type="pct"/>
            <w:noWrap/>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18,7%</w:t>
            </w:r>
          </w:p>
        </w:tc>
      </w:tr>
      <w:tr w:rsidR="000B1253" w:rsidRPr="000B1253" w:rsidTr="00CD1E61">
        <w:trPr>
          <w:trHeight w:val="285"/>
        </w:trPr>
        <w:tc>
          <w:tcPr>
            <w:tcW w:w="1939" w:type="pct"/>
            <w:vAlign w:val="center"/>
          </w:tcPr>
          <w:p w:rsidR="000B1253" w:rsidRPr="000B1253" w:rsidRDefault="000B1253" w:rsidP="005949ED">
            <w:pPr>
              <w:ind w:firstLine="0"/>
              <w:rPr>
                <w:rFonts w:ascii="Lato" w:hAnsi="Lato"/>
                <w:color w:val="1F497D" w:themeColor="text2"/>
                <w:sz w:val="20"/>
                <w:szCs w:val="20"/>
              </w:rPr>
            </w:pPr>
            <w:r w:rsidRPr="000B1253">
              <w:rPr>
                <w:rFonts w:ascii="Lato" w:hAnsi="Lato"/>
                <w:color w:val="1F497D" w:themeColor="text2"/>
                <w:sz w:val="20"/>
                <w:szCs w:val="20"/>
              </w:rPr>
              <w:t>Pompa ciepła zasilana en.elektr.**</w:t>
            </w:r>
          </w:p>
        </w:tc>
        <w:tc>
          <w:tcPr>
            <w:tcW w:w="96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350</w:t>
            </w:r>
          </w:p>
        </w:tc>
        <w:tc>
          <w:tcPr>
            <w:tcW w:w="610"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6,5</w:t>
            </w:r>
          </w:p>
        </w:tc>
        <w:tc>
          <w:tcPr>
            <w:tcW w:w="68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MWh/rok</w:t>
            </w:r>
          </w:p>
        </w:tc>
        <w:tc>
          <w:tcPr>
            <w:tcW w:w="805" w:type="pct"/>
            <w:noWrap/>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78,3%</w:t>
            </w:r>
          </w:p>
        </w:tc>
      </w:tr>
      <w:tr w:rsidR="000B1253" w:rsidRPr="000B1253" w:rsidTr="00CD1E61">
        <w:trPr>
          <w:trHeight w:val="285"/>
        </w:trPr>
        <w:tc>
          <w:tcPr>
            <w:tcW w:w="1939" w:type="pct"/>
            <w:vAlign w:val="center"/>
          </w:tcPr>
          <w:p w:rsidR="000B1253" w:rsidRPr="000B1253" w:rsidRDefault="000B1253" w:rsidP="005949ED">
            <w:pPr>
              <w:ind w:firstLine="0"/>
              <w:rPr>
                <w:rFonts w:ascii="Lato" w:hAnsi="Lato"/>
                <w:color w:val="1F497D" w:themeColor="text2"/>
                <w:sz w:val="20"/>
                <w:szCs w:val="20"/>
              </w:rPr>
            </w:pPr>
            <w:r w:rsidRPr="000B1253">
              <w:rPr>
                <w:rFonts w:ascii="Lato" w:hAnsi="Lato"/>
                <w:color w:val="1F497D" w:themeColor="text2"/>
                <w:sz w:val="20"/>
                <w:szCs w:val="20"/>
              </w:rPr>
              <w:t>Ogrzewanie elektryczne</w:t>
            </w:r>
          </w:p>
        </w:tc>
        <w:tc>
          <w:tcPr>
            <w:tcW w:w="96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100</w:t>
            </w:r>
          </w:p>
        </w:tc>
        <w:tc>
          <w:tcPr>
            <w:tcW w:w="610"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19,2</w:t>
            </w:r>
          </w:p>
        </w:tc>
        <w:tc>
          <w:tcPr>
            <w:tcW w:w="683" w:type="pct"/>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MWh/rok</w:t>
            </w:r>
          </w:p>
        </w:tc>
        <w:tc>
          <w:tcPr>
            <w:tcW w:w="805" w:type="pct"/>
            <w:noWrap/>
            <w:vAlign w:val="center"/>
          </w:tcPr>
          <w:p w:rsidR="000B1253" w:rsidRPr="000B1253" w:rsidRDefault="000B1253" w:rsidP="000B1253">
            <w:pPr>
              <w:ind w:hanging="19"/>
              <w:jc w:val="center"/>
              <w:rPr>
                <w:rFonts w:ascii="Lato" w:hAnsi="Lato" w:cs="Arial"/>
                <w:color w:val="1F497D" w:themeColor="text2"/>
                <w:sz w:val="20"/>
                <w:szCs w:val="20"/>
              </w:rPr>
            </w:pPr>
            <w:r w:rsidRPr="000B1253">
              <w:rPr>
                <w:rFonts w:ascii="Lato" w:hAnsi="Lato" w:cs="Arial"/>
                <w:color w:val="1F497D" w:themeColor="text2"/>
                <w:sz w:val="20"/>
                <w:szCs w:val="20"/>
              </w:rPr>
              <w:t>35,0%</w:t>
            </w:r>
          </w:p>
        </w:tc>
      </w:tr>
      <w:tr w:rsidR="005949ED" w:rsidRPr="000B1253" w:rsidTr="002A7C70">
        <w:trPr>
          <w:trHeight w:val="255"/>
        </w:trPr>
        <w:tc>
          <w:tcPr>
            <w:tcW w:w="5000" w:type="pct"/>
            <w:gridSpan w:val="5"/>
            <w:noWrap/>
            <w:vAlign w:val="center"/>
          </w:tcPr>
          <w:p w:rsidR="006B024A" w:rsidRPr="000B1253" w:rsidRDefault="006B024A" w:rsidP="006B024A">
            <w:pPr>
              <w:spacing w:line="240" w:lineRule="auto"/>
              <w:ind w:firstLine="0"/>
              <w:rPr>
                <w:rFonts w:ascii="Lato" w:hAnsi="Lato"/>
                <w:i/>
                <w:iCs/>
                <w:color w:val="1F497D"/>
                <w:sz w:val="16"/>
                <w:szCs w:val="16"/>
              </w:rPr>
            </w:pPr>
            <w:r w:rsidRPr="000B1253">
              <w:rPr>
                <w:rFonts w:ascii="Lato" w:hAnsi="Lato"/>
                <w:i/>
                <w:iCs/>
                <w:color w:val="1F497D"/>
                <w:sz w:val="16"/>
                <w:szCs w:val="16"/>
              </w:rPr>
              <w:t>* sprawność średnioroczna</w:t>
            </w:r>
          </w:p>
        </w:tc>
      </w:tr>
      <w:tr w:rsidR="005949ED" w:rsidRPr="000B1253" w:rsidTr="002A7C70">
        <w:trPr>
          <w:trHeight w:val="255"/>
        </w:trPr>
        <w:tc>
          <w:tcPr>
            <w:tcW w:w="5000" w:type="pct"/>
            <w:gridSpan w:val="5"/>
            <w:noWrap/>
            <w:vAlign w:val="center"/>
          </w:tcPr>
          <w:p w:rsidR="006B024A" w:rsidRPr="000B1253" w:rsidRDefault="006B024A" w:rsidP="006B024A">
            <w:pPr>
              <w:spacing w:line="240" w:lineRule="auto"/>
              <w:ind w:firstLine="0"/>
              <w:rPr>
                <w:rFonts w:ascii="Lato" w:hAnsi="Lato"/>
                <w:i/>
                <w:iCs/>
                <w:color w:val="1F497D"/>
                <w:sz w:val="16"/>
                <w:szCs w:val="16"/>
              </w:rPr>
            </w:pPr>
            <w:r w:rsidRPr="000B1253">
              <w:rPr>
                <w:rFonts w:ascii="Lato" w:hAnsi="Lato"/>
                <w:i/>
                <w:iCs/>
                <w:color w:val="1F497D"/>
                <w:sz w:val="16"/>
                <w:szCs w:val="16"/>
              </w:rPr>
              <w:t>* dla pomp ciepła określa współczynnik COP, tu przyjęto COP=3,5</w:t>
            </w:r>
          </w:p>
        </w:tc>
      </w:tr>
    </w:tbl>
    <w:p w:rsidR="00845EB9" w:rsidRPr="00BD565E" w:rsidRDefault="00845EB9" w:rsidP="00845EB9">
      <w:pPr>
        <w:ind w:firstLine="0"/>
        <w:jc w:val="center"/>
        <w:rPr>
          <w:rFonts w:ascii="Lato" w:hAnsi="Lato"/>
          <w:bCs/>
          <w:i/>
          <w:spacing w:val="-2"/>
          <w:sz w:val="20"/>
          <w:szCs w:val="20"/>
        </w:rPr>
      </w:pPr>
      <w:r w:rsidRPr="000B1253">
        <w:rPr>
          <w:rFonts w:ascii="Lato" w:hAnsi="Lato"/>
          <w:bCs/>
          <w:i/>
          <w:spacing w:val="-2"/>
          <w:sz w:val="20"/>
          <w:szCs w:val="20"/>
        </w:rPr>
        <w:t>Źródło:</w:t>
      </w:r>
      <w:r w:rsidR="00E4247B" w:rsidRPr="000B1253">
        <w:rPr>
          <w:rFonts w:ascii="Lato" w:hAnsi="Lato"/>
          <w:bCs/>
          <w:i/>
          <w:spacing w:val="-2"/>
          <w:sz w:val="20"/>
          <w:szCs w:val="20"/>
        </w:rPr>
        <w:t xml:space="preserve"> </w:t>
      </w:r>
      <w:r w:rsidR="00BD0E60" w:rsidRPr="000B1253">
        <w:rPr>
          <w:rFonts w:ascii="Lato" w:hAnsi="Lato"/>
          <w:bCs/>
          <w:i/>
          <w:spacing w:val="-2"/>
          <w:sz w:val="20"/>
          <w:szCs w:val="20"/>
        </w:rPr>
        <w:t>O</w:t>
      </w:r>
      <w:r w:rsidR="00E4247B" w:rsidRPr="000B1253">
        <w:rPr>
          <w:rFonts w:ascii="Lato" w:hAnsi="Lato"/>
          <w:bCs/>
          <w:i/>
          <w:spacing w:val="-2"/>
          <w:sz w:val="20"/>
          <w:szCs w:val="20"/>
        </w:rPr>
        <w:t>bliczenia własne</w:t>
      </w:r>
    </w:p>
    <w:p w:rsidR="006B024A" w:rsidRPr="003E42DF" w:rsidRDefault="006B024A" w:rsidP="006B024A">
      <w:pPr>
        <w:jc w:val="both"/>
        <w:rPr>
          <w:rFonts w:ascii="Lato" w:hAnsi="Lato"/>
        </w:rPr>
      </w:pPr>
    </w:p>
    <w:p w:rsidR="006B024A" w:rsidRPr="00BD565E" w:rsidRDefault="000B1253" w:rsidP="006B024A">
      <w:pPr>
        <w:pStyle w:val="Tekstpodstawowy"/>
        <w:rPr>
          <w:rFonts w:ascii="Lato" w:hAnsi="Lato" w:cs="Times New Roman"/>
        </w:rPr>
      </w:pPr>
      <w:r>
        <w:rPr>
          <w:noProof/>
        </w:rPr>
        <w:lastRenderedPageBreak/>
        <w:drawing>
          <wp:inline distT="0" distB="0" distL="0" distR="0" wp14:anchorId="52182B0F" wp14:editId="0438BBF7">
            <wp:extent cx="5972810" cy="3907790"/>
            <wp:effectExtent l="0" t="0" r="8890" b="0"/>
            <wp:docPr id="4788" name="Wykres 47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B024A" w:rsidRPr="00BD565E" w:rsidRDefault="006B024A" w:rsidP="005949ED">
      <w:pPr>
        <w:pStyle w:val="Legenda"/>
        <w:jc w:val="center"/>
        <w:rPr>
          <w:rFonts w:ascii="Lato" w:hAnsi="Lato"/>
          <w:color w:val="1F497D"/>
          <w:sz w:val="20"/>
          <w:szCs w:val="20"/>
        </w:rPr>
      </w:pPr>
      <w:bookmarkStart w:id="268" w:name="_Toc336419381"/>
      <w:bookmarkStart w:id="269" w:name="_Toc336943699"/>
      <w:bookmarkStart w:id="270" w:name="_Toc20219240"/>
      <w:r w:rsidRPr="00BD565E">
        <w:rPr>
          <w:rFonts w:ascii="Lato" w:hAnsi="Lato"/>
          <w:bCs/>
          <w:color w:val="1F497D"/>
          <w:sz w:val="20"/>
          <w:szCs w:val="20"/>
        </w:rPr>
        <w:t xml:space="preserve">Rysunek </w:t>
      </w:r>
      <w:r w:rsidR="004042AE" w:rsidRPr="00BD565E">
        <w:rPr>
          <w:rFonts w:ascii="Lato" w:hAnsi="Lato"/>
          <w:bCs/>
          <w:color w:val="1F497D"/>
          <w:sz w:val="20"/>
          <w:szCs w:val="20"/>
        </w:rPr>
        <w:fldChar w:fldCharType="begin"/>
      </w:r>
      <w:r w:rsidR="005430ED" w:rsidRPr="00BD565E">
        <w:rPr>
          <w:rFonts w:ascii="Lato" w:hAnsi="Lato"/>
          <w:bCs/>
          <w:color w:val="1F497D"/>
          <w:sz w:val="20"/>
          <w:szCs w:val="20"/>
        </w:rPr>
        <w:instrText xml:space="preserve"> STYLEREF 1 \s </w:instrText>
      </w:r>
      <w:r w:rsidR="004042AE" w:rsidRPr="00BD565E">
        <w:rPr>
          <w:rFonts w:ascii="Lato" w:hAnsi="Lato"/>
          <w:bCs/>
          <w:color w:val="1F497D"/>
          <w:sz w:val="20"/>
          <w:szCs w:val="20"/>
        </w:rPr>
        <w:fldChar w:fldCharType="separate"/>
      </w:r>
      <w:r w:rsidR="00283868">
        <w:rPr>
          <w:rFonts w:ascii="Lato" w:hAnsi="Lato"/>
          <w:bCs/>
          <w:noProof/>
          <w:color w:val="1F497D"/>
          <w:sz w:val="20"/>
          <w:szCs w:val="20"/>
        </w:rPr>
        <w:t>2</w:t>
      </w:r>
      <w:r w:rsidR="004042AE" w:rsidRPr="00BD565E">
        <w:rPr>
          <w:rFonts w:ascii="Lato" w:hAnsi="Lato"/>
          <w:bCs/>
          <w:color w:val="1F497D"/>
          <w:sz w:val="20"/>
          <w:szCs w:val="20"/>
        </w:rPr>
        <w:fldChar w:fldCharType="end"/>
      </w:r>
      <w:r w:rsidR="005430ED" w:rsidRPr="00BD565E">
        <w:rPr>
          <w:rFonts w:ascii="Lato" w:hAnsi="Lato"/>
          <w:bCs/>
          <w:color w:val="1F497D"/>
          <w:sz w:val="20"/>
          <w:szCs w:val="20"/>
        </w:rPr>
        <w:noBreakHyphen/>
      </w:r>
      <w:r w:rsidR="004042AE" w:rsidRPr="00BD565E">
        <w:rPr>
          <w:rFonts w:ascii="Lato" w:hAnsi="Lato"/>
          <w:bCs/>
          <w:color w:val="1F497D"/>
          <w:sz w:val="20"/>
          <w:szCs w:val="20"/>
        </w:rPr>
        <w:fldChar w:fldCharType="begin"/>
      </w:r>
      <w:r w:rsidR="005430ED" w:rsidRPr="00BD565E">
        <w:rPr>
          <w:rFonts w:ascii="Lato" w:hAnsi="Lato"/>
          <w:bCs/>
          <w:color w:val="1F497D"/>
          <w:sz w:val="20"/>
          <w:szCs w:val="20"/>
        </w:rPr>
        <w:instrText xml:space="preserve"> SEQ Rysunek \* ARABIC \s 1 </w:instrText>
      </w:r>
      <w:r w:rsidR="004042AE" w:rsidRPr="00BD565E">
        <w:rPr>
          <w:rFonts w:ascii="Lato" w:hAnsi="Lato"/>
          <w:bCs/>
          <w:color w:val="1F497D"/>
          <w:sz w:val="20"/>
          <w:szCs w:val="20"/>
        </w:rPr>
        <w:fldChar w:fldCharType="separate"/>
      </w:r>
      <w:r w:rsidR="00283868">
        <w:rPr>
          <w:rFonts w:ascii="Lato" w:hAnsi="Lato"/>
          <w:bCs/>
          <w:noProof/>
          <w:color w:val="1F497D"/>
          <w:sz w:val="20"/>
          <w:szCs w:val="20"/>
        </w:rPr>
        <w:t>21</w:t>
      </w:r>
      <w:r w:rsidR="004042AE" w:rsidRPr="00BD565E">
        <w:rPr>
          <w:rFonts w:ascii="Lato" w:hAnsi="Lato"/>
          <w:bCs/>
          <w:color w:val="1F497D"/>
          <w:sz w:val="20"/>
          <w:szCs w:val="20"/>
        </w:rPr>
        <w:fldChar w:fldCharType="end"/>
      </w:r>
      <w:r w:rsidRPr="00BD565E">
        <w:rPr>
          <w:rFonts w:ascii="Lato" w:hAnsi="Lato"/>
          <w:color w:val="1F497D"/>
          <w:sz w:val="20"/>
          <w:szCs w:val="20"/>
        </w:rPr>
        <w:t xml:space="preserve"> Porównanie kosztów wytworzenia energii w odniesieniu do energii użytecznej dla różnych nośników</w:t>
      </w:r>
      <w:bookmarkEnd w:id="268"/>
      <w:bookmarkEnd w:id="269"/>
      <w:bookmarkEnd w:id="270"/>
    </w:p>
    <w:p w:rsidR="00845EB9" w:rsidRPr="00BD565E" w:rsidRDefault="00845EB9" w:rsidP="00845EB9">
      <w:pPr>
        <w:ind w:firstLine="0"/>
        <w:jc w:val="center"/>
        <w:rPr>
          <w:rFonts w:ascii="Lato" w:hAnsi="Lato"/>
          <w:bCs/>
          <w:i/>
          <w:spacing w:val="-2"/>
          <w:sz w:val="20"/>
          <w:szCs w:val="20"/>
        </w:rPr>
      </w:pPr>
      <w:r w:rsidRPr="00BD565E">
        <w:rPr>
          <w:rFonts w:ascii="Lato" w:hAnsi="Lato"/>
          <w:bCs/>
          <w:i/>
          <w:spacing w:val="-2"/>
          <w:sz w:val="20"/>
          <w:szCs w:val="20"/>
        </w:rPr>
        <w:t>Źródło:</w:t>
      </w:r>
      <w:r w:rsidR="006063EE" w:rsidRPr="00BD565E">
        <w:rPr>
          <w:rFonts w:ascii="Lato" w:hAnsi="Lato"/>
          <w:bCs/>
          <w:i/>
          <w:spacing w:val="-2"/>
          <w:sz w:val="20"/>
          <w:szCs w:val="20"/>
        </w:rPr>
        <w:t xml:space="preserve"> </w:t>
      </w:r>
      <w:r w:rsidR="00BD0E60">
        <w:rPr>
          <w:rFonts w:ascii="Lato" w:hAnsi="Lato"/>
          <w:bCs/>
          <w:i/>
          <w:spacing w:val="-2"/>
          <w:sz w:val="20"/>
          <w:szCs w:val="20"/>
        </w:rPr>
        <w:t>O</w:t>
      </w:r>
      <w:r w:rsidR="006063EE" w:rsidRPr="00BD565E">
        <w:rPr>
          <w:rFonts w:ascii="Lato" w:hAnsi="Lato"/>
          <w:bCs/>
          <w:i/>
          <w:spacing w:val="-2"/>
          <w:sz w:val="20"/>
          <w:szCs w:val="20"/>
        </w:rPr>
        <w:t>bliczenia własne</w:t>
      </w:r>
    </w:p>
    <w:p w:rsidR="003E42DF" w:rsidRPr="00D352C4" w:rsidRDefault="003E42DF" w:rsidP="00845EB9">
      <w:pPr>
        <w:ind w:firstLine="0"/>
        <w:jc w:val="center"/>
        <w:rPr>
          <w:rFonts w:ascii="Lato" w:hAnsi="Lato"/>
          <w:bCs/>
          <w:i/>
          <w:spacing w:val="-2"/>
          <w:sz w:val="20"/>
          <w:szCs w:val="20"/>
          <w:highlight w:val="yellow"/>
        </w:rPr>
      </w:pPr>
    </w:p>
    <w:p w:rsidR="006B024A" w:rsidRPr="000B1253" w:rsidRDefault="006B024A" w:rsidP="003E42DF">
      <w:pPr>
        <w:pStyle w:val="bulety"/>
        <w:spacing w:before="0" w:after="0" w:line="312" w:lineRule="auto"/>
        <w:ind w:firstLine="709"/>
        <w:rPr>
          <w:rFonts w:ascii="Lato" w:hAnsi="Lato"/>
          <w:snapToGrid/>
        </w:rPr>
      </w:pPr>
      <w:r w:rsidRPr="000B1253">
        <w:rPr>
          <w:rFonts w:ascii="Lato" w:hAnsi="Lato"/>
          <w:snapToGrid/>
        </w:rPr>
        <w:t xml:space="preserve">Na podstawie powyższego rysunku można stwierdzić, że najniższy koszt wytworzenia ciepła w przeliczeniu na ilość ciepła użytecznego (potrzebnego do zachowania normatywnego komfortu cieplnego) występuje w przypadku kotłowni zasilanej paliwami stałymi na </w:t>
      </w:r>
      <w:r w:rsidR="00D03562">
        <w:rPr>
          <w:rFonts w:ascii="Lato" w:hAnsi="Lato"/>
          <w:snapToGrid/>
        </w:rPr>
        <w:t>drewno, a w </w:t>
      </w:r>
      <w:r w:rsidR="002B04D4" w:rsidRPr="000B1253">
        <w:rPr>
          <w:rFonts w:ascii="Lato" w:hAnsi="Lato"/>
          <w:snapToGrid/>
        </w:rPr>
        <w:t>dalszej kolejności na słomę</w:t>
      </w:r>
      <w:r w:rsidRPr="000B1253">
        <w:rPr>
          <w:rFonts w:ascii="Lato" w:hAnsi="Lato"/>
          <w:snapToGrid/>
        </w:rPr>
        <w:t xml:space="preserve">, węgiel do kotłów retortowych oraz komorowych. </w:t>
      </w:r>
    </w:p>
    <w:p w:rsidR="006B024A" w:rsidRPr="000B1253" w:rsidRDefault="006B024A" w:rsidP="003E42DF">
      <w:pPr>
        <w:pStyle w:val="bulety"/>
        <w:spacing w:before="0" w:after="0" w:line="312" w:lineRule="auto"/>
        <w:ind w:firstLine="709"/>
        <w:rPr>
          <w:rFonts w:ascii="Lato" w:hAnsi="Lato"/>
          <w:snapToGrid/>
        </w:rPr>
      </w:pPr>
      <w:r w:rsidRPr="000B1253">
        <w:rPr>
          <w:rFonts w:ascii="Lato" w:hAnsi="Lato"/>
          <w:snapToGrid/>
        </w:rPr>
        <w:t xml:space="preserve">Konkurencyjne pod względem kosztów eksploatacyjnych jest ogrzewanie pompą ciepła, która </w:t>
      </w:r>
      <w:r w:rsidR="00800A28" w:rsidRPr="000B1253">
        <w:rPr>
          <w:rFonts w:ascii="Lato" w:hAnsi="Lato"/>
          <w:snapToGrid/>
        </w:rPr>
        <w:t>ponad</w:t>
      </w:r>
      <w:r w:rsidRPr="000B1253">
        <w:rPr>
          <w:rFonts w:ascii="Lato" w:hAnsi="Lato"/>
          <w:snapToGrid/>
        </w:rPr>
        <w:t xml:space="preserve"> 2/3 energii potrzebnej do ogrzewania pobiera z gruntu (lub innego źródła), a </w:t>
      </w:r>
      <w:r w:rsidR="00800A28" w:rsidRPr="000B1253">
        <w:rPr>
          <w:rFonts w:ascii="Lato" w:hAnsi="Lato"/>
          <w:snapToGrid/>
        </w:rPr>
        <w:t>mniej niż</w:t>
      </w:r>
      <w:r w:rsidRPr="000B1253">
        <w:rPr>
          <w:rFonts w:ascii="Lato" w:hAnsi="Lato"/>
          <w:snapToGrid/>
        </w:rPr>
        <w:t xml:space="preserve"> 1/3 w postaci energii konwencjonalnej jaką zazwyczaj jest energia elektryczna. Najwyższe koszty dla przykładowego budynku jednorodzinnego występują w przypadku zasilania w ciepło energią elektryczną, gazem płynnym oraz olejem opałowym. </w:t>
      </w:r>
    </w:p>
    <w:p w:rsidR="006B024A" w:rsidRPr="00BD565E" w:rsidRDefault="006B024A" w:rsidP="003E42DF">
      <w:pPr>
        <w:ind w:firstLine="709"/>
        <w:jc w:val="both"/>
        <w:rPr>
          <w:rFonts w:ascii="Lato" w:hAnsi="Lato"/>
        </w:rPr>
      </w:pPr>
      <w:r w:rsidRPr="000B1253">
        <w:rPr>
          <w:rFonts w:ascii="Lato" w:hAnsi="Lato"/>
        </w:rPr>
        <w:t>W przypadku rozważania zmiany źródła ciepła trzeba się liczyć z poniesieniem znacznych nakładów inwestycyjnych, których nie uwzględniono na omawianym rysunku.</w:t>
      </w:r>
    </w:p>
    <w:p w:rsidR="006B024A" w:rsidRPr="003E42DF" w:rsidRDefault="006B024A" w:rsidP="006B024A">
      <w:pPr>
        <w:ind w:firstLine="0"/>
        <w:jc w:val="both"/>
        <w:rPr>
          <w:rFonts w:ascii="Lato" w:hAnsi="Lato"/>
        </w:rPr>
      </w:pPr>
    </w:p>
    <w:p w:rsidR="006B024A" w:rsidRPr="003E42DF" w:rsidRDefault="000B1253" w:rsidP="006B024A">
      <w:pPr>
        <w:ind w:firstLine="0"/>
        <w:jc w:val="both"/>
        <w:rPr>
          <w:rFonts w:ascii="Lato" w:hAnsi="Lato"/>
        </w:rPr>
      </w:pPr>
      <w:r>
        <w:rPr>
          <w:noProof/>
        </w:rPr>
        <w:lastRenderedPageBreak/>
        <w:drawing>
          <wp:inline distT="0" distB="0" distL="0" distR="0" wp14:anchorId="0F8F9A39" wp14:editId="131C259F">
            <wp:extent cx="5972810" cy="4039235"/>
            <wp:effectExtent l="0" t="0" r="8890" b="0"/>
            <wp:docPr id="4789" name="Wykres 4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B024A" w:rsidRPr="00BD565E" w:rsidRDefault="006B024A" w:rsidP="00A23C07">
      <w:pPr>
        <w:pStyle w:val="Legenda"/>
        <w:jc w:val="center"/>
        <w:rPr>
          <w:rFonts w:ascii="Lato" w:hAnsi="Lato"/>
          <w:color w:val="1F497D"/>
          <w:sz w:val="20"/>
          <w:szCs w:val="20"/>
        </w:rPr>
      </w:pPr>
      <w:bookmarkStart w:id="271" w:name="_Toc336419382"/>
      <w:bookmarkStart w:id="272" w:name="_Toc336943700"/>
      <w:bookmarkStart w:id="273" w:name="_Toc20219241"/>
      <w:r w:rsidRPr="00BD565E">
        <w:rPr>
          <w:rFonts w:ascii="Lato" w:hAnsi="Lato"/>
          <w:bCs/>
          <w:color w:val="1F497D"/>
          <w:sz w:val="20"/>
          <w:szCs w:val="20"/>
        </w:rPr>
        <w:t xml:space="preserve">Rysunek </w:t>
      </w:r>
      <w:r w:rsidR="004042AE" w:rsidRPr="00BD565E">
        <w:rPr>
          <w:rFonts w:ascii="Lato" w:hAnsi="Lato"/>
          <w:bCs/>
          <w:color w:val="1F497D"/>
          <w:sz w:val="20"/>
          <w:szCs w:val="20"/>
        </w:rPr>
        <w:fldChar w:fldCharType="begin"/>
      </w:r>
      <w:r w:rsidR="005430ED" w:rsidRPr="00BD565E">
        <w:rPr>
          <w:rFonts w:ascii="Lato" w:hAnsi="Lato"/>
          <w:bCs/>
          <w:color w:val="1F497D"/>
          <w:sz w:val="20"/>
          <w:szCs w:val="20"/>
        </w:rPr>
        <w:instrText xml:space="preserve"> STYLEREF 1 \s </w:instrText>
      </w:r>
      <w:r w:rsidR="004042AE" w:rsidRPr="00BD565E">
        <w:rPr>
          <w:rFonts w:ascii="Lato" w:hAnsi="Lato"/>
          <w:bCs/>
          <w:color w:val="1F497D"/>
          <w:sz w:val="20"/>
          <w:szCs w:val="20"/>
        </w:rPr>
        <w:fldChar w:fldCharType="separate"/>
      </w:r>
      <w:r w:rsidR="0040205B">
        <w:rPr>
          <w:rFonts w:ascii="Lato" w:hAnsi="Lato"/>
          <w:bCs/>
          <w:noProof/>
          <w:color w:val="1F497D"/>
          <w:sz w:val="20"/>
          <w:szCs w:val="20"/>
        </w:rPr>
        <w:t>2</w:t>
      </w:r>
      <w:r w:rsidR="004042AE" w:rsidRPr="00BD565E">
        <w:rPr>
          <w:rFonts w:ascii="Lato" w:hAnsi="Lato"/>
          <w:bCs/>
          <w:color w:val="1F497D"/>
          <w:sz w:val="20"/>
          <w:szCs w:val="20"/>
        </w:rPr>
        <w:fldChar w:fldCharType="end"/>
      </w:r>
      <w:r w:rsidR="005430ED" w:rsidRPr="00BD565E">
        <w:rPr>
          <w:rFonts w:ascii="Lato" w:hAnsi="Lato"/>
          <w:bCs/>
          <w:color w:val="1F497D"/>
          <w:sz w:val="20"/>
          <w:szCs w:val="20"/>
        </w:rPr>
        <w:noBreakHyphen/>
      </w:r>
      <w:r w:rsidR="004042AE" w:rsidRPr="00BD565E">
        <w:rPr>
          <w:rFonts w:ascii="Lato" w:hAnsi="Lato"/>
          <w:bCs/>
          <w:color w:val="1F497D"/>
          <w:sz w:val="20"/>
          <w:szCs w:val="20"/>
        </w:rPr>
        <w:fldChar w:fldCharType="begin"/>
      </w:r>
      <w:r w:rsidR="005430ED" w:rsidRPr="00BD565E">
        <w:rPr>
          <w:rFonts w:ascii="Lato" w:hAnsi="Lato"/>
          <w:bCs/>
          <w:color w:val="1F497D"/>
          <w:sz w:val="20"/>
          <w:szCs w:val="20"/>
        </w:rPr>
        <w:instrText xml:space="preserve"> SEQ Rysunek \* ARABIC \s 1 </w:instrText>
      </w:r>
      <w:r w:rsidR="004042AE" w:rsidRPr="00BD565E">
        <w:rPr>
          <w:rFonts w:ascii="Lato" w:hAnsi="Lato"/>
          <w:bCs/>
          <w:color w:val="1F497D"/>
          <w:sz w:val="20"/>
          <w:szCs w:val="20"/>
        </w:rPr>
        <w:fldChar w:fldCharType="separate"/>
      </w:r>
      <w:r w:rsidR="0040205B">
        <w:rPr>
          <w:rFonts w:ascii="Lato" w:hAnsi="Lato"/>
          <w:bCs/>
          <w:noProof/>
          <w:color w:val="1F497D"/>
          <w:sz w:val="20"/>
          <w:szCs w:val="20"/>
        </w:rPr>
        <w:t>22</w:t>
      </w:r>
      <w:r w:rsidR="004042AE" w:rsidRPr="00BD565E">
        <w:rPr>
          <w:rFonts w:ascii="Lato" w:hAnsi="Lato"/>
          <w:bCs/>
          <w:color w:val="1F497D"/>
          <w:sz w:val="20"/>
          <w:szCs w:val="20"/>
        </w:rPr>
        <w:fldChar w:fldCharType="end"/>
      </w:r>
      <w:r w:rsidRPr="00BD565E">
        <w:rPr>
          <w:rFonts w:ascii="Lato" w:hAnsi="Lato"/>
          <w:color w:val="1F497D"/>
          <w:sz w:val="20"/>
          <w:szCs w:val="20"/>
        </w:rPr>
        <w:t xml:space="preserve"> Porównanie rocznych kosztów wytworzenia energii w odniesieniu do jednostkowych wskaźników kosztów energii użytecznej dla różnych nośników</w:t>
      </w:r>
      <w:bookmarkEnd w:id="271"/>
      <w:bookmarkEnd w:id="272"/>
      <w:bookmarkEnd w:id="273"/>
    </w:p>
    <w:p w:rsidR="00BF3652" w:rsidRPr="00BD565E" w:rsidRDefault="00BF3652" w:rsidP="00BF3652">
      <w:pPr>
        <w:ind w:firstLine="0"/>
        <w:jc w:val="center"/>
        <w:rPr>
          <w:rFonts w:ascii="Lato" w:hAnsi="Lato"/>
          <w:bCs/>
          <w:i/>
          <w:spacing w:val="-2"/>
          <w:sz w:val="20"/>
          <w:szCs w:val="20"/>
        </w:rPr>
      </w:pPr>
      <w:r w:rsidRPr="00BD565E">
        <w:rPr>
          <w:rFonts w:ascii="Lato" w:hAnsi="Lato"/>
          <w:bCs/>
          <w:i/>
          <w:spacing w:val="-2"/>
          <w:sz w:val="20"/>
          <w:szCs w:val="20"/>
        </w:rPr>
        <w:t>Źródło:</w:t>
      </w:r>
      <w:r w:rsidR="00E4247B" w:rsidRPr="00BD565E">
        <w:rPr>
          <w:rFonts w:ascii="Lato" w:hAnsi="Lato"/>
          <w:bCs/>
          <w:i/>
          <w:spacing w:val="-2"/>
          <w:sz w:val="20"/>
          <w:szCs w:val="20"/>
        </w:rPr>
        <w:t xml:space="preserve"> </w:t>
      </w:r>
      <w:r w:rsidR="00BD0E60">
        <w:rPr>
          <w:rFonts w:ascii="Lato" w:hAnsi="Lato"/>
          <w:bCs/>
          <w:i/>
          <w:spacing w:val="-2"/>
          <w:sz w:val="20"/>
          <w:szCs w:val="20"/>
        </w:rPr>
        <w:t>O</w:t>
      </w:r>
      <w:r w:rsidR="00E4247B" w:rsidRPr="00BD565E">
        <w:rPr>
          <w:rFonts w:ascii="Lato" w:hAnsi="Lato"/>
          <w:bCs/>
          <w:i/>
          <w:spacing w:val="-2"/>
          <w:sz w:val="20"/>
          <w:szCs w:val="20"/>
        </w:rPr>
        <w:t>bliczenia własne</w:t>
      </w:r>
    </w:p>
    <w:p w:rsidR="00992B4F" w:rsidRPr="003E42DF" w:rsidRDefault="00992B4F" w:rsidP="006B024A">
      <w:pPr>
        <w:ind w:firstLine="0"/>
        <w:jc w:val="both"/>
        <w:rPr>
          <w:rFonts w:ascii="Lato" w:hAnsi="Lato"/>
        </w:rPr>
      </w:pPr>
    </w:p>
    <w:p w:rsidR="00845EB9" w:rsidRPr="003E42DF" w:rsidRDefault="00BB45D7" w:rsidP="00AB431C">
      <w:pPr>
        <w:pStyle w:val="Nagwek1"/>
        <w:numPr>
          <w:ilvl w:val="0"/>
          <w:numId w:val="38"/>
        </w:numPr>
        <w:spacing w:after="480" w:line="276" w:lineRule="auto"/>
        <w:ind w:left="425" w:hanging="425"/>
        <w:jc w:val="both"/>
        <w:rPr>
          <w:rFonts w:ascii="Lato" w:hAnsi="Lato"/>
          <w:b w:val="0"/>
          <w:i w:val="0"/>
          <w:color w:val="365F91"/>
        </w:rPr>
      </w:pPr>
      <w:r w:rsidRPr="003E42DF">
        <w:rPr>
          <w:rFonts w:ascii="Lato" w:hAnsi="Lato"/>
        </w:rPr>
        <w:br w:type="page"/>
      </w:r>
      <w:bookmarkStart w:id="274" w:name="_Toc20218517"/>
      <w:bookmarkStart w:id="275" w:name="_Toc336419317"/>
      <w:bookmarkStart w:id="276" w:name="_Toc336943571"/>
      <w:r w:rsidR="00845EB9" w:rsidRPr="003E42DF">
        <w:rPr>
          <w:rFonts w:ascii="Lato" w:hAnsi="Lato"/>
          <w:b w:val="0"/>
          <w:i w:val="0"/>
          <w:color w:val="365F91"/>
        </w:rPr>
        <w:lastRenderedPageBreak/>
        <w:t>Możliwości wykorzystania istniejących nadwyżek i lokalnych zasobów paliw, energii elektrycznej oraz ciepła</w:t>
      </w:r>
      <w:bookmarkEnd w:id="274"/>
    </w:p>
    <w:bookmarkEnd w:id="275"/>
    <w:bookmarkEnd w:id="276"/>
    <w:p w:rsidR="006B024A" w:rsidRPr="00BD565E" w:rsidRDefault="006B024A" w:rsidP="003E42DF">
      <w:pPr>
        <w:ind w:firstLine="709"/>
        <w:jc w:val="both"/>
        <w:rPr>
          <w:rFonts w:ascii="Lato" w:hAnsi="Lato"/>
          <w:szCs w:val="22"/>
        </w:rPr>
      </w:pPr>
      <w:r w:rsidRPr="00BD565E">
        <w:rPr>
          <w:rFonts w:ascii="Lato" w:hAnsi="Lato"/>
          <w:szCs w:val="22"/>
        </w:rPr>
        <w:t>Do energii wytwarzanej z odnawialnych źródeł energii zalicza się, niezależnie od parametrów technicznych źródła, energię elektryczną lub ciepło pochodzące ze źródeł odnawialnych, w szczególności:</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z elektrowni wodnych</w:t>
      </w:r>
      <w:r w:rsidR="0019236A" w:rsidRPr="00BD565E">
        <w:rPr>
          <w:rFonts w:ascii="Lato" w:hAnsi="Lato" w:cs="Times New Roman"/>
        </w:rPr>
        <w:t>,</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z elektrowni wiatrowych</w:t>
      </w:r>
      <w:r w:rsidR="0019236A" w:rsidRPr="00BD565E">
        <w:rPr>
          <w:rFonts w:ascii="Lato" w:hAnsi="Lato" w:cs="Times New Roman"/>
        </w:rPr>
        <w:t>,</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ze źródeł wytwarzających energię z biomasy</w:t>
      </w:r>
      <w:r w:rsidR="0019236A" w:rsidRPr="00BD565E">
        <w:rPr>
          <w:rFonts w:ascii="Lato" w:hAnsi="Lato" w:cs="Times New Roman"/>
        </w:rPr>
        <w:t>,</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ze źródeł wytwarzających energię z biogazu</w:t>
      </w:r>
      <w:r w:rsidR="0019236A" w:rsidRPr="00BD565E">
        <w:rPr>
          <w:rFonts w:ascii="Lato" w:hAnsi="Lato" w:cs="Times New Roman"/>
        </w:rPr>
        <w:t>,</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ze słonecznych ogniw fotowoltaicznych</w:t>
      </w:r>
      <w:r w:rsidR="0019236A" w:rsidRPr="00BD565E">
        <w:rPr>
          <w:rFonts w:ascii="Lato" w:hAnsi="Lato" w:cs="Times New Roman"/>
        </w:rPr>
        <w:t>,</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ze słonecznych kolektorów do produkcji ciepła</w:t>
      </w:r>
      <w:r w:rsidR="0019236A" w:rsidRPr="00BD565E">
        <w:rPr>
          <w:rFonts w:ascii="Lato" w:hAnsi="Lato" w:cs="Times New Roman"/>
        </w:rPr>
        <w:t>,</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ze źródeł geotermicznych.</w:t>
      </w:r>
    </w:p>
    <w:p w:rsidR="006B024A" w:rsidRPr="00BD565E" w:rsidRDefault="006B024A" w:rsidP="003E42DF">
      <w:pPr>
        <w:ind w:firstLine="0"/>
        <w:jc w:val="both"/>
        <w:rPr>
          <w:rFonts w:ascii="Lato" w:hAnsi="Lato"/>
          <w:szCs w:val="22"/>
        </w:rPr>
      </w:pPr>
    </w:p>
    <w:p w:rsidR="006B024A" w:rsidRPr="00BD565E" w:rsidRDefault="006B024A" w:rsidP="003E42DF">
      <w:pPr>
        <w:ind w:firstLine="0"/>
        <w:jc w:val="both"/>
        <w:rPr>
          <w:rFonts w:ascii="Lato" w:hAnsi="Lato"/>
          <w:szCs w:val="22"/>
        </w:rPr>
      </w:pPr>
      <w:r w:rsidRPr="00BD565E">
        <w:rPr>
          <w:rFonts w:ascii="Lato" w:hAnsi="Lato"/>
          <w:szCs w:val="22"/>
        </w:rPr>
        <w:t>Cechy odnawialnych źródeł energii w stosunku do technologii konwencjonalnych:</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zwykle wyższy koszt początkowy</w:t>
      </w:r>
      <w:r w:rsidR="0019236A" w:rsidRPr="00BD565E">
        <w:rPr>
          <w:rFonts w:ascii="Lato" w:hAnsi="Lato" w:cs="Times New Roman"/>
        </w:rPr>
        <w:t>,</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generalnie niższe koszty eksploatacyjne</w:t>
      </w:r>
      <w:r w:rsidR="0019236A" w:rsidRPr="00BD565E">
        <w:rPr>
          <w:rFonts w:ascii="Lato" w:hAnsi="Lato" w:cs="Times New Roman"/>
        </w:rPr>
        <w:t>,</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źródło przyjazne środowisku – czysta technologia energetyczna</w:t>
      </w:r>
      <w:r w:rsidR="0019236A" w:rsidRPr="00BD565E">
        <w:rPr>
          <w:rFonts w:ascii="Lato" w:hAnsi="Lato" w:cs="Times New Roman"/>
        </w:rPr>
        <w:t>,</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zwykle opłacalne ekonomicznie w oparciu o metodę obliczania kosztu w cyklu żywotności</w:t>
      </w:r>
      <w:r w:rsidR="0019236A" w:rsidRPr="00BD565E">
        <w:rPr>
          <w:rFonts w:ascii="Lato" w:hAnsi="Lato" w:cs="Times New Roman"/>
        </w:rPr>
        <w:t>,</w:t>
      </w:r>
    </w:p>
    <w:p w:rsidR="006B024A" w:rsidRPr="00BD565E" w:rsidRDefault="006B024A" w:rsidP="003E42DF">
      <w:pPr>
        <w:pStyle w:val="Tekstpodstawowy"/>
        <w:numPr>
          <w:ilvl w:val="0"/>
          <w:numId w:val="83"/>
        </w:numPr>
        <w:tabs>
          <w:tab w:val="clear" w:pos="360"/>
        </w:tabs>
        <w:ind w:left="709" w:hanging="425"/>
        <w:rPr>
          <w:rFonts w:ascii="Lato" w:hAnsi="Lato" w:cs="Times New Roman"/>
        </w:rPr>
      </w:pPr>
      <w:r w:rsidRPr="00BD565E">
        <w:rPr>
          <w:rFonts w:ascii="Lato" w:hAnsi="Lato" w:cs="Times New Roman"/>
        </w:rPr>
        <w:t>odnawialne źródła energii charakteryzuje duża zmienność ilości produkowanej energii w</w:t>
      </w:r>
      <w:r w:rsidR="00A22D43" w:rsidRPr="00BD565E">
        <w:rPr>
          <w:rFonts w:ascii="Lato" w:hAnsi="Lato" w:cs="Times New Roman"/>
        </w:rPr>
        <w:t> </w:t>
      </w:r>
      <w:r w:rsidRPr="00BD565E">
        <w:rPr>
          <w:rFonts w:ascii="Lato" w:hAnsi="Lato" w:cs="Times New Roman"/>
        </w:rPr>
        <w:t>zależności od pory dnia i roku, warunków pogodowych czy lokalizacji geograficznej miejsca ich pozyskiwania.</w:t>
      </w:r>
    </w:p>
    <w:p w:rsidR="006B024A" w:rsidRPr="00582BF7" w:rsidRDefault="006B024A" w:rsidP="003E42DF">
      <w:pPr>
        <w:ind w:firstLine="0"/>
        <w:jc w:val="both"/>
        <w:rPr>
          <w:rFonts w:ascii="Lato" w:hAnsi="Lato"/>
          <w:szCs w:val="22"/>
        </w:rPr>
      </w:pPr>
    </w:p>
    <w:p w:rsidR="006B024A" w:rsidRPr="00582BF7" w:rsidRDefault="006B024A" w:rsidP="003E42DF">
      <w:pPr>
        <w:ind w:firstLine="0"/>
        <w:jc w:val="both"/>
        <w:rPr>
          <w:rFonts w:ascii="Lato" w:hAnsi="Lato"/>
          <w:szCs w:val="22"/>
        </w:rPr>
      </w:pPr>
      <w:r w:rsidRPr="00582BF7">
        <w:rPr>
          <w:rFonts w:ascii="Lato" w:hAnsi="Lato"/>
          <w:szCs w:val="22"/>
        </w:rPr>
        <w:t>Aspekty związane ze stosowaniem technologii odnawialnych źródeł energii:</w:t>
      </w:r>
    </w:p>
    <w:p w:rsidR="006B024A" w:rsidRPr="00582BF7" w:rsidRDefault="006B024A" w:rsidP="003E42DF">
      <w:pPr>
        <w:pStyle w:val="Tekstpodstawowy"/>
        <w:numPr>
          <w:ilvl w:val="0"/>
          <w:numId w:val="83"/>
        </w:numPr>
        <w:tabs>
          <w:tab w:val="clear" w:pos="360"/>
        </w:tabs>
        <w:ind w:left="709" w:hanging="425"/>
        <w:rPr>
          <w:rFonts w:ascii="Lato" w:hAnsi="Lato" w:cs="Times New Roman"/>
        </w:rPr>
      </w:pPr>
      <w:r w:rsidRPr="00582BF7">
        <w:rPr>
          <w:rFonts w:ascii="Lato" w:hAnsi="Lato" w:cs="Times New Roman"/>
        </w:rPr>
        <w:t>środowiskowe – każda oszczędność i zastąpienie energii i paliw konwencjonalnych (węgiel, ropa, gaz ziemny) energią odnawialną prowadzi do redukcji emisji substancji szkodliwych do atmosfery</w:t>
      </w:r>
      <w:r w:rsidR="0019236A" w:rsidRPr="00582BF7">
        <w:rPr>
          <w:rFonts w:ascii="Lato" w:hAnsi="Lato" w:cs="Times New Roman"/>
        </w:rPr>
        <w:t>,</w:t>
      </w:r>
      <w:r w:rsidRPr="00582BF7">
        <w:rPr>
          <w:rFonts w:ascii="Lato" w:hAnsi="Lato" w:cs="Times New Roman"/>
        </w:rPr>
        <w:t xml:space="preserve"> co wpływa na lokalne środowisko oraz przyczynia się do zmniejszenia globalnego efektu cieplarnianego</w:t>
      </w:r>
      <w:r w:rsidR="0019236A" w:rsidRPr="00582BF7">
        <w:rPr>
          <w:rFonts w:ascii="Lato" w:hAnsi="Lato" w:cs="Times New Roman"/>
        </w:rPr>
        <w:t>,</w:t>
      </w:r>
    </w:p>
    <w:p w:rsidR="006B024A" w:rsidRPr="00582BF7" w:rsidRDefault="006B024A" w:rsidP="003E42DF">
      <w:pPr>
        <w:pStyle w:val="Tekstpodstawowy"/>
        <w:numPr>
          <w:ilvl w:val="0"/>
          <w:numId w:val="83"/>
        </w:numPr>
        <w:tabs>
          <w:tab w:val="clear" w:pos="360"/>
        </w:tabs>
        <w:ind w:left="709" w:hanging="425"/>
        <w:rPr>
          <w:rFonts w:ascii="Lato" w:hAnsi="Lato" w:cs="Times New Roman"/>
        </w:rPr>
      </w:pPr>
      <w:r w:rsidRPr="00582BF7">
        <w:rPr>
          <w:rFonts w:ascii="Lato" w:hAnsi="Lato" w:cs="Times New Roman"/>
        </w:rPr>
        <w:t>ekonomiczne – technologie i urządzenia wykorzystujące odnawialne źródła energii, jak już wspomniano, nie należą do najtańszych, chociaż dzięki dużemu rozwojowi tego rynku, ich ceny sukcesywnie maleją. Ich przewagą nad źródłami tradycyjnymi jest natomiast znacznie tańsza eksploatacja. Z tego też powodu, patrząc w dłużs</w:t>
      </w:r>
      <w:r w:rsidR="00582BF7" w:rsidRPr="00582BF7">
        <w:rPr>
          <w:rFonts w:ascii="Lato" w:hAnsi="Lato" w:cs="Times New Roman"/>
        </w:rPr>
        <w:t>zej perspektywie czasu, wiele z </w:t>
      </w:r>
      <w:r w:rsidRPr="00582BF7">
        <w:rPr>
          <w:rFonts w:ascii="Lato" w:hAnsi="Lato" w:cs="Times New Roman"/>
        </w:rPr>
        <w:t xml:space="preserve">zastosowań OZE będzie opłacalne ekonomicznie. Nie bez znaczenia jest też możliwość ubiegania się </w:t>
      </w:r>
      <w:r w:rsidR="002736C4" w:rsidRPr="00582BF7">
        <w:rPr>
          <w:rFonts w:ascii="Lato" w:hAnsi="Lato" w:cs="Times New Roman"/>
        </w:rPr>
        <w:t>o </w:t>
      </w:r>
      <w:r w:rsidRPr="00582BF7">
        <w:rPr>
          <w:rFonts w:ascii="Lato" w:hAnsi="Lato" w:cs="Times New Roman"/>
        </w:rPr>
        <w:t>dofinansowanie takiego przedsięwzięcia z krajowych lub zagranicznych funduszy ekologicznych, które przede wszystkim preferują stosowanie OZE</w:t>
      </w:r>
      <w:r w:rsidR="0019236A" w:rsidRPr="00582BF7">
        <w:rPr>
          <w:rFonts w:ascii="Lato" w:hAnsi="Lato" w:cs="Times New Roman"/>
        </w:rPr>
        <w:t>,</w:t>
      </w:r>
    </w:p>
    <w:p w:rsidR="006B024A" w:rsidRPr="00582BF7" w:rsidRDefault="006B024A" w:rsidP="003E42DF">
      <w:pPr>
        <w:pStyle w:val="Tekstpodstawowy"/>
        <w:numPr>
          <w:ilvl w:val="0"/>
          <w:numId w:val="83"/>
        </w:numPr>
        <w:tabs>
          <w:tab w:val="clear" w:pos="360"/>
        </w:tabs>
        <w:ind w:left="709" w:hanging="425"/>
        <w:rPr>
          <w:rFonts w:ascii="Lato" w:hAnsi="Lato" w:cs="Times New Roman"/>
        </w:rPr>
      </w:pPr>
      <w:r w:rsidRPr="00582BF7">
        <w:rPr>
          <w:rFonts w:ascii="Lato" w:hAnsi="Lato" w:cs="Times New Roman"/>
        </w:rPr>
        <w:t>społeczne – rozwój rynku odnawialnych źródeł energii to praca dla wielu ludzi, zmniejszenie lokalnych wydatków na energię</w:t>
      </w:r>
      <w:r w:rsidR="0019236A" w:rsidRPr="00582BF7">
        <w:rPr>
          <w:rFonts w:ascii="Lato" w:hAnsi="Lato" w:cs="Times New Roman"/>
        </w:rPr>
        <w:t>,</w:t>
      </w:r>
    </w:p>
    <w:p w:rsidR="006B024A" w:rsidRPr="00582BF7" w:rsidRDefault="006B024A" w:rsidP="003E42DF">
      <w:pPr>
        <w:pStyle w:val="Tekstpodstawowy"/>
        <w:numPr>
          <w:ilvl w:val="0"/>
          <w:numId w:val="83"/>
        </w:numPr>
        <w:tabs>
          <w:tab w:val="clear" w:pos="360"/>
        </w:tabs>
        <w:ind w:left="709" w:hanging="425"/>
        <w:rPr>
          <w:rFonts w:ascii="Lato" w:hAnsi="Lato" w:cs="Times New Roman"/>
        </w:rPr>
      </w:pPr>
      <w:r w:rsidRPr="00582BF7">
        <w:rPr>
          <w:rFonts w:ascii="Lato" w:hAnsi="Lato" w:cs="Times New Roman"/>
        </w:rPr>
        <w:t>prawne – umowy międzynarodowe, zobowiązania niektórych krajów oraz Unii Europejskiej do ochrony klimatu Ziemi i produkcji części energii z energii odnawialnej, prawo krajowe narzucające obowiązki na wytwórców energii, projektantów budynków, deweloperów oraz właścicieli, wszystko to ma przyczynić się do wzrostu udziału OZE w produkcji energii na świecie.</w:t>
      </w:r>
    </w:p>
    <w:p w:rsidR="003E42DF" w:rsidRPr="00582BF7" w:rsidRDefault="003E42DF" w:rsidP="003E42DF">
      <w:pPr>
        <w:pStyle w:val="Tekstpodstawowy"/>
        <w:ind w:left="709"/>
        <w:rPr>
          <w:rFonts w:ascii="Lato" w:hAnsi="Lato" w:cs="Times New Roman"/>
        </w:rPr>
      </w:pPr>
    </w:p>
    <w:p w:rsidR="006B024A" w:rsidRPr="00582BF7" w:rsidRDefault="006B024A" w:rsidP="003E42DF">
      <w:pPr>
        <w:ind w:firstLine="709"/>
        <w:jc w:val="both"/>
        <w:rPr>
          <w:rFonts w:ascii="Lato" w:hAnsi="Lato"/>
          <w:szCs w:val="22"/>
        </w:rPr>
      </w:pPr>
      <w:r w:rsidRPr="00582BF7">
        <w:rPr>
          <w:rFonts w:ascii="Lato" w:hAnsi="Lato"/>
          <w:szCs w:val="22"/>
        </w:rPr>
        <w:t>Obecnie udział niekonwencjonalnych źródeł energii w bilansie paliwowo-energetycznym krajów Unii Europejskiej przekroczył 10%, a ich znaczenie stale wzrasta. Cele w zakresie stosowania OZE zakładają osiągnięcie do 2020 roku 20</w:t>
      </w:r>
      <w:r w:rsidR="00582BF7" w:rsidRPr="00582BF7">
        <w:rPr>
          <w:rFonts w:ascii="Lato" w:hAnsi="Lato"/>
          <w:szCs w:val="22"/>
        </w:rPr>
        <w:t>% udziału energii odnawialnej w </w:t>
      </w:r>
      <w:r w:rsidRPr="00582BF7">
        <w:rPr>
          <w:rFonts w:ascii="Lato" w:hAnsi="Lato"/>
          <w:szCs w:val="22"/>
        </w:rPr>
        <w:t xml:space="preserve">gospodarce UE. </w:t>
      </w:r>
    </w:p>
    <w:p w:rsidR="006B024A" w:rsidRPr="00582BF7" w:rsidRDefault="006B024A" w:rsidP="003E42DF">
      <w:pPr>
        <w:ind w:firstLine="0"/>
        <w:jc w:val="both"/>
        <w:rPr>
          <w:rFonts w:ascii="Lato" w:hAnsi="Lato"/>
          <w:szCs w:val="22"/>
        </w:rPr>
      </w:pPr>
      <w:r w:rsidRPr="00582BF7">
        <w:rPr>
          <w:rFonts w:ascii="Lato" w:hAnsi="Lato"/>
          <w:szCs w:val="22"/>
        </w:rPr>
        <w:t>Główne cele Polityki energetycznej Polski do roku 2030 w tym obszarze obejmują:</w:t>
      </w:r>
    </w:p>
    <w:p w:rsidR="006B024A" w:rsidRPr="00582BF7" w:rsidRDefault="006B024A" w:rsidP="003E42DF">
      <w:pPr>
        <w:pStyle w:val="Tekstpodstawowy"/>
        <w:numPr>
          <w:ilvl w:val="0"/>
          <w:numId w:val="83"/>
        </w:numPr>
        <w:tabs>
          <w:tab w:val="clear" w:pos="360"/>
        </w:tabs>
        <w:ind w:left="709" w:hanging="425"/>
        <w:rPr>
          <w:rFonts w:ascii="Lato" w:hAnsi="Lato" w:cs="Times New Roman"/>
        </w:rPr>
      </w:pPr>
      <w:r w:rsidRPr="00582BF7">
        <w:rPr>
          <w:rFonts w:ascii="Lato" w:hAnsi="Lato" w:cs="Times New Roman"/>
        </w:rPr>
        <w:t>wzrost wykorzystania odnawialnych źródeł energii w bil</w:t>
      </w:r>
      <w:r w:rsidR="00B83BEC">
        <w:rPr>
          <w:rFonts w:ascii="Lato" w:hAnsi="Lato" w:cs="Times New Roman"/>
        </w:rPr>
        <w:t>ansie energii finalnej do 15% w </w:t>
      </w:r>
      <w:r w:rsidRPr="00582BF7">
        <w:rPr>
          <w:rFonts w:ascii="Lato" w:hAnsi="Lato" w:cs="Times New Roman"/>
        </w:rPr>
        <w:t>roku 2020 i 20% w roku 2030,</w:t>
      </w:r>
    </w:p>
    <w:p w:rsidR="006B024A" w:rsidRPr="00582BF7" w:rsidRDefault="006B024A" w:rsidP="003E42DF">
      <w:pPr>
        <w:pStyle w:val="Tekstpodstawowy"/>
        <w:numPr>
          <w:ilvl w:val="0"/>
          <w:numId w:val="83"/>
        </w:numPr>
        <w:tabs>
          <w:tab w:val="clear" w:pos="360"/>
        </w:tabs>
        <w:ind w:left="709" w:hanging="425"/>
        <w:rPr>
          <w:rFonts w:ascii="Lato" w:hAnsi="Lato" w:cs="Times New Roman"/>
        </w:rPr>
      </w:pPr>
      <w:r w:rsidRPr="00582BF7">
        <w:rPr>
          <w:rFonts w:ascii="Lato" w:hAnsi="Lato" w:cs="Times New Roman"/>
        </w:rPr>
        <w:t>osiągnięcie w 2020 roku 10% udziału biopaliw w rynku paliw transportowych oraz utrzymanie tego poziomu w latach następnych,</w:t>
      </w:r>
    </w:p>
    <w:p w:rsidR="006B024A" w:rsidRPr="00582BF7" w:rsidRDefault="006B024A" w:rsidP="003E42DF">
      <w:pPr>
        <w:pStyle w:val="Tekstpodstawowy"/>
        <w:numPr>
          <w:ilvl w:val="0"/>
          <w:numId w:val="83"/>
        </w:numPr>
        <w:tabs>
          <w:tab w:val="clear" w:pos="360"/>
        </w:tabs>
        <w:ind w:left="709" w:hanging="425"/>
        <w:rPr>
          <w:rFonts w:ascii="Lato" w:hAnsi="Lato" w:cs="Times New Roman"/>
        </w:rPr>
      </w:pPr>
      <w:r w:rsidRPr="00582BF7">
        <w:rPr>
          <w:rFonts w:ascii="Lato" w:hAnsi="Lato" w:cs="Times New Roman"/>
        </w:rPr>
        <w:t>ochronę lasów przed nadmiernym eksploatowaniem w celu pozyskiwania biomasy oraz zrównoważone wykorzystanie obszarów rolniczych na cele OZE, w tym biopaliw, tak aby nie doprowadzić do konkurencji pomiędzy energetyką odnawialną i rolnictwem.</w:t>
      </w:r>
    </w:p>
    <w:p w:rsidR="006B024A" w:rsidRPr="003E42DF" w:rsidRDefault="006B024A" w:rsidP="003E42DF">
      <w:pPr>
        <w:ind w:firstLine="0"/>
        <w:jc w:val="both"/>
        <w:rPr>
          <w:rFonts w:ascii="Lato" w:hAnsi="Lato"/>
          <w:szCs w:val="22"/>
          <w:highlight w:val="yellow"/>
        </w:rPr>
      </w:pPr>
    </w:p>
    <w:p w:rsidR="006B024A" w:rsidRPr="00582BF7" w:rsidRDefault="006B024A" w:rsidP="003E42DF">
      <w:pPr>
        <w:ind w:firstLine="0"/>
        <w:jc w:val="both"/>
        <w:rPr>
          <w:rFonts w:ascii="Lato" w:hAnsi="Lato"/>
          <w:szCs w:val="22"/>
        </w:rPr>
      </w:pPr>
      <w:r w:rsidRPr="00582BF7">
        <w:rPr>
          <w:rFonts w:ascii="Lato" w:hAnsi="Lato"/>
          <w:szCs w:val="22"/>
        </w:rPr>
        <w:t>Działania na rzecz rozwoju wykorzystania OZE wymieniane w powyższym dokumencie to m.in.:</w:t>
      </w:r>
    </w:p>
    <w:p w:rsidR="006B024A" w:rsidRPr="00582BF7" w:rsidRDefault="006B024A" w:rsidP="003E42DF">
      <w:pPr>
        <w:pStyle w:val="Tekstpodstawowy"/>
        <w:numPr>
          <w:ilvl w:val="0"/>
          <w:numId w:val="83"/>
        </w:numPr>
        <w:tabs>
          <w:tab w:val="clear" w:pos="360"/>
        </w:tabs>
        <w:ind w:left="709" w:hanging="425"/>
        <w:rPr>
          <w:rFonts w:ascii="Lato" w:hAnsi="Lato" w:cs="Times New Roman"/>
        </w:rPr>
      </w:pPr>
      <w:r w:rsidRPr="00582BF7">
        <w:rPr>
          <w:rFonts w:ascii="Lato" w:hAnsi="Lato" w:cs="Times New Roman"/>
        </w:rPr>
        <w:t>utrzymanie mechanizmów wsparcia dla producentów energii elektrycznej ze źródeł odnawialnych poprzez system świadectw pochodzenia (zielonych certyfikatów). Instrument ten zostanie skorygowany poprzez dostosowani</w:t>
      </w:r>
      <w:r w:rsidR="00582BF7" w:rsidRPr="00582BF7">
        <w:rPr>
          <w:rFonts w:ascii="Lato" w:hAnsi="Lato" w:cs="Times New Roman"/>
        </w:rPr>
        <w:t>e do mającego miejsce obecnie i </w:t>
      </w:r>
      <w:r w:rsidRPr="00582BF7">
        <w:rPr>
          <w:rFonts w:ascii="Lato" w:hAnsi="Lato" w:cs="Times New Roman"/>
        </w:rPr>
        <w:t>przewidywanego wzrostu cen energii produkowanej z paliw kopalnych,</w:t>
      </w:r>
    </w:p>
    <w:p w:rsidR="006B024A" w:rsidRPr="00582BF7" w:rsidRDefault="006B024A" w:rsidP="003E42DF">
      <w:pPr>
        <w:pStyle w:val="Tekstpodstawowy"/>
        <w:numPr>
          <w:ilvl w:val="0"/>
          <w:numId w:val="83"/>
        </w:numPr>
        <w:tabs>
          <w:tab w:val="clear" w:pos="360"/>
        </w:tabs>
        <w:ind w:left="709" w:hanging="425"/>
        <w:rPr>
          <w:rFonts w:ascii="Lato" w:hAnsi="Lato" w:cs="Times New Roman"/>
        </w:rPr>
      </w:pPr>
      <w:r w:rsidRPr="00582BF7">
        <w:rPr>
          <w:rFonts w:ascii="Lato" w:hAnsi="Lato" w:cs="Times New Roman"/>
        </w:rPr>
        <w:t>wprowadzenie dodatkowych instrumentów wsparcia o charakterze podatkowym</w:t>
      </w:r>
      <w:r w:rsidR="00E37D9F" w:rsidRPr="00582BF7">
        <w:rPr>
          <w:rFonts w:ascii="Lato" w:hAnsi="Lato" w:cs="Times New Roman"/>
        </w:rPr>
        <w:t>,</w:t>
      </w:r>
      <w:r w:rsidRPr="00582BF7">
        <w:rPr>
          <w:rFonts w:ascii="Lato" w:hAnsi="Lato" w:cs="Times New Roman"/>
        </w:rPr>
        <w:t xml:space="preserve"> zachęcających do szerszego wytwarzania ciepła i chłodu z </w:t>
      </w:r>
      <w:r w:rsidR="00582BF7" w:rsidRPr="00582BF7">
        <w:rPr>
          <w:rFonts w:ascii="Lato" w:hAnsi="Lato" w:cs="Times New Roman"/>
        </w:rPr>
        <w:t>odnawialnych źródeł energii, ze </w:t>
      </w:r>
      <w:r w:rsidRPr="00582BF7">
        <w:rPr>
          <w:rFonts w:ascii="Lato" w:hAnsi="Lato" w:cs="Times New Roman"/>
        </w:rPr>
        <w:t>szczególnym uwzględnieniem wykorzystania zasobów geotermalnych (w tym przy użyciu pomp ciepła) oraz energii słonecznej (przy zastosowaniu kolektorów słonecznych),</w:t>
      </w:r>
    </w:p>
    <w:p w:rsidR="006B024A" w:rsidRPr="00582BF7" w:rsidRDefault="006B024A" w:rsidP="003E42DF">
      <w:pPr>
        <w:pStyle w:val="Tekstpodstawowy"/>
        <w:numPr>
          <w:ilvl w:val="0"/>
          <w:numId w:val="83"/>
        </w:numPr>
        <w:tabs>
          <w:tab w:val="clear" w:pos="360"/>
        </w:tabs>
        <w:ind w:left="709" w:hanging="425"/>
        <w:rPr>
          <w:rFonts w:ascii="Lato" w:hAnsi="Lato" w:cs="Times New Roman"/>
        </w:rPr>
      </w:pPr>
      <w:r w:rsidRPr="00582BF7">
        <w:rPr>
          <w:rFonts w:ascii="Lato" w:hAnsi="Lato" w:cs="Times New Roman"/>
        </w:rPr>
        <w:t>wdrożenie programu budowy biogazowni rolniczych</w:t>
      </w:r>
      <w:r w:rsidR="0073689C" w:rsidRPr="00582BF7">
        <w:rPr>
          <w:rFonts w:ascii="Lato" w:hAnsi="Lato" w:cs="Times New Roman"/>
        </w:rPr>
        <w:t>,</w:t>
      </w:r>
      <w:r w:rsidRPr="00582BF7">
        <w:rPr>
          <w:rFonts w:ascii="Lato" w:hAnsi="Lato" w:cs="Times New Roman"/>
        </w:rPr>
        <w:t xml:space="preserve"> przy zało</w:t>
      </w:r>
      <w:r w:rsidR="000E6F34" w:rsidRPr="00582BF7">
        <w:rPr>
          <w:rFonts w:ascii="Lato" w:hAnsi="Lato" w:cs="Times New Roman"/>
        </w:rPr>
        <w:t>żeniu powstania do roku 2020 co </w:t>
      </w:r>
      <w:r w:rsidRPr="00582BF7">
        <w:rPr>
          <w:rFonts w:ascii="Lato" w:hAnsi="Lato" w:cs="Times New Roman"/>
        </w:rPr>
        <w:t>najmniej jednej biogazowni w każdej gminie,</w:t>
      </w:r>
    </w:p>
    <w:p w:rsidR="006B024A" w:rsidRPr="00582BF7" w:rsidRDefault="006B024A" w:rsidP="003E42DF">
      <w:pPr>
        <w:pStyle w:val="Tekstpodstawowy"/>
        <w:numPr>
          <w:ilvl w:val="0"/>
          <w:numId w:val="83"/>
        </w:numPr>
        <w:tabs>
          <w:tab w:val="clear" w:pos="360"/>
        </w:tabs>
        <w:ind w:left="709" w:hanging="425"/>
        <w:rPr>
          <w:rFonts w:ascii="Lato" w:hAnsi="Lato" w:cs="Times New Roman"/>
        </w:rPr>
      </w:pPr>
      <w:r w:rsidRPr="00582BF7">
        <w:rPr>
          <w:rFonts w:ascii="Lato" w:hAnsi="Lato" w:cs="Times New Roman"/>
        </w:rPr>
        <w:t>utrzymanie zasady zwolnienia z akcyzy energii pochodzącej z OZE.</w:t>
      </w:r>
    </w:p>
    <w:p w:rsidR="003E42DF" w:rsidRPr="003E42DF" w:rsidRDefault="003E42DF" w:rsidP="003E42DF">
      <w:pPr>
        <w:pStyle w:val="Tekstpodstawowy"/>
        <w:ind w:left="709"/>
        <w:rPr>
          <w:rFonts w:ascii="Lato" w:hAnsi="Lato" w:cs="Times New Roman"/>
          <w:highlight w:val="yellow"/>
        </w:rPr>
      </w:pPr>
    </w:p>
    <w:p w:rsidR="006B024A" w:rsidRPr="00023721" w:rsidRDefault="006B024A" w:rsidP="00023721">
      <w:pPr>
        <w:ind w:firstLine="709"/>
        <w:jc w:val="both"/>
        <w:rPr>
          <w:rFonts w:ascii="Lato" w:hAnsi="Lato"/>
          <w:szCs w:val="22"/>
        </w:rPr>
      </w:pPr>
      <w:r w:rsidRPr="00023721">
        <w:rPr>
          <w:rFonts w:ascii="Lato" w:hAnsi="Lato"/>
          <w:szCs w:val="22"/>
        </w:rPr>
        <w:t xml:space="preserve">Mówiąc o dostępności odnawialnych źródeł energii powinniśmy mieć na myśli takie ich zasoby, które nie są jedynie teoretycznie dostępnymi, ani </w:t>
      </w:r>
      <w:r w:rsidR="00582BF7" w:rsidRPr="00023721">
        <w:rPr>
          <w:rFonts w:ascii="Lato" w:hAnsi="Lato"/>
          <w:szCs w:val="22"/>
        </w:rPr>
        <w:t xml:space="preserve">nawet możliwymi do pozyskania </w:t>
      </w:r>
      <w:r w:rsidR="00582BF7" w:rsidRPr="00023721">
        <w:t>i </w:t>
      </w:r>
      <w:r w:rsidRPr="00023721">
        <w:t>wykorzystania</w:t>
      </w:r>
      <w:r w:rsidRPr="00023721">
        <w:rPr>
          <w:rFonts w:ascii="Lato" w:hAnsi="Lato"/>
          <w:szCs w:val="22"/>
        </w:rPr>
        <w:t xml:space="preserve"> przy obecnym stanie techniki, ale takimi, których pozyskanie i wykorzystanie będzie opłacalne ekonomicznie. Takie podejście sprawia, że wykorzystywane zasoby energii odnawialnej są dużo mniejsze od zasobów teoretycznych</w:t>
      </w:r>
      <w:r w:rsidR="00462132" w:rsidRPr="00023721">
        <w:rPr>
          <w:rFonts w:ascii="Lato" w:hAnsi="Lato"/>
          <w:szCs w:val="22"/>
        </w:rPr>
        <w:t>,</w:t>
      </w:r>
      <w:r w:rsidRPr="00023721">
        <w:rPr>
          <w:rFonts w:ascii="Lato" w:hAnsi="Lato"/>
          <w:szCs w:val="22"/>
        </w:rPr>
        <w:t xml:space="preserve"> co obrazuje poniższy rysunek. </w:t>
      </w:r>
    </w:p>
    <w:p w:rsidR="006B024A" w:rsidRPr="003E42DF" w:rsidRDefault="006B024A" w:rsidP="003E42DF">
      <w:pPr>
        <w:ind w:firstLine="0"/>
        <w:jc w:val="both"/>
        <w:rPr>
          <w:rFonts w:ascii="Lato" w:hAnsi="Lato"/>
          <w:szCs w:val="22"/>
          <w:highlight w:val="yellow"/>
        </w:rPr>
      </w:pPr>
    </w:p>
    <w:p w:rsidR="006B024A" w:rsidRPr="00D352C4" w:rsidRDefault="006B024A" w:rsidP="00C12732">
      <w:pPr>
        <w:pStyle w:val="Legenda"/>
        <w:jc w:val="center"/>
        <w:rPr>
          <w:rFonts w:ascii="Lato" w:hAnsi="Lato"/>
          <w:bCs/>
          <w:color w:val="1F497D"/>
          <w:sz w:val="20"/>
          <w:szCs w:val="20"/>
          <w:highlight w:val="yellow"/>
        </w:rPr>
      </w:pPr>
      <w:r w:rsidRPr="003E42DF">
        <w:rPr>
          <w:rFonts w:ascii="Lato" w:hAnsi="Lato"/>
          <w:bCs/>
          <w:color w:val="1F497D"/>
          <w:sz w:val="20"/>
          <w:szCs w:val="20"/>
        </w:rPr>
        <w:object w:dxaOrig="4802" w:dyaOrig="4394">
          <v:shape id="_x0000_i1027" type="#_x0000_t75" style="width:239.25pt;height:219.75pt" o:ole="">
            <v:imagedata r:id="rId53" o:title=""/>
          </v:shape>
          <o:OLEObject Type="Embed" ProgID="Visio.Drawing.6" ShapeID="_x0000_i1027" DrawAspect="Content" ObjectID="_1632203325" r:id="rId54"/>
        </w:object>
      </w:r>
    </w:p>
    <w:p w:rsidR="006B024A" w:rsidRPr="00582BF7" w:rsidRDefault="006B024A" w:rsidP="00C12732">
      <w:pPr>
        <w:pStyle w:val="Legenda"/>
        <w:jc w:val="center"/>
        <w:rPr>
          <w:rFonts w:ascii="Lato" w:hAnsi="Lato"/>
          <w:bCs/>
          <w:color w:val="1F497D"/>
          <w:sz w:val="20"/>
          <w:szCs w:val="20"/>
        </w:rPr>
      </w:pPr>
      <w:bookmarkStart w:id="277" w:name="_Toc323204726"/>
      <w:bookmarkStart w:id="278" w:name="_Toc328633165"/>
      <w:bookmarkStart w:id="279" w:name="_Toc336419383"/>
      <w:bookmarkStart w:id="280" w:name="_Toc336943701"/>
      <w:bookmarkStart w:id="281" w:name="_Toc20219242"/>
      <w:r w:rsidRPr="00582BF7">
        <w:rPr>
          <w:rFonts w:ascii="Lato" w:hAnsi="Lato"/>
          <w:bCs/>
          <w:color w:val="1F497D"/>
          <w:sz w:val="20"/>
          <w:szCs w:val="20"/>
        </w:rPr>
        <w:t xml:space="preserve">Rysunek </w:t>
      </w:r>
      <w:r w:rsidR="004042AE" w:rsidRPr="00582BF7">
        <w:rPr>
          <w:rFonts w:ascii="Lato" w:hAnsi="Lato"/>
          <w:bCs/>
          <w:color w:val="1F497D"/>
          <w:sz w:val="20"/>
          <w:szCs w:val="20"/>
        </w:rPr>
        <w:fldChar w:fldCharType="begin"/>
      </w:r>
      <w:r w:rsidR="005430ED" w:rsidRPr="00582BF7">
        <w:rPr>
          <w:rFonts w:ascii="Lato" w:hAnsi="Lato"/>
          <w:bCs/>
          <w:color w:val="1F497D"/>
          <w:sz w:val="20"/>
          <w:szCs w:val="20"/>
        </w:rPr>
        <w:instrText xml:space="preserve"> STYLEREF 1 \s </w:instrText>
      </w:r>
      <w:r w:rsidR="004042AE" w:rsidRPr="00582BF7">
        <w:rPr>
          <w:rFonts w:ascii="Lato" w:hAnsi="Lato"/>
          <w:bCs/>
          <w:color w:val="1F497D"/>
          <w:sz w:val="20"/>
          <w:szCs w:val="20"/>
        </w:rPr>
        <w:fldChar w:fldCharType="separate"/>
      </w:r>
      <w:r w:rsidR="0040205B">
        <w:rPr>
          <w:rFonts w:ascii="Lato" w:hAnsi="Lato"/>
          <w:bCs/>
          <w:noProof/>
          <w:color w:val="1F497D"/>
          <w:sz w:val="20"/>
          <w:szCs w:val="20"/>
        </w:rPr>
        <w:t>3</w:t>
      </w:r>
      <w:r w:rsidR="004042AE" w:rsidRPr="00582BF7">
        <w:rPr>
          <w:rFonts w:ascii="Lato" w:hAnsi="Lato"/>
          <w:bCs/>
          <w:color w:val="1F497D"/>
          <w:sz w:val="20"/>
          <w:szCs w:val="20"/>
        </w:rPr>
        <w:fldChar w:fldCharType="end"/>
      </w:r>
      <w:r w:rsidR="005430ED" w:rsidRPr="00582BF7">
        <w:rPr>
          <w:rFonts w:ascii="Lato" w:hAnsi="Lato"/>
          <w:bCs/>
          <w:color w:val="1F497D"/>
          <w:sz w:val="20"/>
          <w:szCs w:val="20"/>
        </w:rPr>
        <w:noBreakHyphen/>
      </w:r>
      <w:r w:rsidR="004042AE" w:rsidRPr="00582BF7">
        <w:rPr>
          <w:rFonts w:ascii="Lato" w:hAnsi="Lato"/>
          <w:bCs/>
          <w:color w:val="1F497D"/>
          <w:sz w:val="20"/>
          <w:szCs w:val="20"/>
        </w:rPr>
        <w:fldChar w:fldCharType="begin"/>
      </w:r>
      <w:r w:rsidR="005430ED" w:rsidRPr="00582BF7">
        <w:rPr>
          <w:rFonts w:ascii="Lato" w:hAnsi="Lato"/>
          <w:bCs/>
          <w:color w:val="1F497D"/>
          <w:sz w:val="20"/>
          <w:szCs w:val="20"/>
        </w:rPr>
        <w:instrText xml:space="preserve"> SEQ Rysunek \* ARABIC \s 1 </w:instrText>
      </w:r>
      <w:r w:rsidR="004042AE" w:rsidRPr="00582BF7">
        <w:rPr>
          <w:rFonts w:ascii="Lato" w:hAnsi="Lato"/>
          <w:bCs/>
          <w:color w:val="1F497D"/>
          <w:sz w:val="20"/>
          <w:szCs w:val="20"/>
        </w:rPr>
        <w:fldChar w:fldCharType="separate"/>
      </w:r>
      <w:r w:rsidR="0040205B">
        <w:rPr>
          <w:rFonts w:ascii="Lato" w:hAnsi="Lato"/>
          <w:bCs/>
          <w:noProof/>
          <w:color w:val="1F497D"/>
          <w:sz w:val="20"/>
          <w:szCs w:val="20"/>
        </w:rPr>
        <w:t>1</w:t>
      </w:r>
      <w:r w:rsidR="004042AE" w:rsidRPr="00582BF7">
        <w:rPr>
          <w:rFonts w:ascii="Lato" w:hAnsi="Lato"/>
          <w:bCs/>
          <w:color w:val="1F497D"/>
          <w:sz w:val="20"/>
          <w:szCs w:val="20"/>
        </w:rPr>
        <w:fldChar w:fldCharType="end"/>
      </w:r>
      <w:r w:rsidRPr="00582BF7">
        <w:rPr>
          <w:rFonts w:ascii="Lato" w:hAnsi="Lato"/>
          <w:bCs/>
          <w:color w:val="1F497D"/>
          <w:sz w:val="20"/>
          <w:szCs w:val="20"/>
        </w:rPr>
        <w:t xml:space="preserve"> Różnica potencjałów dostępności zasobów odnawialnych źródeł energii</w:t>
      </w:r>
      <w:bookmarkEnd w:id="277"/>
      <w:bookmarkEnd w:id="278"/>
      <w:bookmarkEnd w:id="279"/>
      <w:bookmarkEnd w:id="280"/>
      <w:bookmarkEnd w:id="281"/>
    </w:p>
    <w:p w:rsidR="00BF3652" w:rsidRPr="00582BF7" w:rsidRDefault="00BD0E60" w:rsidP="00BD0E60">
      <w:pPr>
        <w:ind w:firstLine="0"/>
        <w:jc w:val="center"/>
        <w:rPr>
          <w:rFonts w:ascii="Lato" w:hAnsi="Lato"/>
          <w:szCs w:val="22"/>
        </w:rPr>
      </w:pPr>
      <w:r w:rsidRPr="00BD0E60">
        <w:rPr>
          <w:rFonts w:ascii="Lato" w:hAnsi="Lato"/>
          <w:bCs/>
          <w:i/>
          <w:spacing w:val="-2"/>
          <w:sz w:val="20"/>
          <w:szCs w:val="20"/>
        </w:rPr>
        <w:t xml:space="preserve">Źródło: </w:t>
      </w:r>
      <w:r w:rsidR="00A258AC">
        <w:rPr>
          <w:rFonts w:ascii="Lato" w:hAnsi="Lato"/>
          <w:bCs/>
          <w:i/>
          <w:spacing w:val="-2"/>
          <w:sz w:val="20"/>
          <w:szCs w:val="20"/>
        </w:rPr>
        <w:t>A</w:t>
      </w:r>
      <w:r w:rsidRPr="00BD0E60">
        <w:rPr>
          <w:rFonts w:ascii="Lato" w:hAnsi="Lato"/>
          <w:bCs/>
          <w:i/>
          <w:spacing w:val="-2"/>
          <w:sz w:val="20"/>
          <w:szCs w:val="20"/>
        </w:rPr>
        <w:t>nalizy własne</w:t>
      </w:r>
    </w:p>
    <w:p w:rsidR="00BD0E60" w:rsidRDefault="00BD0E60" w:rsidP="003E42DF">
      <w:pPr>
        <w:ind w:firstLine="709"/>
        <w:jc w:val="both"/>
        <w:rPr>
          <w:rFonts w:ascii="Lato" w:hAnsi="Lato"/>
          <w:szCs w:val="22"/>
        </w:rPr>
      </w:pPr>
    </w:p>
    <w:p w:rsidR="006B024A" w:rsidRPr="00582BF7" w:rsidRDefault="006B024A" w:rsidP="003E42DF">
      <w:pPr>
        <w:ind w:firstLine="709"/>
        <w:jc w:val="both"/>
        <w:rPr>
          <w:rFonts w:ascii="Lato" w:hAnsi="Lato"/>
          <w:szCs w:val="22"/>
        </w:rPr>
      </w:pPr>
      <w:r w:rsidRPr="00582BF7">
        <w:rPr>
          <w:rFonts w:ascii="Lato" w:hAnsi="Lato"/>
          <w:szCs w:val="22"/>
        </w:rPr>
        <w:t>Z tego powodu potencjał teoretyczny ma małe znaczenie praktyczne i w większości opracowań oraz prognoz wykorzystuje się potencjał techniczny. Określa on ilość energii, którą można pozyskać z zasobów krajowych za pomocą najlepszych technologii przetwarzania energii ze źródeł odnawialnych w jej formy końcowe (ciepło, energia elektryczna), ale przy uwzględnie</w:t>
      </w:r>
      <w:r w:rsidR="008B4FF3" w:rsidRPr="00582BF7">
        <w:rPr>
          <w:rFonts w:ascii="Lato" w:hAnsi="Lato"/>
          <w:szCs w:val="22"/>
        </w:rPr>
        <w:t>niu ograniczeń przestrzennych i</w:t>
      </w:r>
      <w:r w:rsidR="00B83BEC">
        <w:rPr>
          <w:rFonts w:ascii="Lato" w:hAnsi="Lato"/>
          <w:szCs w:val="22"/>
        </w:rPr>
        <w:t xml:space="preserve"> </w:t>
      </w:r>
      <w:r w:rsidRPr="00582BF7">
        <w:rPr>
          <w:rFonts w:ascii="Lato" w:hAnsi="Lato"/>
          <w:szCs w:val="22"/>
        </w:rPr>
        <w:t>środowiskowych. Jednym z taki</w:t>
      </w:r>
      <w:r w:rsidR="00B83BEC">
        <w:rPr>
          <w:rFonts w:ascii="Lato" w:hAnsi="Lato"/>
          <w:szCs w:val="22"/>
        </w:rPr>
        <w:t>ch ograniczeń są obszary NATURA </w:t>
      </w:r>
      <w:r w:rsidRPr="00582BF7">
        <w:rPr>
          <w:rFonts w:ascii="Lato" w:hAnsi="Lato"/>
          <w:szCs w:val="22"/>
        </w:rPr>
        <w:t xml:space="preserve">2000, które wg informacji Ministerstwa Środowiska zajmą docelowo 18% powierzchni naszego kraju. </w:t>
      </w:r>
      <w:r w:rsidR="00BF3652" w:rsidRPr="00582BF7">
        <w:rPr>
          <w:rFonts w:ascii="Lato" w:hAnsi="Lato"/>
          <w:szCs w:val="22"/>
        </w:rPr>
        <w:t>Na terenie gminy obszary NATURA 2000 nie występują.</w:t>
      </w:r>
      <w:r w:rsidR="00582BF7">
        <w:rPr>
          <w:rFonts w:ascii="Lato" w:hAnsi="Lato"/>
          <w:szCs w:val="22"/>
        </w:rPr>
        <w:t xml:space="preserve"> Obszary te zostały utworzone w</w:t>
      </w:r>
      <w:r w:rsidR="00B83BEC">
        <w:rPr>
          <w:rFonts w:ascii="Lato" w:hAnsi="Lato"/>
          <w:szCs w:val="22"/>
        </w:rPr>
        <w:t xml:space="preserve"> </w:t>
      </w:r>
      <w:r w:rsidR="00BF3652" w:rsidRPr="00582BF7">
        <w:rPr>
          <w:rFonts w:ascii="Lato" w:hAnsi="Lato"/>
          <w:szCs w:val="22"/>
        </w:rPr>
        <w:t>celu ochrony zagrożonych wyginięciem siedlisk przyrodniczych oraz gatunków roślin i zwierząt. Obszary NATURA 2000 często obejmują tereny rolne oraz dol</w:t>
      </w:r>
      <w:r w:rsidR="00D03562">
        <w:rPr>
          <w:rFonts w:ascii="Lato" w:hAnsi="Lato"/>
          <w:szCs w:val="22"/>
        </w:rPr>
        <w:t>iny rzeczne, a więc wpływają na </w:t>
      </w:r>
      <w:r w:rsidR="00BF3652" w:rsidRPr="00582BF7">
        <w:rPr>
          <w:rFonts w:ascii="Lato" w:hAnsi="Lato"/>
          <w:szCs w:val="22"/>
        </w:rPr>
        <w:t>możliwości wykorzys</w:t>
      </w:r>
      <w:r w:rsidR="000E6F34" w:rsidRPr="00582BF7">
        <w:rPr>
          <w:rFonts w:ascii="Lato" w:hAnsi="Lato"/>
          <w:szCs w:val="22"/>
        </w:rPr>
        <w:t>tania energii wiatru i wody, co </w:t>
      </w:r>
      <w:r w:rsidR="00BF3652" w:rsidRPr="00582BF7">
        <w:rPr>
          <w:rFonts w:ascii="Lato" w:hAnsi="Lato"/>
          <w:szCs w:val="22"/>
        </w:rPr>
        <w:t>oczywiście nie powinno stać się powodem ograniczania, czy likwidacji tychże obszarów</w:t>
      </w:r>
      <w:r w:rsidRPr="00582BF7">
        <w:rPr>
          <w:rFonts w:ascii="Lato" w:hAnsi="Lato"/>
          <w:szCs w:val="22"/>
        </w:rPr>
        <w:t>.</w:t>
      </w:r>
    </w:p>
    <w:p w:rsidR="006B024A" w:rsidRPr="00582BF7" w:rsidRDefault="006B024A" w:rsidP="003E42DF">
      <w:pPr>
        <w:ind w:firstLine="709"/>
        <w:jc w:val="both"/>
        <w:rPr>
          <w:rFonts w:ascii="Lato" w:hAnsi="Lato"/>
          <w:szCs w:val="22"/>
        </w:rPr>
      </w:pPr>
      <w:r w:rsidRPr="00582BF7">
        <w:rPr>
          <w:rFonts w:ascii="Lato" w:hAnsi="Lato"/>
          <w:szCs w:val="22"/>
        </w:rPr>
        <w:t>Szacowany potencjał odnawialnych źródeł energii w Polsce jednoznacznie wskazuje, na najwyższy udział w tym zestawieniu energii wiatru oraz biomasy, przy czym wykorzystuje się obecnie około 20% tego potencjału.</w:t>
      </w:r>
    </w:p>
    <w:p w:rsidR="006B024A" w:rsidRPr="00B7347D" w:rsidRDefault="006B024A" w:rsidP="003E42DF">
      <w:pPr>
        <w:ind w:firstLine="709"/>
        <w:jc w:val="both"/>
        <w:rPr>
          <w:rFonts w:ascii="Lato" w:hAnsi="Lato"/>
          <w:szCs w:val="22"/>
        </w:rPr>
      </w:pPr>
      <w:r w:rsidRPr="00B7347D">
        <w:rPr>
          <w:rFonts w:ascii="Lato" w:hAnsi="Lato"/>
          <w:szCs w:val="22"/>
        </w:rPr>
        <w:t>Zgodnie z przepisami unijnymi, udział energii pochodzącej z OZE w bilansie energii finalnej w 2020 r. ma wynieść dla Polski 15%. Udział ten wynosił na koniec 2010 roku około 7%, przy czym znaczna cześć tej energii produkowana była w elektrowniach wodnych oraz poprzez współspalanie biomasy z węglem w elektrowniach zawodowych i</w:t>
      </w:r>
      <w:r w:rsidR="00B83BEC">
        <w:rPr>
          <w:rFonts w:ascii="Lato" w:hAnsi="Lato"/>
          <w:szCs w:val="22"/>
        </w:rPr>
        <w:t xml:space="preserve"> </w:t>
      </w:r>
      <w:r w:rsidRPr="00B7347D">
        <w:rPr>
          <w:rFonts w:ascii="Lato" w:hAnsi="Lato"/>
          <w:szCs w:val="22"/>
        </w:rPr>
        <w:t>przemysłowych.</w:t>
      </w:r>
    </w:p>
    <w:p w:rsidR="006B024A" w:rsidRPr="00B7347D" w:rsidRDefault="006B024A" w:rsidP="003E42DF">
      <w:pPr>
        <w:ind w:firstLine="709"/>
        <w:jc w:val="both"/>
        <w:rPr>
          <w:rFonts w:ascii="Lato" w:hAnsi="Lato"/>
          <w:szCs w:val="22"/>
        </w:rPr>
      </w:pPr>
      <w:r w:rsidRPr="00B7347D">
        <w:rPr>
          <w:rFonts w:ascii="Lato" w:hAnsi="Lato"/>
          <w:szCs w:val="22"/>
        </w:rPr>
        <w:t>Strukturę produkcji energii elektrycznej w polskim systemie elektroenergetycznym oraz udział poszczególnych technologii OZE w jej produkcji pokazano na kolejnych rysunkach.</w:t>
      </w:r>
    </w:p>
    <w:p w:rsidR="00ED0551" w:rsidRPr="00D352C4" w:rsidRDefault="00E4429B" w:rsidP="00B7347D">
      <w:pPr>
        <w:ind w:firstLine="0"/>
        <w:jc w:val="center"/>
        <w:rPr>
          <w:rFonts w:ascii="Lato" w:hAnsi="Lato"/>
          <w:highlight w:val="yellow"/>
        </w:rPr>
      </w:pPr>
      <w:r w:rsidRPr="00E4429B">
        <w:rPr>
          <w:noProof/>
        </w:rPr>
        <w:lastRenderedPageBreak/>
        <w:drawing>
          <wp:inline distT="0" distB="0" distL="0" distR="0" wp14:anchorId="39DBFEFB" wp14:editId="47D1C231">
            <wp:extent cx="6077663" cy="2862263"/>
            <wp:effectExtent l="0" t="0" r="0" b="0"/>
            <wp:docPr id="4794" name="Obraz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078100" cy="2862469"/>
                    </a:xfrm>
                    <a:prstGeom prst="rect">
                      <a:avLst/>
                    </a:prstGeom>
                  </pic:spPr>
                </pic:pic>
              </a:graphicData>
            </a:graphic>
          </wp:inline>
        </w:drawing>
      </w:r>
    </w:p>
    <w:p w:rsidR="00ED0551" w:rsidRPr="00B7347D" w:rsidRDefault="00ED0551" w:rsidP="00C12732">
      <w:pPr>
        <w:pStyle w:val="Legenda"/>
        <w:jc w:val="center"/>
        <w:rPr>
          <w:rFonts w:ascii="Lato" w:hAnsi="Lato"/>
          <w:bCs/>
          <w:color w:val="1F497D"/>
          <w:sz w:val="20"/>
          <w:szCs w:val="20"/>
        </w:rPr>
      </w:pPr>
      <w:bookmarkStart w:id="282" w:name="_Toc402521744"/>
      <w:bookmarkStart w:id="283" w:name="_Toc416435665"/>
      <w:bookmarkStart w:id="284" w:name="_Toc20219243"/>
      <w:r w:rsidRPr="00B7347D">
        <w:rPr>
          <w:rFonts w:ascii="Lato" w:hAnsi="Lato"/>
          <w:bCs/>
          <w:color w:val="1F497D"/>
          <w:sz w:val="20"/>
          <w:szCs w:val="20"/>
        </w:rPr>
        <w:t xml:space="preserve">Rysunek </w:t>
      </w:r>
      <w:r w:rsidR="004042AE" w:rsidRPr="00B7347D">
        <w:rPr>
          <w:rFonts w:ascii="Lato" w:hAnsi="Lato"/>
          <w:bCs/>
          <w:color w:val="1F497D"/>
          <w:sz w:val="20"/>
          <w:szCs w:val="20"/>
        </w:rPr>
        <w:fldChar w:fldCharType="begin"/>
      </w:r>
      <w:r w:rsidR="005430ED" w:rsidRPr="00B7347D">
        <w:rPr>
          <w:rFonts w:ascii="Lato" w:hAnsi="Lato"/>
          <w:bCs/>
          <w:color w:val="1F497D"/>
          <w:sz w:val="20"/>
          <w:szCs w:val="20"/>
        </w:rPr>
        <w:instrText xml:space="preserve"> STYLEREF 1 \s </w:instrText>
      </w:r>
      <w:r w:rsidR="004042AE" w:rsidRPr="00B7347D">
        <w:rPr>
          <w:rFonts w:ascii="Lato" w:hAnsi="Lato"/>
          <w:bCs/>
          <w:color w:val="1F497D"/>
          <w:sz w:val="20"/>
          <w:szCs w:val="20"/>
        </w:rPr>
        <w:fldChar w:fldCharType="separate"/>
      </w:r>
      <w:r w:rsidR="0040205B">
        <w:rPr>
          <w:rFonts w:ascii="Lato" w:hAnsi="Lato"/>
          <w:bCs/>
          <w:noProof/>
          <w:color w:val="1F497D"/>
          <w:sz w:val="20"/>
          <w:szCs w:val="20"/>
        </w:rPr>
        <w:t>3</w:t>
      </w:r>
      <w:r w:rsidR="004042AE" w:rsidRPr="00B7347D">
        <w:rPr>
          <w:rFonts w:ascii="Lato" w:hAnsi="Lato"/>
          <w:bCs/>
          <w:color w:val="1F497D"/>
          <w:sz w:val="20"/>
          <w:szCs w:val="20"/>
        </w:rPr>
        <w:fldChar w:fldCharType="end"/>
      </w:r>
      <w:r w:rsidR="005430ED" w:rsidRPr="00B7347D">
        <w:rPr>
          <w:rFonts w:ascii="Lato" w:hAnsi="Lato"/>
          <w:bCs/>
          <w:color w:val="1F497D"/>
          <w:sz w:val="20"/>
          <w:szCs w:val="20"/>
        </w:rPr>
        <w:noBreakHyphen/>
      </w:r>
      <w:r w:rsidR="004042AE" w:rsidRPr="00B7347D">
        <w:rPr>
          <w:rFonts w:ascii="Lato" w:hAnsi="Lato"/>
          <w:bCs/>
          <w:color w:val="1F497D"/>
          <w:sz w:val="20"/>
          <w:szCs w:val="20"/>
        </w:rPr>
        <w:fldChar w:fldCharType="begin"/>
      </w:r>
      <w:r w:rsidR="005430ED" w:rsidRPr="00B7347D">
        <w:rPr>
          <w:rFonts w:ascii="Lato" w:hAnsi="Lato"/>
          <w:bCs/>
          <w:color w:val="1F497D"/>
          <w:sz w:val="20"/>
          <w:szCs w:val="20"/>
        </w:rPr>
        <w:instrText xml:space="preserve"> SEQ Rysunek \* ARABIC \s 1 </w:instrText>
      </w:r>
      <w:r w:rsidR="004042AE" w:rsidRPr="00B7347D">
        <w:rPr>
          <w:rFonts w:ascii="Lato" w:hAnsi="Lato"/>
          <w:bCs/>
          <w:color w:val="1F497D"/>
          <w:sz w:val="20"/>
          <w:szCs w:val="20"/>
        </w:rPr>
        <w:fldChar w:fldCharType="separate"/>
      </w:r>
      <w:r w:rsidR="0040205B">
        <w:rPr>
          <w:rFonts w:ascii="Lato" w:hAnsi="Lato"/>
          <w:bCs/>
          <w:noProof/>
          <w:color w:val="1F497D"/>
          <w:sz w:val="20"/>
          <w:szCs w:val="20"/>
        </w:rPr>
        <w:t>2</w:t>
      </w:r>
      <w:r w:rsidR="004042AE" w:rsidRPr="00B7347D">
        <w:rPr>
          <w:rFonts w:ascii="Lato" w:hAnsi="Lato"/>
          <w:bCs/>
          <w:color w:val="1F497D"/>
          <w:sz w:val="20"/>
          <w:szCs w:val="20"/>
        </w:rPr>
        <w:fldChar w:fldCharType="end"/>
      </w:r>
      <w:r w:rsidRPr="00B7347D">
        <w:rPr>
          <w:rFonts w:ascii="Lato" w:hAnsi="Lato"/>
          <w:bCs/>
          <w:color w:val="1F497D"/>
          <w:sz w:val="20"/>
          <w:szCs w:val="20"/>
        </w:rPr>
        <w:t xml:space="preserve"> Struktura produkcji energii elektrycznej w polskim systemie elektroenergetycznym – </w:t>
      </w:r>
      <w:bookmarkEnd w:id="282"/>
      <w:bookmarkEnd w:id="283"/>
      <w:r w:rsidR="00F16705" w:rsidRPr="00B7347D">
        <w:rPr>
          <w:rFonts w:ascii="Lato" w:hAnsi="Lato"/>
          <w:bCs/>
          <w:color w:val="1F497D"/>
          <w:sz w:val="20"/>
          <w:szCs w:val="20"/>
        </w:rPr>
        <w:t>stan na grudzień 2016</w:t>
      </w:r>
      <w:bookmarkEnd w:id="284"/>
    </w:p>
    <w:p w:rsidR="00ED0551" w:rsidRPr="00B7347D" w:rsidRDefault="00ED0551" w:rsidP="0073689C">
      <w:pPr>
        <w:ind w:firstLine="0"/>
        <w:jc w:val="center"/>
        <w:rPr>
          <w:rFonts w:ascii="Lato" w:hAnsi="Lato"/>
          <w:bCs/>
          <w:i/>
          <w:spacing w:val="-2"/>
          <w:sz w:val="20"/>
          <w:szCs w:val="20"/>
        </w:rPr>
      </w:pPr>
      <w:r w:rsidRPr="00B7347D">
        <w:rPr>
          <w:rFonts w:ascii="Lato" w:hAnsi="Lato"/>
          <w:bCs/>
          <w:i/>
          <w:spacing w:val="-2"/>
          <w:sz w:val="20"/>
          <w:szCs w:val="20"/>
        </w:rPr>
        <w:t xml:space="preserve">Źródło: </w:t>
      </w:r>
      <w:hyperlink r:id="rId56" w:history="1">
        <w:r w:rsidR="00F16705" w:rsidRPr="00B7347D">
          <w:rPr>
            <w:rFonts w:ascii="Lato" w:hAnsi="Lato"/>
            <w:bCs/>
            <w:i/>
            <w:spacing w:val="-2"/>
            <w:sz w:val="20"/>
            <w:szCs w:val="20"/>
          </w:rPr>
          <w:t>www.pse.pl</w:t>
        </w:r>
      </w:hyperlink>
      <w:r w:rsidR="00F16705" w:rsidRPr="00B7347D">
        <w:rPr>
          <w:rFonts w:ascii="Lato" w:hAnsi="Lato"/>
          <w:bCs/>
          <w:i/>
          <w:spacing w:val="-2"/>
          <w:sz w:val="20"/>
          <w:szCs w:val="20"/>
        </w:rPr>
        <w:t>, analizy własne</w:t>
      </w:r>
    </w:p>
    <w:p w:rsidR="0073689C" w:rsidRPr="00B7347D" w:rsidRDefault="0073689C" w:rsidP="0073689C">
      <w:pPr>
        <w:ind w:firstLine="0"/>
        <w:jc w:val="center"/>
        <w:rPr>
          <w:rFonts w:ascii="Lato" w:hAnsi="Lato"/>
          <w:color w:val="1F497D"/>
          <w:szCs w:val="16"/>
        </w:rPr>
      </w:pPr>
    </w:p>
    <w:p w:rsidR="006B024A" w:rsidRPr="00B7347D" w:rsidRDefault="00E4429B" w:rsidP="00041962">
      <w:pPr>
        <w:ind w:firstLine="0"/>
        <w:jc w:val="center"/>
        <w:rPr>
          <w:rFonts w:ascii="Lato" w:hAnsi="Lato"/>
        </w:rPr>
      </w:pPr>
      <w:bookmarkStart w:id="285" w:name="_Toc323204728"/>
      <w:bookmarkStart w:id="286" w:name="_Toc328633167"/>
      <w:r w:rsidRPr="00E4429B">
        <w:rPr>
          <w:noProof/>
        </w:rPr>
        <w:drawing>
          <wp:inline distT="0" distB="0" distL="0" distR="0" wp14:anchorId="5513B7ED" wp14:editId="7083EF0A">
            <wp:extent cx="5724524" cy="3577828"/>
            <wp:effectExtent l="0" t="0" r="0" b="3810"/>
            <wp:docPr id="4795" name="Obraz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24567" cy="3577855"/>
                    </a:xfrm>
                    <a:prstGeom prst="rect">
                      <a:avLst/>
                    </a:prstGeom>
                  </pic:spPr>
                </pic:pic>
              </a:graphicData>
            </a:graphic>
          </wp:inline>
        </w:drawing>
      </w:r>
    </w:p>
    <w:p w:rsidR="00041962" w:rsidRPr="00B7347D" w:rsidRDefault="006B024A" w:rsidP="00C12732">
      <w:pPr>
        <w:pStyle w:val="Legenda"/>
        <w:jc w:val="center"/>
        <w:rPr>
          <w:rFonts w:ascii="Lato" w:hAnsi="Lato"/>
          <w:bCs/>
          <w:color w:val="1F497D"/>
          <w:sz w:val="20"/>
          <w:szCs w:val="20"/>
        </w:rPr>
      </w:pPr>
      <w:bookmarkStart w:id="287" w:name="_Toc336419385"/>
      <w:bookmarkStart w:id="288" w:name="_Toc336943703"/>
      <w:bookmarkStart w:id="289" w:name="_Toc20219244"/>
      <w:r w:rsidRPr="00B7347D">
        <w:rPr>
          <w:rFonts w:ascii="Lato" w:hAnsi="Lato"/>
          <w:bCs/>
          <w:color w:val="1F497D"/>
          <w:sz w:val="20"/>
          <w:szCs w:val="20"/>
        </w:rPr>
        <w:t xml:space="preserve">Rysunek </w:t>
      </w:r>
      <w:r w:rsidR="004042AE" w:rsidRPr="00B7347D">
        <w:rPr>
          <w:rFonts w:ascii="Lato" w:hAnsi="Lato"/>
          <w:bCs/>
          <w:color w:val="1F497D"/>
          <w:sz w:val="20"/>
          <w:szCs w:val="20"/>
        </w:rPr>
        <w:fldChar w:fldCharType="begin"/>
      </w:r>
      <w:r w:rsidR="005430ED" w:rsidRPr="00B7347D">
        <w:rPr>
          <w:rFonts w:ascii="Lato" w:hAnsi="Lato"/>
          <w:bCs/>
          <w:color w:val="1F497D"/>
          <w:sz w:val="20"/>
          <w:szCs w:val="20"/>
        </w:rPr>
        <w:instrText xml:space="preserve"> STYLEREF 1 \s </w:instrText>
      </w:r>
      <w:r w:rsidR="004042AE" w:rsidRPr="00B7347D">
        <w:rPr>
          <w:rFonts w:ascii="Lato" w:hAnsi="Lato"/>
          <w:bCs/>
          <w:color w:val="1F497D"/>
          <w:sz w:val="20"/>
          <w:szCs w:val="20"/>
        </w:rPr>
        <w:fldChar w:fldCharType="separate"/>
      </w:r>
      <w:r w:rsidR="0040205B">
        <w:rPr>
          <w:rFonts w:ascii="Lato" w:hAnsi="Lato"/>
          <w:bCs/>
          <w:noProof/>
          <w:color w:val="1F497D"/>
          <w:sz w:val="20"/>
          <w:szCs w:val="20"/>
        </w:rPr>
        <w:t>3</w:t>
      </w:r>
      <w:r w:rsidR="004042AE" w:rsidRPr="00B7347D">
        <w:rPr>
          <w:rFonts w:ascii="Lato" w:hAnsi="Lato"/>
          <w:bCs/>
          <w:color w:val="1F497D"/>
          <w:sz w:val="20"/>
          <w:szCs w:val="20"/>
        </w:rPr>
        <w:fldChar w:fldCharType="end"/>
      </w:r>
      <w:r w:rsidR="005430ED" w:rsidRPr="00B7347D">
        <w:rPr>
          <w:rFonts w:ascii="Lato" w:hAnsi="Lato"/>
          <w:bCs/>
          <w:color w:val="1F497D"/>
          <w:sz w:val="20"/>
          <w:szCs w:val="20"/>
        </w:rPr>
        <w:noBreakHyphen/>
      </w:r>
      <w:r w:rsidR="004042AE" w:rsidRPr="00B7347D">
        <w:rPr>
          <w:rFonts w:ascii="Lato" w:hAnsi="Lato"/>
          <w:bCs/>
          <w:color w:val="1F497D"/>
          <w:sz w:val="20"/>
          <w:szCs w:val="20"/>
        </w:rPr>
        <w:fldChar w:fldCharType="begin"/>
      </w:r>
      <w:r w:rsidR="005430ED" w:rsidRPr="00B7347D">
        <w:rPr>
          <w:rFonts w:ascii="Lato" w:hAnsi="Lato"/>
          <w:bCs/>
          <w:color w:val="1F497D"/>
          <w:sz w:val="20"/>
          <w:szCs w:val="20"/>
        </w:rPr>
        <w:instrText xml:space="preserve"> SEQ Rysunek \* ARABIC \s 1 </w:instrText>
      </w:r>
      <w:r w:rsidR="004042AE" w:rsidRPr="00B7347D">
        <w:rPr>
          <w:rFonts w:ascii="Lato" w:hAnsi="Lato"/>
          <w:bCs/>
          <w:color w:val="1F497D"/>
          <w:sz w:val="20"/>
          <w:szCs w:val="20"/>
        </w:rPr>
        <w:fldChar w:fldCharType="separate"/>
      </w:r>
      <w:r w:rsidR="0040205B">
        <w:rPr>
          <w:rFonts w:ascii="Lato" w:hAnsi="Lato"/>
          <w:bCs/>
          <w:noProof/>
          <w:color w:val="1F497D"/>
          <w:sz w:val="20"/>
          <w:szCs w:val="20"/>
        </w:rPr>
        <w:t>3</w:t>
      </w:r>
      <w:r w:rsidR="004042AE" w:rsidRPr="00B7347D">
        <w:rPr>
          <w:rFonts w:ascii="Lato" w:hAnsi="Lato"/>
          <w:bCs/>
          <w:color w:val="1F497D"/>
          <w:sz w:val="20"/>
          <w:szCs w:val="20"/>
        </w:rPr>
        <w:fldChar w:fldCharType="end"/>
      </w:r>
      <w:bookmarkEnd w:id="285"/>
      <w:bookmarkEnd w:id="286"/>
      <w:bookmarkEnd w:id="287"/>
      <w:bookmarkEnd w:id="288"/>
      <w:r w:rsidR="00041962" w:rsidRPr="00B7347D">
        <w:rPr>
          <w:rFonts w:ascii="Lato" w:hAnsi="Lato"/>
          <w:bCs/>
          <w:color w:val="1F497D"/>
          <w:sz w:val="20"/>
          <w:szCs w:val="20"/>
        </w:rPr>
        <w:t>Udział poszczególnych technologii OZE w produkcji energii elektrycznej w Polsce w latach 2005 – 201</w:t>
      </w:r>
      <w:r w:rsidR="00F16705" w:rsidRPr="00B7347D">
        <w:rPr>
          <w:rFonts w:ascii="Lato" w:hAnsi="Lato"/>
          <w:bCs/>
          <w:color w:val="1F497D"/>
          <w:sz w:val="20"/>
          <w:szCs w:val="20"/>
        </w:rPr>
        <w:t>6</w:t>
      </w:r>
      <w:bookmarkEnd w:id="289"/>
    </w:p>
    <w:p w:rsidR="00462132" w:rsidRPr="00B7347D" w:rsidRDefault="00041962" w:rsidP="00F16705">
      <w:pPr>
        <w:ind w:firstLine="0"/>
        <w:jc w:val="center"/>
        <w:rPr>
          <w:rFonts w:ascii="Lato" w:hAnsi="Lato"/>
          <w:bCs/>
          <w:i/>
          <w:spacing w:val="-2"/>
          <w:sz w:val="20"/>
          <w:szCs w:val="20"/>
        </w:rPr>
      </w:pPr>
      <w:r w:rsidRPr="00B7347D">
        <w:rPr>
          <w:rFonts w:ascii="Lato" w:hAnsi="Lato"/>
          <w:bCs/>
          <w:i/>
          <w:spacing w:val="-2"/>
          <w:sz w:val="20"/>
          <w:szCs w:val="20"/>
        </w:rPr>
        <w:t xml:space="preserve">Źródło: </w:t>
      </w:r>
      <w:hyperlink r:id="rId58" w:history="1">
        <w:r w:rsidR="00F16705" w:rsidRPr="00B7347D">
          <w:rPr>
            <w:rFonts w:ascii="Lato" w:hAnsi="Lato"/>
            <w:bCs/>
            <w:i/>
            <w:spacing w:val="-2"/>
            <w:sz w:val="20"/>
            <w:szCs w:val="20"/>
          </w:rPr>
          <w:t>www.ure.pl</w:t>
        </w:r>
      </w:hyperlink>
      <w:r w:rsidR="00F16705" w:rsidRPr="00B7347D">
        <w:rPr>
          <w:rFonts w:ascii="Lato" w:hAnsi="Lato"/>
          <w:bCs/>
          <w:i/>
          <w:spacing w:val="-2"/>
          <w:sz w:val="20"/>
          <w:szCs w:val="20"/>
        </w:rPr>
        <w:t>, analizy własne</w:t>
      </w:r>
    </w:p>
    <w:p w:rsidR="00F16705" w:rsidRPr="00B7347D" w:rsidRDefault="00F16705" w:rsidP="00041962">
      <w:pPr>
        <w:spacing w:line="240" w:lineRule="auto"/>
        <w:ind w:firstLine="0"/>
        <w:jc w:val="both"/>
        <w:rPr>
          <w:rFonts w:ascii="Lato" w:hAnsi="Lato"/>
          <w:szCs w:val="22"/>
        </w:rPr>
      </w:pPr>
    </w:p>
    <w:p w:rsidR="006B024A" w:rsidRPr="00B7347D" w:rsidRDefault="006B024A" w:rsidP="00D153EC">
      <w:pPr>
        <w:spacing w:before="100" w:beforeAutospacing="1" w:after="100" w:afterAutospacing="1"/>
        <w:ind w:firstLine="709"/>
        <w:jc w:val="both"/>
        <w:rPr>
          <w:rFonts w:ascii="Lato" w:hAnsi="Lato"/>
          <w:szCs w:val="22"/>
        </w:rPr>
      </w:pPr>
      <w:r w:rsidRPr="00B7347D">
        <w:rPr>
          <w:rFonts w:ascii="Lato" w:hAnsi="Lato"/>
          <w:szCs w:val="22"/>
        </w:rPr>
        <w:t xml:space="preserve">Największą szansę we wzroście udziału OZE w produkcji </w:t>
      </w:r>
      <w:r w:rsidR="00D03562">
        <w:rPr>
          <w:rFonts w:ascii="Lato" w:hAnsi="Lato"/>
          <w:szCs w:val="22"/>
        </w:rPr>
        <w:t>energii w Polsce upatruje się </w:t>
      </w:r>
      <w:r w:rsidR="00B7347D">
        <w:rPr>
          <w:rFonts w:ascii="Lato" w:hAnsi="Lato"/>
          <w:szCs w:val="22"/>
        </w:rPr>
        <w:t>w </w:t>
      </w:r>
      <w:r w:rsidRPr="00B7347D">
        <w:rPr>
          <w:rFonts w:ascii="Lato" w:hAnsi="Lato"/>
          <w:szCs w:val="22"/>
        </w:rPr>
        <w:t xml:space="preserve">energii </w:t>
      </w:r>
      <w:r w:rsidR="00FA21CE" w:rsidRPr="00B7347D">
        <w:rPr>
          <w:rFonts w:ascii="Lato" w:hAnsi="Lato"/>
          <w:szCs w:val="22"/>
        </w:rPr>
        <w:t xml:space="preserve">słonecznej, </w:t>
      </w:r>
      <w:r w:rsidRPr="00B7347D">
        <w:rPr>
          <w:rFonts w:ascii="Lato" w:hAnsi="Lato"/>
          <w:szCs w:val="22"/>
        </w:rPr>
        <w:t>wiatru oraz biomasie.</w:t>
      </w:r>
    </w:p>
    <w:p w:rsidR="006B024A" w:rsidRPr="00B7347D" w:rsidRDefault="006B024A" w:rsidP="00907272">
      <w:pPr>
        <w:pStyle w:val="Nagwek2"/>
        <w:rPr>
          <w:rFonts w:ascii="Lato" w:hAnsi="Lato" w:cs="Times New Roman"/>
        </w:rPr>
      </w:pPr>
      <w:bookmarkStart w:id="290" w:name="_Toc303673567"/>
      <w:bookmarkStart w:id="291" w:name="_Toc328632936"/>
      <w:bookmarkStart w:id="292" w:name="_Toc336419318"/>
      <w:bookmarkStart w:id="293" w:name="_Toc336943572"/>
      <w:bookmarkStart w:id="294" w:name="_Toc20218518"/>
      <w:r w:rsidRPr="00B7347D">
        <w:rPr>
          <w:rFonts w:ascii="Lato" w:hAnsi="Lato" w:cs="Times New Roman"/>
        </w:rPr>
        <w:lastRenderedPageBreak/>
        <w:t>Energia wiatru</w:t>
      </w:r>
      <w:bookmarkEnd w:id="290"/>
      <w:bookmarkEnd w:id="291"/>
      <w:bookmarkEnd w:id="292"/>
      <w:bookmarkEnd w:id="293"/>
      <w:bookmarkEnd w:id="294"/>
    </w:p>
    <w:p w:rsidR="006B024A" w:rsidRDefault="00C01320" w:rsidP="00C01320">
      <w:pPr>
        <w:spacing w:after="240"/>
        <w:ind w:firstLine="0"/>
        <w:jc w:val="both"/>
        <w:rPr>
          <w:rFonts w:ascii="Lato" w:hAnsi="Lato"/>
          <w:szCs w:val="22"/>
          <w:highlight w:val="yellow"/>
        </w:rPr>
      </w:pPr>
      <w:r w:rsidRPr="00C01320">
        <w:rPr>
          <w:rFonts w:ascii="Lato" w:hAnsi="Lato"/>
          <w:szCs w:val="22"/>
        </w:rPr>
        <w:t>Na poniższym rysunku przedstawiono zasoby energii wiatrowej w Polsce.</w:t>
      </w:r>
    </w:p>
    <w:p w:rsidR="006B024A" w:rsidRDefault="0006260E" w:rsidP="00C01320">
      <w:pPr>
        <w:ind w:firstLine="0"/>
        <w:jc w:val="center"/>
        <w:rPr>
          <w:rFonts w:ascii="Lato" w:hAnsi="Lato"/>
          <w:szCs w:val="22"/>
          <w:highlight w:val="yellow"/>
        </w:rPr>
      </w:pPr>
      <w:r>
        <w:rPr>
          <w:rFonts w:ascii="Lato" w:hAnsi="Lato"/>
          <w:noProof/>
          <w:szCs w:val="22"/>
        </w:rPr>
        <w:drawing>
          <wp:inline distT="0" distB="0" distL="0" distR="0" wp14:anchorId="10763AB6" wp14:editId="22B71722">
            <wp:extent cx="5895975" cy="5495925"/>
            <wp:effectExtent l="0" t="0" r="9525"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95975" cy="5495925"/>
                    </a:xfrm>
                    <a:prstGeom prst="rect">
                      <a:avLst/>
                    </a:prstGeom>
                    <a:noFill/>
                    <a:ln>
                      <a:noFill/>
                    </a:ln>
                  </pic:spPr>
                </pic:pic>
              </a:graphicData>
            </a:graphic>
          </wp:inline>
        </w:drawing>
      </w:r>
    </w:p>
    <w:p w:rsidR="00C01320" w:rsidRPr="00D352C4" w:rsidRDefault="0006260E" w:rsidP="00C01320">
      <w:pPr>
        <w:ind w:firstLine="0"/>
        <w:jc w:val="center"/>
        <w:rPr>
          <w:rFonts w:ascii="Lato" w:hAnsi="Lato"/>
          <w:szCs w:val="22"/>
          <w:highlight w:val="yellow"/>
        </w:rPr>
      </w:pPr>
      <w:r>
        <w:rPr>
          <w:rFonts w:ascii="Lato" w:hAnsi="Lato"/>
          <w:noProof/>
          <w:szCs w:val="22"/>
        </w:rPr>
        <w:drawing>
          <wp:inline distT="0" distB="0" distL="0" distR="0" wp14:anchorId="64FF43F9" wp14:editId="2FDF9262">
            <wp:extent cx="4333875" cy="1943100"/>
            <wp:effectExtent l="0" t="0" r="952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33875" cy="1943100"/>
                    </a:xfrm>
                    <a:prstGeom prst="rect">
                      <a:avLst/>
                    </a:prstGeom>
                    <a:noFill/>
                    <a:ln>
                      <a:noFill/>
                    </a:ln>
                  </pic:spPr>
                </pic:pic>
              </a:graphicData>
            </a:graphic>
          </wp:inline>
        </w:drawing>
      </w:r>
    </w:p>
    <w:p w:rsidR="006B024A" w:rsidRPr="00C01320" w:rsidRDefault="006B024A" w:rsidP="00C01320">
      <w:pPr>
        <w:spacing w:line="240" w:lineRule="auto"/>
        <w:ind w:firstLine="0"/>
        <w:jc w:val="center"/>
        <w:rPr>
          <w:rFonts w:ascii="Lato" w:hAnsi="Lato"/>
          <w:iCs/>
        </w:rPr>
      </w:pPr>
      <w:bookmarkStart w:id="295" w:name="_Toc273702855"/>
      <w:bookmarkStart w:id="296" w:name="_Toc328633171"/>
      <w:bookmarkStart w:id="297" w:name="_Toc336419389"/>
      <w:bookmarkStart w:id="298" w:name="_Toc336943706"/>
      <w:bookmarkStart w:id="299" w:name="_Toc20219245"/>
      <w:r w:rsidRPr="00C01320">
        <w:rPr>
          <w:rFonts w:ascii="Lato" w:hAnsi="Lato"/>
          <w:b/>
          <w:bCs/>
          <w:color w:val="1F497D"/>
          <w:spacing w:val="-2"/>
          <w:sz w:val="20"/>
          <w:szCs w:val="20"/>
        </w:rPr>
        <w:t xml:space="preserve">Rysunek </w:t>
      </w:r>
      <w:r w:rsidR="004042AE" w:rsidRPr="00C01320">
        <w:rPr>
          <w:rFonts w:ascii="Lato" w:hAnsi="Lato"/>
          <w:b/>
          <w:bCs/>
          <w:color w:val="1F497D"/>
          <w:spacing w:val="-2"/>
          <w:sz w:val="20"/>
          <w:szCs w:val="20"/>
        </w:rPr>
        <w:fldChar w:fldCharType="begin"/>
      </w:r>
      <w:r w:rsidR="005430ED" w:rsidRPr="00C01320">
        <w:rPr>
          <w:rFonts w:ascii="Lato" w:hAnsi="Lato"/>
          <w:b/>
          <w:bCs/>
          <w:color w:val="1F497D"/>
          <w:spacing w:val="-2"/>
          <w:sz w:val="20"/>
          <w:szCs w:val="20"/>
        </w:rPr>
        <w:instrText xml:space="preserve"> STYLEREF 1 \s </w:instrText>
      </w:r>
      <w:r w:rsidR="004042AE" w:rsidRPr="00C01320">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C01320">
        <w:rPr>
          <w:rFonts w:ascii="Lato" w:hAnsi="Lato"/>
          <w:b/>
          <w:bCs/>
          <w:color w:val="1F497D"/>
          <w:spacing w:val="-2"/>
          <w:sz w:val="20"/>
          <w:szCs w:val="20"/>
        </w:rPr>
        <w:fldChar w:fldCharType="end"/>
      </w:r>
      <w:r w:rsidR="005430ED" w:rsidRPr="00C01320">
        <w:rPr>
          <w:rFonts w:ascii="Lato" w:hAnsi="Lato"/>
          <w:b/>
          <w:bCs/>
          <w:color w:val="1F497D"/>
          <w:spacing w:val="-2"/>
          <w:sz w:val="20"/>
          <w:szCs w:val="20"/>
        </w:rPr>
        <w:noBreakHyphen/>
      </w:r>
      <w:r w:rsidR="004042AE" w:rsidRPr="00C01320">
        <w:rPr>
          <w:rFonts w:ascii="Lato" w:hAnsi="Lato"/>
          <w:b/>
          <w:bCs/>
          <w:color w:val="1F497D"/>
          <w:spacing w:val="-2"/>
          <w:sz w:val="20"/>
          <w:szCs w:val="20"/>
        </w:rPr>
        <w:fldChar w:fldCharType="begin"/>
      </w:r>
      <w:r w:rsidR="005430ED" w:rsidRPr="00C01320">
        <w:rPr>
          <w:rFonts w:ascii="Lato" w:hAnsi="Lato"/>
          <w:b/>
          <w:bCs/>
          <w:color w:val="1F497D"/>
          <w:spacing w:val="-2"/>
          <w:sz w:val="20"/>
          <w:szCs w:val="20"/>
        </w:rPr>
        <w:instrText xml:space="preserve"> SEQ Rysunek \* ARABIC \s 1 </w:instrText>
      </w:r>
      <w:r w:rsidR="004042AE" w:rsidRPr="00C01320">
        <w:rPr>
          <w:rFonts w:ascii="Lato" w:hAnsi="Lato"/>
          <w:b/>
          <w:bCs/>
          <w:color w:val="1F497D"/>
          <w:spacing w:val="-2"/>
          <w:sz w:val="20"/>
          <w:szCs w:val="20"/>
        </w:rPr>
        <w:fldChar w:fldCharType="separate"/>
      </w:r>
      <w:r w:rsidR="0040205B">
        <w:rPr>
          <w:rFonts w:ascii="Lato" w:hAnsi="Lato"/>
          <w:b/>
          <w:bCs/>
          <w:noProof/>
          <w:color w:val="1F497D"/>
          <w:spacing w:val="-2"/>
          <w:sz w:val="20"/>
          <w:szCs w:val="20"/>
        </w:rPr>
        <w:t>4</w:t>
      </w:r>
      <w:r w:rsidR="004042AE" w:rsidRPr="00C01320">
        <w:rPr>
          <w:rFonts w:ascii="Lato" w:hAnsi="Lato"/>
          <w:b/>
          <w:bCs/>
          <w:color w:val="1F497D"/>
          <w:spacing w:val="-2"/>
          <w:sz w:val="20"/>
          <w:szCs w:val="20"/>
        </w:rPr>
        <w:fldChar w:fldCharType="end"/>
      </w:r>
      <w:r w:rsidRPr="00C01320">
        <w:rPr>
          <w:rFonts w:ascii="Lato" w:hAnsi="Lato"/>
          <w:b/>
          <w:bCs/>
          <w:color w:val="1F497D"/>
          <w:spacing w:val="-2"/>
          <w:sz w:val="20"/>
          <w:szCs w:val="20"/>
        </w:rPr>
        <w:t xml:space="preserve"> </w:t>
      </w:r>
      <w:bookmarkEnd w:id="295"/>
      <w:bookmarkEnd w:id="296"/>
      <w:bookmarkEnd w:id="297"/>
      <w:bookmarkEnd w:id="298"/>
      <w:r w:rsidR="00C01320" w:rsidRPr="00C01320">
        <w:rPr>
          <w:rFonts w:ascii="Lato" w:hAnsi="Lato"/>
          <w:b/>
          <w:bCs/>
          <w:color w:val="1F497D"/>
          <w:spacing w:val="-2"/>
          <w:sz w:val="20"/>
          <w:szCs w:val="20"/>
        </w:rPr>
        <w:t>Zasoby energii wiatrowej w Polsce</w:t>
      </w:r>
      <w:bookmarkEnd w:id="299"/>
    </w:p>
    <w:p w:rsidR="00250E61" w:rsidRPr="00C01320" w:rsidRDefault="0073689C" w:rsidP="002A4A04">
      <w:pPr>
        <w:ind w:firstLine="0"/>
        <w:jc w:val="center"/>
        <w:rPr>
          <w:rFonts w:ascii="Lato" w:hAnsi="Lato"/>
          <w:bCs/>
          <w:i/>
          <w:spacing w:val="-2"/>
          <w:sz w:val="20"/>
          <w:szCs w:val="20"/>
        </w:rPr>
      </w:pPr>
      <w:r w:rsidRPr="00C01320">
        <w:rPr>
          <w:rFonts w:ascii="Lato" w:hAnsi="Lato"/>
          <w:bCs/>
          <w:i/>
          <w:spacing w:val="-2"/>
          <w:sz w:val="20"/>
          <w:szCs w:val="20"/>
        </w:rPr>
        <w:t>Ź</w:t>
      </w:r>
      <w:r w:rsidR="006B024A" w:rsidRPr="00C01320">
        <w:rPr>
          <w:rFonts w:ascii="Lato" w:hAnsi="Lato"/>
          <w:bCs/>
          <w:i/>
          <w:spacing w:val="-2"/>
          <w:sz w:val="20"/>
          <w:szCs w:val="20"/>
        </w:rPr>
        <w:t xml:space="preserve">ródło: </w:t>
      </w:r>
      <w:r w:rsidR="00C01320" w:rsidRPr="00C01320">
        <w:rPr>
          <w:rFonts w:ascii="Lato" w:hAnsi="Lato"/>
          <w:bCs/>
          <w:i/>
          <w:spacing w:val="-2"/>
          <w:sz w:val="20"/>
          <w:szCs w:val="20"/>
        </w:rPr>
        <w:t>Koncepcja Przestrzennego Zagospodarowania Kraju</w:t>
      </w:r>
      <w:r w:rsidR="0047761F">
        <w:rPr>
          <w:rFonts w:ascii="Lato" w:hAnsi="Lato"/>
          <w:bCs/>
          <w:i/>
          <w:spacing w:val="-2"/>
          <w:sz w:val="20"/>
          <w:szCs w:val="20"/>
        </w:rPr>
        <w:t xml:space="preserve"> 2030</w:t>
      </w:r>
    </w:p>
    <w:p w:rsidR="00A43985" w:rsidRPr="00D352C4" w:rsidRDefault="00A43985" w:rsidP="002A4A04">
      <w:pPr>
        <w:ind w:firstLine="0"/>
        <w:jc w:val="center"/>
        <w:rPr>
          <w:rFonts w:ascii="Lato" w:hAnsi="Lato"/>
          <w:bCs/>
          <w:i/>
          <w:spacing w:val="-2"/>
          <w:sz w:val="20"/>
          <w:szCs w:val="20"/>
          <w:highlight w:val="yellow"/>
        </w:rPr>
      </w:pPr>
    </w:p>
    <w:p w:rsidR="005A0F8C" w:rsidRPr="0047761F" w:rsidRDefault="00E06308" w:rsidP="003E42DF">
      <w:pPr>
        <w:ind w:firstLine="709"/>
        <w:jc w:val="both"/>
        <w:rPr>
          <w:rFonts w:ascii="Lato" w:hAnsi="Lato"/>
          <w:szCs w:val="22"/>
        </w:rPr>
      </w:pPr>
      <w:r w:rsidRPr="0047761F">
        <w:rPr>
          <w:rFonts w:ascii="Lato" w:hAnsi="Lato"/>
          <w:szCs w:val="22"/>
        </w:rPr>
        <w:lastRenderedPageBreak/>
        <w:t xml:space="preserve">Z powyższego rysunku wynika, że gmina </w:t>
      </w:r>
      <w:r w:rsidR="0047761F" w:rsidRPr="0047761F">
        <w:rPr>
          <w:rFonts w:ascii="Lato" w:hAnsi="Lato"/>
          <w:szCs w:val="22"/>
        </w:rPr>
        <w:t>Pabianice</w:t>
      </w:r>
      <w:r w:rsidRPr="0047761F">
        <w:rPr>
          <w:rFonts w:ascii="Lato" w:hAnsi="Lato"/>
          <w:szCs w:val="22"/>
        </w:rPr>
        <w:t xml:space="preserve"> leży na obszarze o korzystnych warunkach dla budowy siłowni wiatrowej. </w:t>
      </w:r>
      <w:r w:rsidR="0047761F" w:rsidRPr="0047761F">
        <w:rPr>
          <w:rFonts w:ascii="Lato" w:hAnsi="Lato"/>
          <w:szCs w:val="22"/>
        </w:rPr>
        <w:t>Średnia prędkość wiatru na wysokości 30 m nad powierzchnią ziemi wynosi 4 – 4,5 m/s.</w:t>
      </w:r>
      <w:r w:rsidRPr="0047761F">
        <w:rPr>
          <w:rFonts w:ascii="Lato" w:hAnsi="Lato"/>
          <w:szCs w:val="22"/>
        </w:rPr>
        <w:t xml:space="preserve"> Obecnie na terenie gminy brak zlokalizowanych siłowni wiatrowych.</w:t>
      </w:r>
    </w:p>
    <w:p w:rsidR="006B024A" w:rsidRPr="00727C73" w:rsidRDefault="006B024A" w:rsidP="003E42DF">
      <w:pPr>
        <w:ind w:firstLine="709"/>
        <w:jc w:val="both"/>
        <w:rPr>
          <w:rFonts w:ascii="Lato" w:hAnsi="Lato"/>
          <w:szCs w:val="22"/>
        </w:rPr>
      </w:pPr>
      <w:r w:rsidRPr="00727C73">
        <w:rPr>
          <w:rFonts w:ascii="Lato" w:hAnsi="Lato"/>
          <w:szCs w:val="22"/>
        </w:rPr>
        <w:t>Przed podjęciem decyzji o budowie elektrowni wiatrowej w miejscu gdzie występuje duża wietrzność niezbędne jest przeprowadzenie badań: siły, kierunku i częstości występowania wiatrów. Na podstawie przeprowadzonych analiz budowa turbin wiatrowych o dużych moc</w:t>
      </w:r>
      <w:r w:rsidR="00D47F1F" w:rsidRPr="00727C73">
        <w:rPr>
          <w:rFonts w:ascii="Lato" w:hAnsi="Lato"/>
          <w:szCs w:val="22"/>
        </w:rPr>
        <w:t>ach ma sens ekonomiczny tylko w </w:t>
      </w:r>
      <w:r w:rsidRPr="00727C73">
        <w:rPr>
          <w:rFonts w:ascii="Lato" w:hAnsi="Lato"/>
          <w:szCs w:val="22"/>
        </w:rPr>
        <w:t xml:space="preserve">rejonach o średniorocznej prędkości wiatru powyżej 4,0 m/s. </w:t>
      </w:r>
    </w:p>
    <w:p w:rsidR="006B024A" w:rsidRPr="00727C73" w:rsidRDefault="006B024A" w:rsidP="003E42DF">
      <w:pPr>
        <w:ind w:firstLine="709"/>
        <w:jc w:val="both"/>
        <w:rPr>
          <w:rFonts w:ascii="Lato" w:hAnsi="Lato"/>
          <w:szCs w:val="22"/>
        </w:rPr>
      </w:pPr>
      <w:r w:rsidRPr="00727C73">
        <w:rPr>
          <w:rFonts w:ascii="Lato" w:hAnsi="Lato"/>
          <w:szCs w:val="22"/>
        </w:rPr>
        <w:t>Z produkcją energii elektrycznej w wykorzystaniu siły wiatru wiąże się szereg zalet</w:t>
      </w:r>
      <w:r w:rsidR="00462132" w:rsidRPr="00727C73">
        <w:rPr>
          <w:rFonts w:ascii="Lato" w:hAnsi="Lato"/>
          <w:szCs w:val="22"/>
        </w:rPr>
        <w:t>,</w:t>
      </w:r>
      <w:r w:rsidR="00D03562">
        <w:rPr>
          <w:rFonts w:ascii="Lato" w:hAnsi="Lato"/>
          <w:szCs w:val="22"/>
        </w:rPr>
        <w:t xml:space="preserve"> ale </w:t>
      </w:r>
      <w:r w:rsidRPr="00727C73">
        <w:rPr>
          <w:rFonts w:ascii="Lato" w:hAnsi="Lato"/>
          <w:szCs w:val="22"/>
        </w:rPr>
        <w:t>również szereg wad, z których należy zdawać sobie sprawę.</w:t>
      </w:r>
    </w:p>
    <w:p w:rsidR="006B024A" w:rsidRPr="00727C73" w:rsidRDefault="006B024A" w:rsidP="003E42DF">
      <w:pPr>
        <w:ind w:firstLine="0"/>
        <w:jc w:val="both"/>
        <w:rPr>
          <w:rFonts w:ascii="Lato" w:hAnsi="Lato"/>
          <w:szCs w:val="22"/>
        </w:rPr>
      </w:pPr>
      <w:r w:rsidRPr="00727C73">
        <w:rPr>
          <w:rFonts w:ascii="Lato" w:hAnsi="Lato"/>
          <w:szCs w:val="22"/>
        </w:rPr>
        <w:t>Do podstawowych zalet energetyki wiatrowej należą:</w:t>
      </w:r>
    </w:p>
    <w:p w:rsidR="006B024A" w:rsidRPr="00727C73" w:rsidRDefault="006B024A" w:rsidP="003E42DF">
      <w:pPr>
        <w:pStyle w:val="Tekstpodstawowy"/>
        <w:numPr>
          <w:ilvl w:val="0"/>
          <w:numId w:val="83"/>
        </w:numPr>
        <w:tabs>
          <w:tab w:val="clear" w:pos="360"/>
        </w:tabs>
        <w:ind w:left="709" w:hanging="425"/>
        <w:rPr>
          <w:rFonts w:ascii="Lato" w:hAnsi="Lato" w:cs="Times New Roman"/>
        </w:rPr>
      </w:pPr>
      <w:r w:rsidRPr="00727C73">
        <w:rPr>
          <w:rFonts w:ascii="Lato" w:hAnsi="Lato" w:cs="Times New Roman"/>
        </w:rPr>
        <w:t>naturalna odnawialność zasobów energii wiatru bez ponoszenia kosztów,</w:t>
      </w:r>
    </w:p>
    <w:p w:rsidR="006B024A" w:rsidRPr="00727C73" w:rsidRDefault="006B024A" w:rsidP="003E42DF">
      <w:pPr>
        <w:pStyle w:val="Tekstpodstawowy"/>
        <w:numPr>
          <w:ilvl w:val="0"/>
          <w:numId w:val="83"/>
        </w:numPr>
        <w:tabs>
          <w:tab w:val="clear" w:pos="360"/>
        </w:tabs>
        <w:ind w:left="709" w:hanging="425"/>
        <w:rPr>
          <w:rFonts w:ascii="Lato" w:hAnsi="Lato" w:cs="Times New Roman"/>
        </w:rPr>
      </w:pPr>
      <w:r w:rsidRPr="00727C73">
        <w:rPr>
          <w:rFonts w:ascii="Lato" w:hAnsi="Lato" w:cs="Times New Roman"/>
        </w:rPr>
        <w:t>niskie koszty eksploatacyjne siłowni wiatrowych,</w:t>
      </w:r>
    </w:p>
    <w:p w:rsidR="006B024A" w:rsidRPr="00727C73" w:rsidRDefault="006B024A" w:rsidP="003E42DF">
      <w:pPr>
        <w:pStyle w:val="Tekstpodstawowy"/>
        <w:numPr>
          <w:ilvl w:val="0"/>
          <w:numId w:val="83"/>
        </w:numPr>
        <w:tabs>
          <w:tab w:val="clear" w:pos="360"/>
        </w:tabs>
        <w:ind w:left="709" w:hanging="425"/>
        <w:rPr>
          <w:rFonts w:ascii="Lato" w:hAnsi="Lato" w:cs="Times New Roman"/>
        </w:rPr>
      </w:pPr>
      <w:r w:rsidRPr="00727C73">
        <w:rPr>
          <w:rFonts w:ascii="Lato" w:hAnsi="Lato" w:cs="Times New Roman"/>
        </w:rPr>
        <w:t>duża dekoncentracja elektrowni – pozwala to na zbliżenie miejsca wytwarzania energii elektrycznej do odbiorcy.</w:t>
      </w:r>
    </w:p>
    <w:p w:rsidR="006B024A" w:rsidRPr="00727C73" w:rsidRDefault="006B024A" w:rsidP="003E42DF">
      <w:pPr>
        <w:ind w:left="1" w:firstLine="0"/>
        <w:jc w:val="both"/>
        <w:rPr>
          <w:rFonts w:ascii="Lato" w:hAnsi="Lato"/>
          <w:szCs w:val="22"/>
        </w:rPr>
      </w:pPr>
      <w:r w:rsidRPr="00727C73">
        <w:rPr>
          <w:rFonts w:ascii="Lato" w:hAnsi="Lato"/>
          <w:szCs w:val="22"/>
        </w:rPr>
        <w:t>Wadami elektrowni wiatrowych są:</w:t>
      </w:r>
    </w:p>
    <w:p w:rsidR="006B024A" w:rsidRPr="00727C73" w:rsidRDefault="006B024A" w:rsidP="003E42DF">
      <w:pPr>
        <w:pStyle w:val="Tekstpodstawowy"/>
        <w:numPr>
          <w:ilvl w:val="0"/>
          <w:numId w:val="83"/>
        </w:numPr>
        <w:tabs>
          <w:tab w:val="clear" w:pos="360"/>
        </w:tabs>
        <w:ind w:left="709" w:hanging="425"/>
        <w:rPr>
          <w:rFonts w:ascii="Lato" w:hAnsi="Lato" w:cs="Times New Roman"/>
        </w:rPr>
      </w:pPr>
      <w:r w:rsidRPr="00727C73">
        <w:rPr>
          <w:rFonts w:ascii="Lato" w:hAnsi="Lato" w:cs="Times New Roman"/>
        </w:rPr>
        <w:t>wysokie koszty inwestycyjne rzędu,</w:t>
      </w:r>
    </w:p>
    <w:p w:rsidR="006B024A" w:rsidRPr="00727C73" w:rsidRDefault="006B024A" w:rsidP="003E42DF">
      <w:pPr>
        <w:pStyle w:val="Tekstpodstawowy"/>
        <w:numPr>
          <w:ilvl w:val="0"/>
          <w:numId w:val="83"/>
        </w:numPr>
        <w:tabs>
          <w:tab w:val="clear" w:pos="360"/>
        </w:tabs>
        <w:ind w:left="709" w:hanging="425"/>
        <w:rPr>
          <w:rFonts w:ascii="Lato" w:hAnsi="Lato" w:cs="Times New Roman"/>
        </w:rPr>
      </w:pPr>
      <w:r w:rsidRPr="00727C73">
        <w:rPr>
          <w:rFonts w:ascii="Lato" w:hAnsi="Lato" w:cs="Times New Roman"/>
        </w:rPr>
        <w:t>niska przewidywalność produkcji,</w:t>
      </w:r>
    </w:p>
    <w:p w:rsidR="006B024A" w:rsidRPr="00727C73" w:rsidRDefault="006B024A" w:rsidP="003E42DF">
      <w:pPr>
        <w:pStyle w:val="Tekstpodstawowy"/>
        <w:numPr>
          <w:ilvl w:val="0"/>
          <w:numId w:val="83"/>
        </w:numPr>
        <w:tabs>
          <w:tab w:val="clear" w:pos="360"/>
        </w:tabs>
        <w:ind w:left="709" w:hanging="425"/>
        <w:rPr>
          <w:rFonts w:ascii="Lato" w:hAnsi="Lato" w:cs="Times New Roman"/>
        </w:rPr>
      </w:pPr>
      <w:r w:rsidRPr="00727C73">
        <w:rPr>
          <w:rFonts w:ascii="Lato" w:hAnsi="Lato" w:cs="Times New Roman"/>
        </w:rPr>
        <w:t>niskie wykorzystanie mocy zainstalowanej,</w:t>
      </w:r>
    </w:p>
    <w:p w:rsidR="006B024A" w:rsidRPr="00727C73" w:rsidRDefault="006B024A" w:rsidP="003E42DF">
      <w:pPr>
        <w:pStyle w:val="Tekstpodstawowy"/>
        <w:numPr>
          <w:ilvl w:val="0"/>
          <w:numId w:val="83"/>
        </w:numPr>
        <w:tabs>
          <w:tab w:val="clear" w:pos="360"/>
        </w:tabs>
        <w:ind w:left="709" w:hanging="425"/>
        <w:rPr>
          <w:rFonts w:ascii="Lato" w:hAnsi="Lato" w:cs="Times New Roman"/>
        </w:rPr>
      </w:pPr>
      <w:r w:rsidRPr="00727C73">
        <w:rPr>
          <w:rFonts w:ascii="Lato" w:hAnsi="Lato" w:cs="Times New Roman"/>
        </w:rPr>
        <w:t>trudności z podłączeniem do sieci elektroenergetycznej,</w:t>
      </w:r>
    </w:p>
    <w:p w:rsidR="006B024A" w:rsidRPr="00727C73" w:rsidRDefault="006B024A" w:rsidP="003E42DF">
      <w:pPr>
        <w:pStyle w:val="Tekstpodstawowy"/>
        <w:numPr>
          <w:ilvl w:val="0"/>
          <w:numId w:val="83"/>
        </w:numPr>
        <w:tabs>
          <w:tab w:val="clear" w:pos="360"/>
        </w:tabs>
        <w:ind w:left="709" w:hanging="425"/>
        <w:rPr>
          <w:rFonts w:ascii="Lato" w:hAnsi="Lato" w:cs="Times New Roman"/>
        </w:rPr>
      </w:pPr>
      <w:r w:rsidRPr="00727C73">
        <w:rPr>
          <w:rFonts w:ascii="Lato" w:hAnsi="Lato" w:cs="Times New Roman"/>
        </w:rPr>
        <w:t>trudności lokalizacyjne ze względu na ochronę krajobrazu oraz ochronę dróg przelotów ptaków,</w:t>
      </w:r>
    </w:p>
    <w:p w:rsidR="006B024A" w:rsidRPr="00727C73" w:rsidRDefault="006B024A" w:rsidP="003E42DF">
      <w:pPr>
        <w:pStyle w:val="Tekstpodstawowy"/>
        <w:numPr>
          <w:ilvl w:val="0"/>
          <w:numId w:val="83"/>
        </w:numPr>
        <w:tabs>
          <w:tab w:val="clear" w:pos="360"/>
        </w:tabs>
        <w:ind w:left="709" w:hanging="425"/>
        <w:rPr>
          <w:rFonts w:ascii="Lato" w:hAnsi="Lato" w:cs="Times New Roman"/>
        </w:rPr>
      </w:pPr>
      <w:r w:rsidRPr="00727C73">
        <w:rPr>
          <w:rFonts w:ascii="Lato" w:hAnsi="Lato" w:cs="Times New Roman"/>
        </w:rPr>
        <w:t>dość wysoki poziom hałasu - pochodzi on głównie z obracających się łopat wirnika; nie jest to dźwięk o dużym natężeniu, ale problemem jest jego</w:t>
      </w:r>
      <w:r w:rsidR="00D03562">
        <w:rPr>
          <w:rFonts w:ascii="Lato" w:hAnsi="Lato" w:cs="Times New Roman"/>
        </w:rPr>
        <w:t xml:space="preserve"> monotonność i oddziaływanie na </w:t>
      </w:r>
      <w:r w:rsidRPr="00727C73">
        <w:rPr>
          <w:rFonts w:ascii="Lato" w:hAnsi="Lato" w:cs="Times New Roman"/>
        </w:rPr>
        <w:t>psychikę człowieka. Strefą ochronną powinien być obję</w:t>
      </w:r>
      <w:r w:rsidR="000B267A">
        <w:rPr>
          <w:rFonts w:ascii="Lato" w:hAnsi="Lato" w:cs="Times New Roman"/>
        </w:rPr>
        <w:t>ty obszar w promieniu około 500 </w:t>
      </w:r>
      <w:r w:rsidRPr="00727C73">
        <w:rPr>
          <w:rFonts w:ascii="Lato" w:hAnsi="Lato" w:cs="Times New Roman"/>
        </w:rPr>
        <w:t>m wokół masztu elektrowni.</w:t>
      </w:r>
    </w:p>
    <w:p w:rsidR="006B024A" w:rsidRPr="00D352C4" w:rsidRDefault="006B024A" w:rsidP="006B024A">
      <w:pPr>
        <w:ind w:firstLine="0"/>
        <w:jc w:val="both"/>
        <w:rPr>
          <w:rFonts w:ascii="Lato" w:hAnsi="Lato"/>
          <w:szCs w:val="22"/>
          <w:highlight w:val="yellow"/>
        </w:rPr>
      </w:pPr>
    </w:p>
    <w:p w:rsidR="006B024A" w:rsidRPr="00727C73" w:rsidRDefault="006B024A" w:rsidP="003E42DF">
      <w:pPr>
        <w:ind w:firstLine="709"/>
        <w:jc w:val="both"/>
        <w:rPr>
          <w:rFonts w:ascii="Lato" w:hAnsi="Lato"/>
          <w:szCs w:val="22"/>
        </w:rPr>
      </w:pPr>
      <w:r w:rsidRPr="00727C73">
        <w:rPr>
          <w:rFonts w:ascii="Lato" w:hAnsi="Lato"/>
          <w:szCs w:val="22"/>
        </w:rPr>
        <w:t>Ponadto istniejące w Polsce uwarunkowania prawne nadal nie sprzyjają rozwojowi energetyki wiatrowej. Obowiązujące od 1997 roku Prawo energe</w:t>
      </w:r>
      <w:r w:rsidR="00727C73" w:rsidRPr="00727C73">
        <w:rPr>
          <w:rFonts w:ascii="Lato" w:hAnsi="Lato"/>
          <w:szCs w:val="22"/>
        </w:rPr>
        <w:t>tyczne nakazuje uwzględnienie w </w:t>
      </w:r>
      <w:r w:rsidRPr="00727C73">
        <w:rPr>
          <w:rFonts w:ascii="Lato" w:hAnsi="Lato"/>
          <w:szCs w:val="22"/>
        </w:rPr>
        <w:t>planach zagospodarowania przestrzennego gmin niekonwencjonalnych źródeł energii. Aby taki obiekt mógł być wybudowany niezbędna jest pozytywna opinia Państwowej Inspekcji Ochrony Środowiska. Zakłady energetyczne z</w:t>
      </w:r>
      <w:r w:rsidR="005A4386" w:rsidRPr="00727C73">
        <w:rPr>
          <w:rFonts w:ascii="Lato" w:hAnsi="Lato"/>
          <w:szCs w:val="22"/>
        </w:rPr>
        <w:t> </w:t>
      </w:r>
      <w:r w:rsidRPr="00727C73">
        <w:rPr>
          <w:rFonts w:ascii="Lato" w:hAnsi="Lato"/>
          <w:szCs w:val="22"/>
        </w:rPr>
        <w:t xml:space="preserve">kolei przed wydaniem warunków przyłączenia wymagają pozytywnej ekspertyzy możliwości współpracy elektrowni wiatrowej z systemem energetycznym. </w:t>
      </w:r>
    </w:p>
    <w:p w:rsidR="006B024A" w:rsidRPr="00727C73" w:rsidRDefault="006B024A" w:rsidP="003E42DF">
      <w:pPr>
        <w:ind w:firstLine="709"/>
        <w:jc w:val="both"/>
        <w:rPr>
          <w:rFonts w:ascii="Lato" w:hAnsi="Lato"/>
          <w:szCs w:val="22"/>
        </w:rPr>
      </w:pPr>
      <w:r w:rsidRPr="00727C73">
        <w:rPr>
          <w:rFonts w:ascii="Lato" w:hAnsi="Lato"/>
          <w:szCs w:val="22"/>
        </w:rPr>
        <w:t>Niestety występowanie dobrych warunków wiat</w:t>
      </w:r>
      <w:r w:rsidR="00D03562">
        <w:rPr>
          <w:rFonts w:ascii="Lato" w:hAnsi="Lato"/>
          <w:szCs w:val="22"/>
        </w:rPr>
        <w:t>rowych nie zawsze pokrywa się</w:t>
      </w:r>
      <w:r w:rsidR="00B83BEC">
        <w:rPr>
          <w:rFonts w:ascii="Lato" w:hAnsi="Lato"/>
          <w:szCs w:val="22"/>
        </w:rPr>
        <w:t xml:space="preserve"> </w:t>
      </w:r>
      <w:r w:rsidR="00D03562">
        <w:rPr>
          <w:rFonts w:ascii="Lato" w:hAnsi="Lato"/>
          <w:szCs w:val="22"/>
        </w:rPr>
        <w:t>z</w:t>
      </w:r>
      <w:r w:rsidR="00B83BEC">
        <w:rPr>
          <w:rFonts w:ascii="Lato" w:hAnsi="Lato"/>
          <w:szCs w:val="22"/>
        </w:rPr>
        <w:t> </w:t>
      </w:r>
      <w:r w:rsidRPr="00727C73">
        <w:rPr>
          <w:rFonts w:ascii="Lato" w:hAnsi="Lato"/>
          <w:szCs w:val="22"/>
        </w:rPr>
        <w:t xml:space="preserve">dobrymi warunkami systemowymi, a istniejąca w polskim prawie </w:t>
      </w:r>
      <w:r w:rsidR="00B83BEC">
        <w:rPr>
          <w:rFonts w:ascii="Lato" w:hAnsi="Lato"/>
          <w:szCs w:val="22"/>
        </w:rPr>
        <w:t>luka prawna nie określa kto i w </w:t>
      </w:r>
      <w:r w:rsidRPr="00727C73">
        <w:rPr>
          <w:rFonts w:ascii="Lato" w:hAnsi="Lato"/>
          <w:szCs w:val="22"/>
        </w:rPr>
        <w:t>jakim zakresie ponosi odpowiedzialność finansową za rozbudowę infrastruktury energetycznej. Dodatkowo niska przewidywalność produkcji ponosi za sobą konieczność zapewnienia przez operatora systemu rezerwy mocy w postaci innych, zazwyczaj konwencjonalnych źródłach energii. Z tych powodów pod względem technicznym elektrownie wiatrowe traktowane są jako mało atrakcyjne rozwiązania.</w:t>
      </w:r>
    </w:p>
    <w:p w:rsidR="006B024A" w:rsidRPr="00727C73" w:rsidRDefault="006B024A" w:rsidP="003E42DF">
      <w:pPr>
        <w:ind w:firstLine="709"/>
        <w:jc w:val="both"/>
        <w:rPr>
          <w:rFonts w:ascii="Lato" w:hAnsi="Lato"/>
          <w:szCs w:val="22"/>
        </w:rPr>
      </w:pPr>
      <w:r w:rsidRPr="00727C73">
        <w:rPr>
          <w:rFonts w:ascii="Lato" w:hAnsi="Lato"/>
          <w:szCs w:val="22"/>
        </w:rPr>
        <w:t xml:space="preserve">Z analiz ekonomicznych wynika, że energia elektryczna produkowana w elektrowni wiatrowej jest zdecydowanie (ok. 2 razy) droższa od produkowanej w elektrowni konwencjonalnej. Ponadto producenci energii wiatrowej oczekują, że cała produkcja bez względu na zapotrzebowanie, będzie odbierana przez system elektroenergetyczny. </w:t>
      </w:r>
    </w:p>
    <w:p w:rsidR="006B024A" w:rsidRPr="00727C73" w:rsidRDefault="006B024A" w:rsidP="003E42DF">
      <w:pPr>
        <w:ind w:firstLine="709"/>
        <w:jc w:val="both"/>
        <w:rPr>
          <w:rFonts w:ascii="Lato" w:hAnsi="Lato"/>
          <w:szCs w:val="22"/>
        </w:rPr>
      </w:pPr>
      <w:r w:rsidRPr="00727C73">
        <w:rPr>
          <w:rFonts w:ascii="Lato" w:hAnsi="Lato"/>
          <w:szCs w:val="22"/>
        </w:rPr>
        <w:lastRenderedPageBreak/>
        <w:t>Natomiast zawodowa energetyka pracuje w cyklu pl</w:t>
      </w:r>
      <w:r w:rsidR="000E6F34" w:rsidRPr="00727C73">
        <w:rPr>
          <w:rFonts w:ascii="Lato" w:hAnsi="Lato"/>
          <w:szCs w:val="22"/>
        </w:rPr>
        <w:t>anowania dobowego i oczekuje od </w:t>
      </w:r>
      <w:r w:rsidRPr="00727C73">
        <w:rPr>
          <w:rFonts w:ascii="Lato" w:hAnsi="Lato"/>
          <w:szCs w:val="22"/>
        </w:rPr>
        <w:t xml:space="preserve">wytwórców energii zaplanowania energii na dobę naprzód. Ta sprzeczność </w:t>
      </w:r>
      <w:r w:rsidR="00D153EC" w:rsidRPr="00727C73">
        <w:rPr>
          <w:rFonts w:ascii="Lato" w:hAnsi="Lato"/>
          <w:szCs w:val="22"/>
        </w:rPr>
        <w:t>oczekiwań jest dużym hamulcem w </w:t>
      </w:r>
      <w:r w:rsidRPr="00727C73">
        <w:rPr>
          <w:rFonts w:ascii="Lato" w:hAnsi="Lato"/>
          <w:szCs w:val="22"/>
        </w:rPr>
        <w:t>rozwoju energetyki wiatrowej.</w:t>
      </w:r>
    </w:p>
    <w:p w:rsidR="006B024A" w:rsidRPr="00727C73" w:rsidRDefault="006B024A" w:rsidP="003E42DF">
      <w:pPr>
        <w:ind w:firstLine="709"/>
        <w:jc w:val="both"/>
        <w:rPr>
          <w:rFonts w:ascii="Lato" w:hAnsi="Lato"/>
          <w:szCs w:val="22"/>
        </w:rPr>
      </w:pPr>
      <w:r w:rsidRPr="00727C73">
        <w:rPr>
          <w:rFonts w:ascii="Lato" w:hAnsi="Lato"/>
          <w:szCs w:val="22"/>
        </w:rPr>
        <w:t xml:space="preserve">Reasumując zaleca się, aby wspierać przedsiębiorców, którzy będą wyrażać chęć budowy siłowni wiatrowych, zwłaszcza małej mocy, z których produkcja energii elektrycznej pokrywałaby przede wszystkim potrzeby własne przedsiębiorstwa. Programowe podejście do rozwoju energetyki odnawialnej powinno uwzględniać mechanizmy zachęcające do tworzenia małej energetyki rozproszonej, dzięki czemu rynek energii zostanie częściowo zamknięty w granicach </w:t>
      </w:r>
      <w:r w:rsidR="00A32F52" w:rsidRPr="00727C73">
        <w:rPr>
          <w:rFonts w:ascii="Lato" w:hAnsi="Lato"/>
          <w:szCs w:val="22"/>
        </w:rPr>
        <w:t>gminy</w:t>
      </w:r>
      <w:r w:rsidRPr="00727C73">
        <w:rPr>
          <w:rFonts w:ascii="Lato" w:hAnsi="Lato"/>
          <w:szCs w:val="22"/>
        </w:rPr>
        <w:t>, czy regionu</w:t>
      </w:r>
      <w:r w:rsidR="00462132" w:rsidRPr="00727C73">
        <w:rPr>
          <w:rFonts w:ascii="Lato" w:hAnsi="Lato"/>
          <w:szCs w:val="22"/>
        </w:rPr>
        <w:t>,</w:t>
      </w:r>
      <w:r w:rsidRPr="00727C73">
        <w:rPr>
          <w:rFonts w:ascii="Lato" w:hAnsi="Lato"/>
          <w:szCs w:val="22"/>
        </w:rPr>
        <w:t xml:space="preserve"> a co za tym idzie również przepływ pieniędzy.</w:t>
      </w:r>
    </w:p>
    <w:p w:rsidR="006B024A" w:rsidRPr="00727C73" w:rsidRDefault="006B024A" w:rsidP="003E42DF">
      <w:pPr>
        <w:ind w:firstLine="709"/>
        <w:jc w:val="both"/>
        <w:rPr>
          <w:rFonts w:ascii="Lato" w:hAnsi="Lato"/>
          <w:szCs w:val="22"/>
        </w:rPr>
      </w:pPr>
      <w:r w:rsidRPr="00727C73">
        <w:rPr>
          <w:rFonts w:ascii="Lato" w:hAnsi="Lato"/>
          <w:szCs w:val="22"/>
        </w:rPr>
        <w:t xml:space="preserve">W przypadku zainteresowania inwestorów budową turbin wiatrowych na terenie </w:t>
      </w:r>
      <w:r w:rsidR="00A32F52" w:rsidRPr="00727C73">
        <w:rPr>
          <w:rFonts w:ascii="Lato" w:hAnsi="Lato"/>
          <w:szCs w:val="22"/>
        </w:rPr>
        <w:t>gminy</w:t>
      </w:r>
      <w:r w:rsidRPr="00727C73">
        <w:rPr>
          <w:rFonts w:ascii="Lato" w:hAnsi="Lato"/>
          <w:szCs w:val="22"/>
        </w:rPr>
        <w:t xml:space="preserve"> muszą oni przeprowadzić pomiary siły i kierunków wiatru prowadzonych przez okres co najmn</w:t>
      </w:r>
      <w:r w:rsidR="000B267A">
        <w:rPr>
          <w:rFonts w:ascii="Lato" w:hAnsi="Lato"/>
          <w:szCs w:val="22"/>
        </w:rPr>
        <w:t>iej 1 </w:t>
      </w:r>
      <w:r w:rsidRPr="00727C73">
        <w:rPr>
          <w:rFonts w:ascii="Lato" w:hAnsi="Lato"/>
          <w:szCs w:val="22"/>
        </w:rPr>
        <w:t>do 2 lat.</w:t>
      </w:r>
    </w:p>
    <w:p w:rsidR="004B329B" w:rsidRPr="00727C73" w:rsidRDefault="004B329B" w:rsidP="003E42DF">
      <w:pPr>
        <w:ind w:firstLine="709"/>
        <w:jc w:val="both"/>
        <w:rPr>
          <w:rFonts w:ascii="Lato" w:hAnsi="Lato"/>
          <w:szCs w:val="22"/>
        </w:rPr>
      </w:pPr>
    </w:p>
    <w:p w:rsidR="006B024A" w:rsidRPr="00727C73" w:rsidRDefault="006B024A" w:rsidP="00907272">
      <w:pPr>
        <w:pStyle w:val="Nagwek2"/>
        <w:rPr>
          <w:rFonts w:ascii="Lato" w:hAnsi="Lato" w:cs="Times New Roman"/>
        </w:rPr>
      </w:pPr>
      <w:bookmarkStart w:id="300" w:name="_Toc303673568"/>
      <w:bookmarkStart w:id="301" w:name="_Toc328632937"/>
      <w:bookmarkStart w:id="302" w:name="_Toc336419319"/>
      <w:bookmarkStart w:id="303" w:name="_Toc336943573"/>
      <w:bookmarkStart w:id="304" w:name="_Toc20218519"/>
      <w:r w:rsidRPr="00727C73">
        <w:rPr>
          <w:rFonts w:ascii="Lato" w:hAnsi="Lato" w:cs="Times New Roman"/>
        </w:rPr>
        <w:t>Energia geotermalna</w:t>
      </w:r>
      <w:bookmarkEnd w:id="300"/>
      <w:bookmarkEnd w:id="301"/>
      <w:bookmarkEnd w:id="302"/>
      <w:bookmarkEnd w:id="303"/>
      <w:bookmarkEnd w:id="304"/>
    </w:p>
    <w:p w:rsidR="006B024A" w:rsidRPr="00727C73" w:rsidRDefault="006B024A" w:rsidP="003E42DF">
      <w:pPr>
        <w:ind w:firstLine="709"/>
        <w:jc w:val="both"/>
        <w:rPr>
          <w:rFonts w:ascii="Lato" w:hAnsi="Lato"/>
          <w:szCs w:val="22"/>
        </w:rPr>
      </w:pPr>
      <w:r w:rsidRPr="00727C73">
        <w:rPr>
          <w:rFonts w:ascii="Lato" w:hAnsi="Lato"/>
          <w:szCs w:val="22"/>
        </w:rPr>
        <w:t>W Polsce wody geotermalne mają na ogół temperatury nieprzekra</w:t>
      </w:r>
      <w:r w:rsidR="00D153EC" w:rsidRPr="00727C73">
        <w:rPr>
          <w:rFonts w:ascii="Lato" w:hAnsi="Lato"/>
          <w:szCs w:val="22"/>
        </w:rPr>
        <w:t>czające 100°C. Wynika to </w:t>
      </w:r>
      <w:r w:rsidR="00D4579E" w:rsidRPr="00727C73">
        <w:rPr>
          <w:rFonts w:ascii="Lato" w:hAnsi="Lato"/>
          <w:szCs w:val="22"/>
        </w:rPr>
        <w:t>z tzw. </w:t>
      </w:r>
      <w:r w:rsidRPr="00727C73">
        <w:rPr>
          <w:rFonts w:ascii="Lato" w:hAnsi="Lato"/>
          <w:szCs w:val="22"/>
        </w:rPr>
        <w:t>stopnia geotermicznego, który w Polsce waha się od 10 do 110 m, a na przeważającym obszarze kraju mieści się w granicach od 35 – 70 m. Wartość ta oz</w:t>
      </w:r>
      <w:r w:rsidR="000B267A">
        <w:rPr>
          <w:rFonts w:ascii="Lato" w:hAnsi="Lato"/>
          <w:szCs w:val="22"/>
        </w:rPr>
        <w:t>nacza, że temperatura wzrasta o </w:t>
      </w:r>
      <w:r w:rsidRPr="00727C73">
        <w:rPr>
          <w:rFonts w:ascii="Lato" w:hAnsi="Lato"/>
          <w:szCs w:val="22"/>
        </w:rPr>
        <w:t>1°C na każde</w:t>
      </w:r>
      <w:r w:rsidR="003E42DF" w:rsidRPr="00727C73">
        <w:rPr>
          <w:rFonts w:ascii="Lato" w:hAnsi="Lato"/>
          <w:szCs w:val="22"/>
        </w:rPr>
        <w:t xml:space="preserve"> </w:t>
      </w:r>
      <w:r w:rsidRPr="00727C73">
        <w:rPr>
          <w:rFonts w:ascii="Lato" w:hAnsi="Lato"/>
          <w:szCs w:val="22"/>
        </w:rPr>
        <w:t xml:space="preserve">35 – 70 m. </w:t>
      </w:r>
    </w:p>
    <w:p w:rsidR="006B024A" w:rsidRPr="00727C73" w:rsidRDefault="006B024A" w:rsidP="003E42DF">
      <w:pPr>
        <w:ind w:firstLine="709"/>
        <w:jc w:val="both"/>
        <w:rPr>
          <w:rFonts w:ascii="Lato" w:hAnsi="Lato"/>
          <w:szCs w:val="22"/>
        </w:rPr>
      </w:pPr>
      <w:r w:rsidRPr="00727C73">
        <w:rPr>
          <w:rFonts w:ascii="Lato" w:hAnsi="Lato"/>
          <w:szCs w:val="22"/>
        </w:rPr>
        <w:t xml:space="preserve">W Polsce zasoby energii wód </w:t>
      </w:r>
      <w:r w:rsidR="00462132" w:rsidRPr="00727C73">
        <w:rPr>
          <w:rFonts w:ascii="Lato" w:hAnsi="Lato"/>
          <w:szCs w:val="22"/>
        </w:rPr>
        <w:t xml:space="preserve">geotermalnych </w:t>
      </w:r>
      <w:r w:rsidRPr="00727C73">
        <w:rPr>
          <w:rFonts w:ascii="Lato" w:hAnsi="Lato"/>
          <w:szCs w:val="22"/>
        </w:rPr>
        <w:t>uznaje się za duże, ponadto występują na obszarze około 2/3 terytorium kraju. Nie oznacza to jednak, że na całym tym obszarze istnieją obecnie warunki techniczno</w:t>
      </w:r>
      <w:r w:rsidR="002A4A04" w:rsidRPr="00727C73">
        <w:rPr>
          <w:rFonts w:ascii="Lato" w:hAnsi="Lato"/>
          <w:szCs w:val="22"/>
        </w:rPr>
        <w:t>-</w:t>
      </w:r>
      <w:r w:rsidRPr="00727C73">
        <w:rPr>
          <w:rFonts w:ascii="Lato" w:hAnsi="Lato"/>
          <w:szCs w:val="22"/>
        </w:rPr>
        <w:t>ekonomiczne</w:t>
      </w:r>
      <w:r w:rsidR="001F2BEA" w:rsidRPr="00727C73">
        <w:rPr>
          <w:rFonts w:ascii="Lato" w:hAnsi="Lato"/>
          <w:szCs w:val="22"/>
        </w:rPr>
        <w:t xml:space="preserve"> </w:t>
      </w:r>
      <w:r w:rsidRPr="00727C73">
        <w:rPr>
          <w:rFonts w:ascii="Lato" w:hAnsi="Lato"/>
          <w:szCs w:val="22"/>
        </w:rPr>
        <w:t>uzasadniające budową</w:t>
      </w:r>
      <w:r w:rsidR="000B267A">
        <w:rPr>
          <w:rFonts w:ascii="Lato" w:hAnsi="Lato"/>
          <w:szCs w:val="22"/>
        </w:rPr>
        <w:t xml:space="preserve"> instalacji geotermalnych. Przy </w:t>
      </w:r>
      <w:r w:rsidRPr="00727C73">
        <w:rPr>
          <w:rFonts w:ascii="Lato" w:hAnsi="Lato"/>
          <w:szCs w:val="22"/>
        </w:rPr>
        <w:t>znany</w:t>
      </w:r>
      <w:r w:rsidR="00D4579E" w:rsidRPr="00727C73">
        <w:rPr>
          <w:rFonts w:ascii="Lato" w:hAnsi="Lato"/>
          <w:szCs w:val="22"/>
        </w:rPr>
        <w:t>ch technologiach pozyskiwania i </w:t>
      </w:r>
      <w:r w:rsidRPr="00727C73">
        <w:rPr>
          <w:rFonts w:ascii="Lato" w:hAnsi="Lato"/>
          <w:szCs w:val="22"/>
        </w:rPr>
        <w:t>wykorzystywania wody geotermalnej w obecnych warunkach ekonomicznych najefektywniej mogą być wykorzystane wody geotermalne o t</w:t>
      </w:r>
      <w:r w:rsidR="00D153EC" w:rsidRPr="00727C73">
        <w:rPr>
          <w:rFonts w:ascii="Lato" w:hAnsi="Lato"/>
          <w:szCs w:val="22"/>
        </w:rPr>
        <w:t>emperaturze większej od 60°C. W </w:t>
      </w:r>
      <w:r w:rsidRPr="00727C73">
        <w:rPr>
          <w:rFonts w:ascii="Lato" w:hAnsi="Lato"/>
          <w:szCs w:val="22"/>
        </w:rPr>
        <w:t>zależności od przeznaczenia i skali wykorzystania ciepła tych wód oraz warunków ich występowania, nie wyklucza się jednak przypadków budowy instalacji geotermalnych, nawet gdy temperatura wody jest niższa od 60°C.</w:t>
      </w:r>
    </w:p>
    <w:p w:rsidR="009730D2" w:rsidRDefault="009730D2">
      <w:pPr>
        <w:spacing w:line="240" w:lineRule="auto"/>
        <w:ind w:firstLine="0"/>
        <w:rPr>
          <w:rFonts w:ascii="Lato" w:hAnsi="Lato"/>
          <w:b/>
          <w:bCs/>
          <w:color w:val="1F497D"/>
          <w:spacing w:val="-2"/>
          <w:sz w:val="20"/>
          <w:szCs w:val="20"/>
        </w:rPr>
      </w:pPr>
      <w:bookmarkStart w:id="305" w:name="_Toc328633038"/>
      <w:bookmarkStart w:id="306" w:name="_Toc336419481"/>
      <w:bookmarkStart w:id="307" w:name="_Toc336943648"/>
      <w:r>
        <w:rPr>
          <w:rFonts w:ascii="Lato" w:hAnsi="Lato"/>
          <w:b/>
          <w:bCs/>
          <w:color w:val="1F497D"/>
          <w:spacing w:val="-2"/>
          <w:sz w:val="20"/>
          <w:szCs w:val="20"/>
        </w:rPr>
        <w:br w:type="page"/>
      </w:r>
    </w:p>
    <w:p w:rsidR="006B024A" w:rsidRPr="00727C73" w:rsidRDefault="006B024A" w:rsidP="002A4A04">
      <w:pPr>
        <w:spacing w:before="100" w:beforeAutospacing="1" w:line="240" w:lineRule="auto"/>
        <w:ind w:firstLine="0"/>
        <w:jc w:val="both"/>
        <w:rPr>
          <w:rFonts w:ascii="Lato" w:hAnsi="Lato"/>
          <w:b/>
          <w:iCs/>
          <w:szCs w:val="22"/>
        </w:rPr>
      </w:pPr>
      <w:bookmarkStart w:id="308" w:name="_Toc20219188"/>
      <w:r w:rsidRPr="00727C73">
        <w:rPr>
          <w:rFonts w:ascii="Lato" w:hAnsi="Lato"/>
          <w:b/>
          <w:bCs/>
          <w:color w:val="1F497D"/>
          <w:spacing w:val="-2"/>
          <w:sz w:val="20"/>
          <w:szCs w:val="20"/>
        </w:rPr>
        <w:lastRenderedPageBreak/>
        <w:t xml:space="preserve">Tabela </w:t>
      </w:r>
      <w:r w:rsidR="004042AE" w:rsidRPr="00727C73">
        <w:rPr>
          <w:rFonts w:ascii="Lato" w:hAnsi="Lato"/>
          <w:b/>
          <w:bCs/>
          <w:color w:val="1F497D"/>
          <w:spacing w:val="-2"/>
          <w:sz w:val="20"/>
          <w:szCs w:val="20"/>
        </w:rPr>
        <w:fldChar w:fldCharType="begin"/>
      </w:r>
      <w:r w:rsidR="005430ED" w:rsidRPr="00727C73">
        <w:rPr>
          <w:rFonts w:ascii="Lato" w:hAnsi="Lato"/>
          <w:b/>
          <w:bCs/>
          <w:color w:val="1F497D"/>
          <w:spacing w:val="-2"/>
          <w:sz w:val="20"/>
          <w:szCs w:val="20"/>
        </w:rPr>
        <w:instrText xml:space="preserve"> STYLEREF 1 \s </w:instrText>
      </w:r>
      <w:r w:rsidR="004042AE" w:rsidRPr="00727C73">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727C73">
        <w:rPr>
          <w:rFonts w:ascii="Lato" w:hAnsi="Lato"/>
          <w:b/>
          <w:bCs/>
          <w:color w:val="1F497D"/>
          <w:spacing w:val="-2"/>
          <w:sz w:val="20"/>
          <w:szCs w:val="20"/>
        </w:rPr>
        <w:fldChar w:fldCharType="end"/>
      </w:r>
      <w:r w:rsidR="005430ED" w:rsidRPr="00727C73">
        <w:rPr>
          <w:rFonts w:ascii="Lato" w:hAnsi="Lato"/>
          <w:b/>
          <w:bCs/>
          <w:color w:val="1F497D"/>
          <w:spacing w:val="-2"/>
          <w:sz w:val="20"/>
          <w:szCs w:val="20"/>
        </w:rPr>
        <w:noBreakHyphen/>
      </w:r>
      <w:r w:rsidR="004042AE" w:rsidRPr="00727C73">
        <w:rPr>
          <w:rFonts w:ascii="Lato" w:hAnsi="Lato"/>
          <w:b/>
          <w:bCs/>
          <w:color w:val="1F497D"/>
          <w:spacing w:val="-2"/>
          <w:sz w:val="20"/>
          <w:szCs w:val="20"/>
        </w:rPr>
        <w:fldChar w:fldCharType="begin"/>
      </w:r>
      <w:r w:rsidR="005430ED" w:rsidRPr="00727C73">
        <w:rPr>
          <w:rFonts w:ascii="Lato" w:hAnsi="Lato"/>
          <w:b/>
          <w:bCs/>
          <w:color w:val="1F497D"/>
          <w:spacing w:val="-2"/>
          <w:sz w:val="20"/>
          <w:szCs w:val="20"/>
        </w:rPr>
        <w:instrText xml:space="preserve"> SEQ Tabela \* ARABIC \s 1 </w:instrText>
      </w:r>
      <w:r w:rsidR="004042AE" w:rsidRPr="00727C73">
        <w:rPr>
          <w:rFonts w:ascii="Lato" w:hAnsi="Lato"/>
          <w:b/>
          <w:bCs/>
          <w:color w:val="1F497D"/>
          <w:spacing w:val="-2"/>
          <w:sz w:val="20"/>
          <w:szCs w:val="20"/>
        </w:rPr>
        <w:fldChar w:fldCharType="separate"/>
      </w:r>
      <w:r w:rsidR="0040205B">
        <w:rPr>
          <w:rFonts w:ascii="Lato" w:hAnsi="Lato"/>
          <w:b/>
          <w:bCs/>
          <w:noProof/>
          <w:color w:val="1F497D"/>
          <w:spacing w:val="-2"/>
          <w:sz w:val="20"/>
          <w:szCs w:val="20"/>
        </w:rPr>
        <w:t>1</w:t>
      </w:r>
      <w:r w:rsidR="004042AE" w:rsidRPr="00727C73">
        <w:rPr>
          <w:rFonts w:ascii="Lato" w:hAnsi="Lato"/>
          <w:b/>
          <w:bCs/>
          <w:color w:val="1F497D"/>
          <w:spacing w:val="-2"/>
          <w:sz w:val="20"/>
          <w:szCs w:val="20"/>
        </w:rPr>
        <w:fldChar w:fldCharType="end"/>
      </w:r>
      <w:r w:rsidRPr="00727C73">
        <w:rPr>
          <w:rFonts w:ascii="Lato" w:hAnsi="Lato"/>
          <w:b/>
          <w:bCs/>
          <w:color w:val="1F497D"/>
          <w:spacing w:val="-2"/>
          <w:sz w:val="20"/>
          <w:szCs w:val="20"/>
        </w:rPr>
        <w:t xml:space="preserve"> Potencjalne zasoby energii geotermalnej w Polsce</w:t>
      </w:r>
      <w:bookmarkEnd w:id="305"/>
      <w:bookmarkEnd w:id="306"/>
      <w:bookmarkEnd w:id="307"/>
      <w:bookmarkEnd w:id="308"/>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1E0" w:firstRow="1" w:lastRow="1" w:firstColumn="1" w:lastColumn="1" w:noHBand="0" w:noVBand="0"/>
      </w:tblPr>
      <w:tblGrid>
        <w:gridCol w:w="517"/>
        <w:gridCol w:w="2245"/>
        <w:gridCol w:w="1515"/>
        <w:gridCol w:w="1822"/>
        <w:gridCol w:w="1996"/>
        <w:gridCol w:w="1534"/>
      </w:tblGrid>
      <w:tr w:rsidR="00203964" w:rsidRPr="00727C73" w:rsidTr="00E83E02">
        <w:tc>
          <w:tcPr>
            <w:tcW w:w="517" w:type="dxa"/>
            <w:shd w:val="clear" w:color="auto" w:fill="C6D9F1"/>
            <w:vAlign w:val="center"/>
          </w:tcPr>
          <w:p w:rsidR="00203964" w:rsidRPr="00727C73" w:rsidRDefault="00203964" w:rsidP="001C12E2">
            <w:pPr>
              <w:pStyle w:val="bulety"/>
              <w:spacing w:before="0" w:after="0" w:line="240" w:lineRule="auto"/>
              <w:ind w:firstLine="0"/>
              <w:jc w:val="center"/>
              <w:rPr>
                <w:rFonts w:ascii="Lato" w:hAnsi="Lato"/>
                <w:color w:val="1F497D"/>
                <w:spacing w:val="-2"/>
                <w:sz w:val="20"/>
              </w:rPr>
            </w:pPr>
            <w:bookmarkStart w:id="309" w:name="_Toc273702819"/>
            <w:r w:rsidRPr="00727C73">
              <w:rPr>
                <w:rFonts w:ascii="Lato" w:hAnsi="Lato"/>
                <w:color w:val="1F497D"/>
                <w:spacing w:val="-2"/>
                <w:sz w:val="20"/>
              </w:rPr>
              <w:t>Lp.</w:t>
            </w:r>
          </w:p>
        </w:tc>
        <w:tc>
          <w:tcPr>
            <w:tcW w:w="2245" w:type="dxa"/>
            <w:shd w:val="clear" w:color="auto" w:fill="C6D9F1"/>
            <w:vAlign w:val="center"/>
          </w:tcPr>
          <w:p w:rsidR="00203964" w:rsidRPr="00727C73" w:rsidRDefault="00203964" w:rsidP="001C12E2">
            <w:pPr>
              <w:pStyle w:val="bulety"/>
              <w:spacing w:before="0" w:after="0" w:line="240" w:lineRule="auto"/>
              <w:ind w:firstLine="0"/>
              <w:jc w:val="center"/>
              <w:rPr>
                <w:rFonts w:ascii="Lato" w:hAnsi="Lato"/>
                <w:color w:val="1F497D"/>
                <w:spacing w:val="-2"/>
                <w:sz w:val="20"/>
              </w:rPr>
            </w:pPr>
            <w:r w:rsidRPr="00727C73">
              <w:rPr>
                <w:rFonts w:ascii="Lato" w:hAnsi="Lato"/>
                <w:color w:val="1F497D"/>
                <w:spacing w:val="-2"/>
                <w:sz w:val="20"/>
              </w:rPr>
              <w:t>Nazwa okręgu</w:t>
            </w:r>
          </w:p>
        </w:tc>
        <w:tc>
          <w:tcPr>
            <w:tcW w:w="1515" w:type="dxa"/>
            <w:shd w:val="clear" w:color="auto" w:fill="C6D9F1"/>
            <w:vAlign w:val="center"/>
          </w:tcPr>
          <w:p w:rsidR="00203964" w:rsidRPr="00727C73" w:rsidRDefault="00203964" w:rsidP="001C12E2">
            <w:pPr>
              <w:pStyle w:val="bulety"/>
              <w:spacing w:before="0" w:after="0" w:line="240" w:lineRule="auto"/>
              <w:ind w:firstLine="0"/>
              <w:jc w:val="center"/>
              <w:rPr>
                <w:rFonts w:ascii="Lato" w:hAnsi="Lato"/>
                <w:color w:val="1F497D"/>
                <w:spacing w:val="-2"/>
                <w:sz w:val="20"/>
              </w:rPr>
            </w:pPr>
            <w:r w:rsidRPr="00727C73">
              <w:rPr>
                <w:rFonts w:ascii="Lato" w:hAnsi="Lato"/>
                <w:color w:val="1F497D"/>
                <w:spacing w:val="-2"/>
                <w:sz w:val="20"/>
              </w:rPr>
              <w:t>Powierzchnia obszaru, km</w:t>
            </w:r>
            <w:r w:rsidRPr="00727C73">
              <w:rPr>
                <w:rFonts w:ascii="Lato" w:hAnsi="Lato"/>
                <w:color w:val="1F497D"/>
                <w:spacing w:val="-2"/>
                <w:sz w:val="20"/>
                <w:vertAlign w:val="superscript"/>
              </w:rPr>
              <w:t>2</w:t>
            </w:r>
          </w:p>
        </w:tc>
        <w:tc>
          <w:tcPr>
            <w:tcW w:w="1822" w:type="dxa"/>
            <w:shd w:val="clear" w:color="auto" w:fill="C6D9F1"/>
            <w:vAlign w:val="center"/>
          </w:tcPr>
          <w:p w:rsidR="00203964" w:rsidRPr="00727C73" w:rsidRDefault="00203964" w:rsidP="001C12E2">
            <w:pPr>
              <w:pStyle w:val="bulety"/>
              <w:spacing w:before="0" w:after="0" w:line="240" w:lineRule="auto"/>
              <w:ind w:firstLine="0"/>
              <w:jc w:val="center"/>
              <w:rPr>
                <w:rFonts w:ascii="Lato" w:hAnsi="Lato"/>
                <w:color w:val="1F497D"/>
                <w:spacing w:val="-2"/>
                <w:sz w:val="20"/>
              </w:rPr>
            </w:pPr>
            <w:r w:rsidRPr="00727C73">
              <w:rPr>
                <w:rFonts w:ascii="Lato" w:hAnsi="Lato"/>
                <w:color w:val="1F497D"/>
                <w:spacing w:val="-2"/>
                <w:sz w:val="20"/>
              </w:rPr>
              <w:t>Formacja geologiczna</w:t>
            </w:r>
          </w:p>
        </w:tc>
        <w:tc>
          <w:tcPr>
            <w:tcW w:w="1996" w:type="dxa"/>
            <w:shd w:val="clear" w:color="auto" w:fill="C6D9F1"/>
            <w:vAlign w:val="center"/>
          </w:tcPr>
          <w:p w:rsidR="00203964" w:rsidRPr="00727C73" w:rsidRDefault="00203964" w:rsidP="001C12E2">
            <w:pPr>
              <w:pStyle w:val="bulety"/>
              <w:spacing w:before="0" w:after="0" w:line="240" w:lineRule="auto"/>
              <w:ind w:firstLine="0"/>
              <w:jc w:val="center"/>
              <w:rPr>
                <w:rFonts w:ascii="Lato" w:hAnsi="Lato"/>
                <w:color w:val="1F497D"/>
                <w:spacing w:val="-2"/>
                <w:sz w:val="20"/>
              </w:rPr>
            </w:pPr>
            <w:r w:rsidRPr="00727C73">
              <w:rPr>
                <w:rFonts w:ascii="Lato" w:hAnsi="Lato"/>
                <w:color w:val="1F497D"/>
                <w:spacing w:val="-2"/>
                <w:sz w:val="20"/>
              </w:rPr>
              <w:t>Objętość wód geotermalnych, km</w:t>
            </w:r>
            <w:r w:rsidRPr="00727C73">
              <w:rPr>
                <w:rFonts w:ascii="Lato" w:hAnsi="Lato"/>
                <w:color w:val="1F497D"/>
                <w:spacing w:val="-2"/>
                <w:sz w:val="20"/>
                <w:vertAlign w:val="superscript"/>
              </w:rPr>
              <w:t>2</w:t>
            </w:r>
          </w:p>
        </w:tc>
        <w:tc>
          <w:tcPr>
            <w:tcW w:w="1534" w:type="dxa"/>
            <w:shd w:val="clear" w:color="auto" w:fill="C6D9F1"/>
            <w:vAlign w:val="center"/>
          </w:tcPr>
          <w:p w:rsidR="00203964" w:rsidRPr="00727C73" w:rsidRDefault="00203964" w:rsidP="00CB6F58">
            <w:pPr>
              <w:pStyle w:val="bulety"/>
              <w:spacing w:before="0" w:after="0" w:line="240" w:lineRule="auto"/>
              <w:ind w:firstLine="0"/>
              <w:jc w:val="center"/>
              <w:rPr>
                <w:rFonts w:ascii="Lato" w:hAnsi="Lato"/>
                <w:color w:val="1F497D"/>
                <w:spacing w:val="-2"/>
                <w:sz w:val="20"/>
              </w:rPr>
            </w:pPr>
            <w:r w:rsidRPr="00727C73">
              <w:rPr>
                <w:rFonts w:ascii="Lato" w:hAnsi="Lato"/>
                <w:color w:val="1F497D"/>
                <w:spacing w:val="-2"/>
                <w:sz w:val="20"/>
              </w:rPr>
              <w:t>Zasoby energii cieplnej, mln t</w:t>
            </w:r>
            <w:r w:rsidR="00CB6F58" w:rsidRPr="00727C73">
              <w:rPr>
                <w:rFonts w:ascii="Lato" w:hAnsi="Lato"/>
                <w:color w:val="1F497D"/>
                <w:spacing w:val="-2"/>
                <w:sz w:val="20"/>
              </w:rPr>
              <w:t>. </w:t>
            </w:r>
            <w:r w:rsidRPr="00727C73">
              <w:rPr>
                <w:rFonts w:ascii="Lato" w:hAnsi="Lato"/>
                <w:color w:val="1F497D"/>
                <w:spacing w:val="-2"/>
                <w:sz w:val="20"/>
              </w:rPr>
              <w:t>p</w:t>
            </w:r>
            <w:r w:rsidR="00CB6F58" w:rsidRPr="00727C73">
              <w:rPr>
                <w:rFonts w:ascii="Lato" w:hAnsi="Lato"/>
                <w:color w:val="1F497D"/>
                <w:spacing w:val="-2"/>
                <w:sz w:val="20"/>
              </w:rPr>
              <w:t xml:space="preserve">. </w:t>
            </w:r>
            <w:r w:rsidRPr="00727C73">
              <w:rPr>
                <w:rFonts w:ascii="Lato" w:hAnsi="Lato"/>
                <w:color w:val="1F497D"/>
                <w:spacing w:val="-2"/>
                <w:sz w:val="20"/>
              </w:rPr>
              <w:t>u</w:t>
            </w:r>
            <w:r w:rsidR="00CB6F58" w:rsidRPr="00727C73">
              <w:rPr>
                <w:rFonts w:ascii="Lato" w:hAnsi="Lato"/>
                <w:color w:val="1F497D"/>
                <w:spacing w:val="-2"/>
                <w:sz w:val="20"/>
              </w:rPr>
              <w:t>.</w:t>
            </w:r>
          </w:p>
        </w:tc>
      </w:tr>
      <w:tr w:rsidR="00203964" w:rsidRPr="00727C73" w:rsidTr="00E83E02">
        <w:tc>
          <w:tcPr>
            <w:tcW w:w="517"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w:t>
            </w:r>
          </w:p>
        </w:tc>
        <w:tc>
          <w:tcPr>
            <w:tcW w:w="2245" w:type="dxa"/>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grudziądzko-warszawski</w:t>
            </w:r>
          </w:p>
        </w:tc>
        <w:tc>
          <w:tcPr>
            <w:tcW w:w="1515"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70 000</w:t>
            </w:r>
          </w:p>
        </w:tc>
        <w:tc>
          <w:tcPr>
            <w:tcW w:w="1822" w:type="dxa"/>
            <w:vAlign w:val="center"/>
          </w:tcPr>
          <w:p w:rsidR="00203964" w:rsidRPr="00727C73" w:rsidRDefault="00203964" w:rsidP="00D419E6">
            <w:pPr>
              <w:spacing w:before="40" w:after="40" w:line="240" w:lineRule="auto"/>
              <w:ind w:firstLine="0"/>
              <w:rPr>
                <w:rFonts w:ascii="Lato" w:hAnsi="Lato"/>
                <w:color w:val="1F497D"/>
                <w:sz w:val="20"/>
                <w:szCs w:val="20"/>
              </w:rPr>
            </w:pPr>
            <w:r w:rsidRPr="00727C73">
              <w:rPr>
                <w:rFonts w:ascii="Lato" w:hAnsi="Lato"/>
                <w:color w:val="1F497D"/>
                <w:sz w:val="20"/>
                <w:szCs w:val="20"/>
              </w:rPr>
              <w:t>kreda / jura</w:t>
            </w:r>
            <w:r w:rsidR="00D419E6" w:rsidRPr="00727C73">
              <w:rPr>
                <w:rFonts w:ascii="Lato" w:hAnsi="Lato"/>
                <w:color w:val="1F497D"/>
                <w:sz w:val="20"/>
                <w:szCs w:val="20"/>
              </w:rPr>
              <w:t xml:space="preserve"> / </w:t>
            </w:r>
            <w:r w:rsidRPr="00727C73">
              <w:rPr>
                <w:rFonts w:ascii="Lato" w:hAnsi="Lato"/>
                <w:color w:val="1F497D"/>
                <w:sz w:val="20"/>
                <w:szCs w:val="20"/>
              </w:rPr>
              <w:t>trias</w:t>
            </w:r>
          </w:p>
        </w:tc>
        <w:tc>
          <w:tcPr>
            <w:tcW w:w="1996"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2 766</w:t>
            </w:r>
          </w:p>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334</w:t>
            </w:r>
          </w:p>
        </w:tc>
        <w:tc>
          <w:tcPr>
            <w:tcW w:w="1534"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9 835</w:t>
            </w:r>
          </w:p>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2 107</w:t>
            </w:r>
          </w:p>
        </w:tc>
      </w:tr>
      <w:tr w:rsidR="00203964" w:rsidRPr="00727C73" w:rsidTr="00E83E02">
        <w:tc>
          <w:tcPr>
            <w:tcW w:w="517"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2.</w:t>
            </w:r>
          </w:p>
        </w:tc>
        <w:tc>
          <w:tcPr>
            <w:tcW w:w="2245" w:type="dxa"/>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szczecińsko-łódzki</w:t>
            </w:r>
          </w:p>
        </w:tc>
        <w:tc>
          <w:tcPr>
            <w:tcW w:w="1515"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67 000</w:t>
            </w:r>
          </w:p>
        </w:tc>
        <w:tc>
          <w:tcPr>
            <w:tcW w:w="1822" w:type="dxa"/>
            <w:vAlign w:val="center"/>
          </w:tcPr>
          <w:p w:rsidR="00203964" w:rsidRPr="00727C73" w:rsidRDefault="00203964" w:rsidP="00D419E6">
            <w:pPr>
              <w:spacing w:before="40" w:after="40" w:line="240" w:lineRule="auto"/>
              <w:ind w:firstLine="0"/>
              <w:rPr>
                <w:rFonts w:ascii="Lato" w:hAnsi="Lato"/>
                <w:color w:val="1F497D"/>
                <w:sz w:val="20"/>
                <w:szCs w:val="20"/>
              </w:rPr>
            </w:pPr>
            <w:r w:rsidRPr="00727C73">
              <w:rPr>
                <w:rFonts w:ascii="Lato" w:hAnsi="Lato"/>
                <w:color w:val="1F497D"/>
                <w:sz w:val="20"/>
                <w:szCs w:val="20"/>
              </w:rPr>
              <w:t>kreda / jura</w:t>
            </w:r>
            <w:r w:rsidR="00D419E6" w:rsidRPr="00727C73">
              <w:rPr>
                <w:rFonts w:ascii="Lato" w:hAnsi="Lato"/>
                <w:color w:val="1F497D"/>
                <w:sz w:val="20"/>
                <w:szCs w:val="20"/>
              </w:rPr>
              <w:t xml:space="preserve"> / </w:t>
            </w:r>
            <w:r w:rsidRPr="00727C73">
              <w:rPr>
                <w:rFonts w:ascii="Lato" w:hAnsi="Lato"/>
                <w:color w:val="1F497D"/>
                <w:sz w:val="20"/>
                <w:szCs w:val="20"/>
              </w:rPr>
              <w:t>trias</w:t>
            </w:r>
          </w:p>
        </w:tc>
        <w:tc>
          <w:tcPr>
            <w:tcW w:w="1996"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2 580</w:t>
            </w:r>
          </w:p>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274</w:t>
            </w:r>
          </w:p>
        </w:tc>
        <w:tc>
          <w:tcPr>
            <w:tcW w:w="1534"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16 627</w:t>
            </w:r>
          </w:p>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2 185</w:t>
            </w:r>
          </w:p>
        </w:tc>
      </w:tr>
      <w:tr w:rsidR="00203964" w:rsidRPr="00727C73" w:rsidTr="00E83E02">
        <w:tc>
          <w:tcPr>
            <w:tcW w:w="517"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3.</w:t>
            </w:r>
          </w:p>
        </w:tc>
        <w:tc>
          <w:tcPr>
            <w:tcW w:w="2245" w:type="dxa"/>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przedsudecko-północnoświętokrzyski</w:t>
            </w:r>
          </w:p>
        </w:tc>
        <w:tc>
          <w:tcPr>
            <w:tcW w:w="1515"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39 000</w:t>
            </w:r>
          </w:p>
        </w:tc>
        <w:tc>
          <w:tcPr>
            <w:tcW w:w="1822" w:type="dxa"/>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perm / trias</w:t>
            </w:r>
          </w:p>
        </w:tc>
        <w:tc>
          <w:tcPr>
            <w:tcW w:w="1996"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155</w:t>
            </w:r>
          </w:p>
        </w:tc>
        <w:tc>
          <w:tcPr>
            <w:tcW w:w="1534"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995</w:t>
            </w:r>
          </w:p>
        </w:tc>
      </w:tr>
      <w:tr w:rsidR="00203964" w:rsidRPr="00727C73" w:rsidTr="00E83E02">
        <w:tc>
          <w:tcPr>
            <w:tcW w:w="517"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4.</w:t>
            </w:r>
          </w:p>
        </w:tc>
        <w:tc>
          <w:tcPr>
            <w:tcW w:w="2245" w:type="dxa"/>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pomorski</w:t>
            </w:r>
          </w:p>
        </w:tc>
        <w:tc>
          <w:tcPr>
            <w:tcW w:w="1515"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12 000</w:t>
            </w:r>
          </w:p>
        </w:tc>
        <w:tc>
          <w:tcPr>
            <w:tcW w:w="1822" w:type="dxa"/>
            <w:vAlign w:val="center"/>
          </w:tcPr>
          <w:p w:rsidR="00203964" w:rsidRPr="00727C73" w:rsidRDefault="00203964" w:rsidP="00D419E6">
            <w:pPr>
              <w:spacing w:before="40" w:after="40" w:line="240" w:lineRule="auto"/>
              <w:ind w:firstLine="0"/>
              <w:rPr>
                <w:rFonts w:ascii="Lato" w:hAnsi="Lato"/>
                <w:color w:val="1F497D"/>
                <w:sz w:val="20"/>
                <w:szCs w:val="20"/>
                <w:lang w:val="en-GB"/>
              </w:rPr>
            </w:pPr>
            <w:r w:rsidRPr="00727C73">
              <w:rPr>
                <w:rFonts w:ascii="Lato" w:hAnsi="Lato"/>
                <w:color w:val="1F497D"/>
                <w:sz w:val="20"/>
                <w:szCs w:val="20"/>
                <w:lang w:val="en-GB"/>
              </w:rPr>
              <w:t>perm / karbon</w:t>
            </w:r>
            <w:r w:rsidR="00D419E6" w:rsidRPr="00727C73">
              <w:rPr>
                <w:rFonts w:ascii="Lato" w:hAnsi="Lato"/>
                <w:color w:val="1F497D"/>
                <w:sz w:val="20"/>
                <w:szCs w:val="20"/>
                <w:lang w:val="en-GB"/>
              </w:rPr>
              <w:t xml:space="preserve"> / </w:t>
            </w:r>
            <w:r w:rsidRPr="00727C73">
              <w:rPr>
                <w:rFonts w:ascii="Lato" w:hAnsi="Lato"/>
                <w:color w:val="1F497D"/>
                <w:sz w:val="20"/>
                <w:szCs w:val="20"/>
                <w:lang w:val="en-GB"/>
              </w:rPr>
              <w:t>dewon / lias / trias</w:t>
            </w:r>
          </w:p>
        </w:tc>
        <w:tc>
          <w:tcPr>
            <w:tcW w:w="1996"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21</w:t>
            </w:r>
          </w:p>
        </w:tc>
        <w:tc>
          <w:tcPr>
            <w:tcW w:w="1534"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162</w:t>
            </w:r>
          </w:p>
        </w:tc>
      </w:tr>
      <w:tr w:rsidR="00203964" w:rsidRPr="00727C73" w:rsidTr="00E83E02">
        <w:tc>
          <w:tcPr>
            <w:tcW w:w="517"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5.</w:t>
            </w:r>
          </w:p>
        </w:tc>
        <w:tc>
          <w:tcPr>
            <w:tcW w:w="2245" w:type="dxa"/>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lubelski</w:t>
            </w:r>
          </w:p>
        </w:tc>
        <w:tc>
          <w:tcPr>
            <w:tcW w:w="1515"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12 000</w:t>
            </w:r>
          </w:p>
        </w:tc>
        <w:tc>
          <w:tcPr>
            <w:tcW w:w="1822" w:type="dxa"/>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karbon / dewon</w:t>
            </w:r>
          </w:p>
        </w:tc>
        <w:tc>
          <w:tcPr>
            <w:tcW w:w="1996"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30</w:t>
            </w:r>
          </w:p>
        </w:tc>
        <w:tc>
          <w:tcPr>
            <w:tcW w:w="1534"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193</w:t>
            </w:r>
          </w:p>
        </w:tc>
      </w:tr>
      <w:tr w:rsidR="00203964" w:rsidRPr="00727C73" w:rsidTr="00E83E02">
        <w:tc>
          <w:tcPr>
            <w:tcW w:w="517"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6.</w:t>
            </w:r>
          </w:p>
        </w:tc>
        <w:tc>
          <w:tcPr>
            <w:tcW w:w="2245" w:type="dxa"/>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przybałtycki</w:t>
            </w:r>
          </w:p>
        </w:tc>
        <w:tc>
          <w:tcPr>
            <w:tcW w:w="1515"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15 000</w:t>
            </w:r>
          </w:p>
        </w:tc>
        <w:tc>
          <w:tcPr>
            <w:tcW w:w="1822" w:type="dxa"/>
            <w:vMerge w:val="restart"/>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kambr / perm / mezozoik</w:t>
            </w:r>
          </w:p>
        </w:tc>
        <w:tc>
          <w:tcPr>
            <w:tcW w:w="1996"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38</w:t>
            </w:r>
          </w:p>
        </w:tc>
        <w:tc>
          <w:tcPr>
            <w:tcW w:w="1534"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241</w:t>
            </w:r>
          </w:p>
        </w:tc>
      </w:tr>
      <w:tr w:rsidR="00203964" w:rsidRPr="00727C73" w:rsidTr="00E83E02">
        <w:tc>
          <w:tcPr>
            <w:tcW w:w="517"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7.</w:t>
            </w:r>
          </w:p>
        </w:tc>
        <w:tc>
          <w:tcPr>
            <w:tcW w:w="2245" w:type="dxa"/>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podlaski</w:t>
            </w:r>
          </w:p>
        </w:tc>
        <w:tc>
          <w:tcPr>
            <w:tcW w:w="1515"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7 000</w:t>
            </w:r>
          </w:p>
        </w:tc>
        <w:tc>
          <w:tcPr>
            <w:tcW w:w="1822" w:type="dxa"/>
            <w:vMerge/>
            <w:vAlign w:val="center"/>
          </w:tcPr>
          <w:p w:rsidR="00203964" w:rsidRPr="00727C73" w:rsidRDefault="00203964" w:rsidP="001C12E2">
            <w:pPr>
              <w:spacing w:before="40" w:after="40" w:line="240" w:lineRule="auto"/>
              <w:ind w:left="-532"/>
              <w:jc w:val="center"/>
              <w:rPr>
                <w:rFonts w:ascii="Lato" w:hAnsi="Lato"/>
                <w:color w:val="1F497D"/>
                <w:sz w:val="20"/>
                <w:szCs w:val="20"/>
              </w:rPr>
            </w:pPr>
          </w:p>
        </w:tc>
        <w:tc>
          <w:tcPr>
            <w:tcW w:w="1996"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17</w:t>
            </w:r>
          </w:p>
        </w:tc>
        <w:tc>
          <w:tcPr>
            <w:tcW w:w="1534"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113</w:t>
            </w:r>
          </w:p>
        </w:tc>
      </w:tr>
      <w:tr w:rsidR="00203964" w:rsidRPr="00727C73" w:rsidTr="00E83E02">
        <w:tc>
          <w:tcPr>
            <w:tcW w:w="517"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8.</w:t>
            </w:r>
          </w:p>
        </w:tc>
        <w:tc>
          <w:tcPr>
            <w:tcW w:w="2245" w:type="dxa"/>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przedkarpacki</w:t>
            </w:r>
          </w:p>
        </w:tc>
        <w:tc>
          <w:tcPr>
            <w:tcW w:w="1515"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16 000</w:t>
            </w:r>
          </w:p>
        </w:tc>
        <w:tc>
          <w:tcPr>
            <w:tcW w:w="1822" w:type="dxa"/>
            <w:vMerge w:val="restart"/>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trias / jura / kreda / trzeciorzęd</w:t>
            </w:r>
          </w:p>
        </w:tc>
        <w:tc>
          <w:tcPr>
            <w:tcW w:w="1996"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362</w:t>
            </w:r>
          </w:p>
        </w:tc>
        <w:tc>
          <w:tcPr>
            <w:tcW w:w="1534"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1 555</w:t>
            </w:r>
          </w:p>
        </w:tc>
      </w:tr>
      <w:tr w:rsidR="00203964" w:rsidRPr="00727C73" w:rsidTr="00E83E02">
        <w:tc>
          <w:tcPr>
            <w:tcW w:w="517"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9.</w:t>
            </w:r>
          </w:p>
        </w:tc>
        <w:tc>
          <w:tcPr>
            <w:tcW w:w="2245" w:type="dxa"/>
            <w:vAlign w:val="center"/>
          </w:tcPr>
          <w:p w:rsidR="00203964" w:rsidRPr="00727C73" w:rsidRDefault="00203964" w:rsidP="001C12E2">
            <w:pPr>
              <w:spacing w:before="40" w:after="40" w:line="240" w:lineRule="auto"/>
              <w:ind w:firstLine="0"/>
              <w:rPr>
                <w:rFonts w:ascii="Lato" w:hAnsi="Lato"/>
                <w:color w:val="1F497D"/>
                <w:sz w:val="20"/>
                <w:szCs w:val="20"/>
              </w:rPr>
            </w:pPr>
            <w:r w:rsidRPr="00727C73">
              <w:rPr>
                <w:rFonts w:ascii="Lato" w:hAnsi="Lato"/>
                <w:color w:val="1F497D"/>
                <w:sz w:val="20"/>
                <w:szCs w:val="20"/>
              </w:rPr>
              <w:t>karpacki</w:t>
            </w:r>
          </w:p>
        </w:tc>
        <w:tc>
          <w:tcPr>
            <w:tcW w:w="1515"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13 000</w:t>
            </w:r>
          </w:p>
        </w:tc>
        <w:tc>
          <w:tcPr>
            <w:tcW w:w="1822" w:type="dxa"/>
            <w:vMerge/>
            <w:vAlign w:val="center"/>
          </w:tcPr>
          <w:p w:rsidR="00203964" w:rsidRPr="00727C73" w:rsidRDefault="00203964" w:rsidP="001C12E2">
            <w:pPr>
              <w:spacing w:before="40" w:after="40" w:line="240" w:lineRule="auto"/>
              <w:ind w:firstLine="0"/>
              <w:rPr>
                <w:rFonts w:ascii="Lato" w:hAnsi="Lato"/>
                <w:color w:val="1F497D"/>
                <w:sz w:val="20"/>
                <w:szCs w:val="20"/>
              </w:rPr>
            </w:pPr>
          </w:p>
        </w:tc>
        <w:tc>
          <w:tcPr>
            <w:tcW w:w="1996"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100</w:t>
            </w:r>
          </w:p>
        </w:tc>
        <w:tc>
          <w:tcPr>
            <w:tcW w:w="1534" w:type="dxa"/>
            <w:vAlign w:val="center"/>
          </w:tcPr>
          <w:p w:rsidR="00203964" w:rsidRPr="00727C73" w:rsidRDefault="00203964" w:rsidP="001C12E2">
            <w:pPr>
              <w:spacing w:before="40" w:after="40" w:line="240" w:lineRule="auto"/>
              <w:ind w:left="-532"/>
              <w:jc w:val="center"/>
              <w:rPr>
                <w:rFonts w:ascii="Lato" w:hAnsi="Lato"/>
                <w:color w:val="1F497D"/>
                <w:sz w:val="20"/>
                <w:szCs w:val="20"/>
              </w:rPr>
            </w:pPr>
            <w:r w:rsidRPr="00727C73">
              <w:rPr>
                <w:rFonts w:ascii="Lato" w:hAnsi="Lato"/>
                <w:color w:val="1F497D"/>
                <w:sz w:val="20"/>
                <w:szCs w:val="20"/>
              </w:rPr>
              <w:t>714</w:t>
            </w:r>
          </w:p>
        </w:tc>
      </w:tr>
      <w:tr w:rsidR="00203964" w:rsidRPr="00727C73" w:rsidTr="00E83E02">
        <w:tc>
          <w:tcPr>
            <w:tcW w:w="2762" w:type="dxa"/>
            <w:gridSpan w:val="2"/>
            <w:vAlign w:val="center"/>
          </w:tcPr>
          <w:p w:rsidR="00203964" w:rsidRPr="00727C73" w:rsidRDefault="00203964" w:rsidP="001C12E2">
            <w:pPr>
              <w:spacing w:before="40" w:after="40" w:line="240" w:lineRule="auto"/>
              <w:ind w:left="-532"/>
              <w:jc w:val="center"/>
              <w:rPr>
                <w:rFonts w:ascii="Lato" w:hAnsi="Lato"/>
                <w:b/>
                <w:color w:val="1F497D"/>
                <w:sz w:val="20"/>
                <w:szCs w:val="20"/>
              </w:rPr>
            </w:pPr>
            <w:r w:rsidRPr="00727C73">
              <w:rPr>
                <w:rFonts w:ascii="Lato" w:hAnsi="Lato"/>
                <w:b/>
                <w:color w:val="1F497D"/>
                <w:sz w:val="20"/>
                <w:szCs w:val="20"/>
              </w:rPr>
              <w:t>RAZEM</w:t>
            </w:r>
          </w:p>
        </w:tc>
        <w:tc>
          <w:tcPr>
            <w:tcW w:w="1515" w:type="dxa"/>
            <w:vAlign w:val="center"/>
          </w:tcPr>
          <w:p w:rsidR="00203964" w:rsidRPr="00727C73" w:rsidRDefault="00203964" w:rsidP="001C12E2">
            <w:pPr>
              <w:spacing w:before="40" w:after="40" w:line="240" w:lineRule="auto"/>
              <w:ind w:left="-532"/>
              <w:jc w:val="center"/>
              <w:rPr>
                <w:rFonts w:ascii="Lato" w:hAnsi="Lato"/>
                <w:b/>
                <w:color w:val="1F497D"/>
                <w:sz w:val="20"/>
                <w:szCs w:val="20"/>
              </w:rPr>
            </w:pPr>
            <w:r w:rsidRPr="00727C73">
              <w:rPr>
                <w:rFonts w:ascii="Lato" w:hAnsi="Lato"/>
                <w:b/>
                <w:color w:val="1F497D"/>
                <w:sz w:val="20"/>
                <w:szCs w:val="20"/>
              </w:rPr>
              <w:t>251 000</w:t>
            </w:r>
          </w:p>
        </w:tc>
        <w:tc>
          <w:tcPr>
            <w:tcW w:w="1822" w:type="dxa"/>
          </w:tcPr>
          <w:p w:rsidR="00203964" w:rsidRPr="00727C73" w:rsidRDefault="00203964" w:rsidP="001C12E2">
            <w:pPr>
              <w:spacing w:before="40" w:after="40" w:line="240" w:lineRule="auto"/>
              <w:ind w:firstLine="0"/>
              <w:jc w:val="center"/>
              <w:rPr>
                <w:rFonts w:ascii="Lato" w:hAnsi="Lato"/>
                <w:color w:val="1F497D"/>
                <w:sz w:val="20"/>
                <w:szCs w:val="20"/>
              </w:rPr>
            </w:pPr>
            <w:r w:rsidRPr="00727C73">
              <w:rPr>
                <w:rFonts w:ascii="Lato" w:hAnsi="Lato"/>
                <w:color w:val="1F497D"/>
                <w:sz w:val="20"/>
                <w:szCs w:val="20"/>
              </w:rPr>
              <w:t>-</w:t>
            </w:r>
          </w:p>
        </w:tc>
        <w:tc>
          <w:tcPr>
            <w:tcW w:w="1996" w:type="dxa"/>
            <w:vAlign w:val="center"/>
          </w:tcPr>
          <w:p w:rsidR="00203964" w:rsidRPr="00727C73" w:rsidRDefault="00203964" w:rsidP="001C12E2">
            <w:pPr>
              <w:spacing w:before="40" w:after="40" w:line="240" w:lineRule="auto"/>
              <w:ind w:left="-532"/>
              <w:jc w:val="center"/>
              <w:rPr>
                <w:rFonts w:ascii="Lato" w:hAnsi="Lato"/>
                <w:b/>
                <w:color w:val="1F497D"/>
                <w:sz w:val="20"/>
                <w:szCs w:val="20"/>
              </w:rPr>
            </w:pPr>
            <w:r w:rsidRPr="00727C73">
              <w:rPr>
                <w:rFonts w:ascii="Lato" w:hAnsi="Lato"/>
                <w:b/>
                <w:color w:val="1F497D"/>
                <w:sz w:val="20"/>
                <w:szCs w:val="20"/>
              </w:rPr>
              <w:t>6 677</w:t>
            </w:r>
          </w:p>
        </w:tc>
        <w:tc>
          <w:tcPr>
            <w:tcW w:w="1534" w:type="dxa"/>
            <w:vAlign w:val="center"/>
          </w:tcPr>
          <w:p w:rsidR="00203964" w:rsidRPr="00727C73" w:rsidRDefault="00203964" w:rsidP="001C12E2">
            <w:pPr>
              <w:spacing w:before="40" w:after="40" w:line="240" w:lineRule="auto"/>
              <w:ind w:left="-532"/>
              <w:jc w:val="center"/>
              <w:rPr>
                <w:rFonts w:ascii="Lato" w:hAnsi="Lato"/>
                <w:b/>
                <w:color w:val="1F497D"/>
                <w:sz w:val="20"/>
                <w:szCs w:val="20"/>
              </w:rPr>
            </w:pPr>
            <w:r w:rsidRPr="00727C73">
              <w:rPr>
                <w:rFonts w:ascii="Lato" w:hAnsi="Lato"/>
                <w:b/>
                <w:color w:val="1F497D"/>
                <w:sz w:val="20"/>
                <w:szCs w:val="20"/>
              </w:rPr>
              <w:t>32 620</w:t>
            </w:r>
          </w:p>
        </w:tc>
      </w:tr>
    </w:tbl>
    <w:bookmarkEnd w:id="309"/>
    <w:p w:rsidR="003E42DF" w:rsidRPr="00E83E02" w:rsidRDefault="00E83E02" w:rsidP="00E83E02">
      <w:pPr>
        <w:ind w:firstLine="0"/>
        <w:jc w:val="center"/>
        <w:rPr>
          <w:rFonts w:ascii="Lato" w:hAnsi="Lato"/>
          <w:bCs/>
          <w:i/>
          <w:spacing w:val="-2"/>
          <w:sz w:val="20"/>
          <w:szCs w:val="20"/>
        </w:rPr>
      </w:pPr>
      <w:r w:rsidRPr="00E83E02">
        <w:rPr>
          <w:rFonts w:ascii="Lato" w:hAnsi="Lato"/>
          <w:bCs/>
          <w:i/>
          <w:spacing w:val="-2"/>
          <w:sz w:val="20"/>
          <w:szCs w:val="20"/>
        </w:rPr>
        <w:t>Źródło: http://www.pga.org.pl</w:t>
      </w:r>
    </w:p>
    <w:p w:rsidR="00E83E02" w:rsidRPr="00F64114" w:rsidRDefault="00E83E02" w:rsidP="00E83E02">
      <w:pPr>
        <w:ind w:firstLine="709"/>
        <w:jc w:val="center"/>
        <w:rPr>
          <w:rFonts w:ascii="Lato" w:hAnsi="Lato"/>
          <w:szCs w:val="22"/>
        </w:rPr>
      </w:pPr>
    </w:p>
    <w:p w:rsidR="006B024A" w:rsidRPr="00F64114" w:rsidRDefault="006B024A" w:rsidP="00F64114">
      <w:pPr>
        <w:ind w:firstLine="709"/>
        <w:jc w:val="both"/>
        <w:rPr>
          <w:rFonts w:ascii="Lato" w:hAnsi="Lato"/>
          <w:szCs w:val="22"/>
        </w:rPr>
      </w:pPr>
      <w:r w:rsidRPr="00F64114">
        <w:rPr>
          <w:rFonts w:ascii="Lato" w:hAnsi="Lato"/>
          <w:szCs w:val="22"/>
        </w:rPr>
        <w:t>Łączne zasoby cieplne wód geotermalnych na terenie Polski oszacowane zostały na około 32,6 mld t</w:t>
      </w:r>
      <w:r w:rsidR="00CB6F58" w:rsidRPr="00F64114">
        <w:rPr>
          <w:rFonts w:ascii="Lato" w:hAnsi="Lato"/>
          <w:szCs w:val="22"/>
        </w:rPr>
        <w:t xml:space="preserve">. </w:t>
      </w:r>
      <w:r w:rsidRPr="00F64114">
        <w:rPr>
          <w:rFonts w:ascii="Lato" w:hAnsi="Lato"/>
          <w:szCs w:val="22"/>
        </w:rPr>
        <w:t>p</w:t>
      </w:r>
      <w:r w:rsidR="00CB6F58" w:rsidRPr="00F64114">
        <w:rPr>
          <w:rFonts w:ascii="Lato" w:hAnsi="Lato"/>
          <w:szCs w:val="22"/>
        </w:rPr>
        <w:t xml:space="preserve">. </w:t>
      </w:r>
      <w:r w:rsidRPr="00F64114">
        <w:rPr>
          <w:rFonts w:ascii="Lato" w:hAnsi="Lato"/>
          <w:szCs w:val="22"/>
        </w:rPr>
        <w:t>u</w:t>
      </w:r>
      <w:r w:rsidR="00CB6F58" w:rsidRPr="00F64114">
        <w:rPr>
          <w:rFonts w:ascii="Lato" w:hAnsi="Lato"/>
          <w:szCs w:val="22"/>
        </w:rPr>
        <w:t>.</w:t>
      </w:r>
      <w:r w:rsidRPr="00F64114">
        <w:rPr>
          <w:rFonts w:ascii="Lato" w:hAnsi="Lato"/>
          <w:szCs w:val="22"/>
        </w:rPr>
        <w:t xml:space="preserve"> (ton paliwa umownego). Wody zawarte w pozioma</w:t>
      </w:r>
      <w:r w:rsidR="00D153EC" w:rsidRPr="00F64114">
        <w:rPr>
          <w:rFonts w:ascii="Lato" w:hAnsi="Lato"/>
          <w:szCs w:val="22"/>
        </w:rPr>
        <w:t>ch wodonośnych występujących na </w:t>
      </w:r>
      <w:r w:rsidRPr="00F64114">
        <w:rPr>
          <w:rFonts w:ascii="Lato" w:hAnsi="Lato"/>
          <w:szCs w:val="22"/>
        </w:rPr>
        <w:t>głębokościach 100 – 4000 m mogą być gospodarczo wykorzystywane jako źródła ciepła praktycznie na</w:t>
      </w:r>
      <w:r w:rsidR="00D153EC" w:rsidRPr="00F64114">
        <w:rPr>
          <w:rFonts w:ascii="Lato" w:hAnsi="Lato"/>
          <w:szCs w:val="22"/>
        </w:rPr>
        <w:t> </w:t>
      </w:r>
      <w:r w:rsidRPr="00F64114">
        <w:rPr>
          <w:rFonts w:ascii="Lato" w:hAnsi="Lato"/>
          <w:szCs w:val="22"/>
        </w:rPr>
        <w:t>całym obszarze Polski. Pod względem technicznym stosowanie ich jest możliwe, wymag</w:t>
      </w:r>
      <w:r w:rsidR="00D4579E" w:rsidRPr="00F64114">
        <w:rPr>
          <w:rFonts w:ascii="Lato" w:hAnsi="Lato"/>
          <w:szCs w:val="22"/>
        </w:rPr>
        <w:t>a to natomiast zróżnicowanych i </w:t>
      </w:r>
      <w:r w:rsidRPr="00F64114">
        <w:rPr>
          <w:rFonts w:ascii="Lato" w:hAnsi="Lato"/>
          <w:szCs w:val="22"/>
        </w:rPr>
        <w:t>wysokich nakładów finansowych.</w:t>
      </w:r>
    </w:p>
    <w:p w:rsidR="006B024A" w:rsidRDefault="006B024A" w:rsidP="003E42DF">
      <w:pPr>
        <w:ind w:firstLine="709"/>
        <w:jc w:val="both"/>
        <w:rPr>
          <w:rFonts w:ascii="Lato" w:hAnsi="Lato"/>
          <w:szCs w:val="22"/>
        </w:rPr>
      </w:pPr>
      <w:r w:rsidRPr="00F64114">
        <w:rPr>
          <w:rFonts w:ascii="Lato" w:hAnsi="Lato"/>
          <w:szCs w:val="22"/>
        </w:rPr>
        <w:t>Wody geotermalne wypełniają wielopiętrowe i różnowiekowe piaszczyste i węglanowe zbiorniki skalne na Niżu Polskim i w Karpatach, a skumulowana w nich energia jest energią odnawialną i</w:t>
      </w:r>
      <w:r w:rsidR="00B83BEC">
        <w:rPr>
          <w:rFonts w:ascii="Lato" w:hAnsi="Lato"/>
          <w:szCs w:val="22"/>
        </w:rPr>
        <w:t xml:space="preserve"> </w:t>
      </w:r>
      <w:r w:rsidRPr="00F64114">
        <w:rPr>
          <w:rFonts w:ascii="Lato" w:hAnsi="Lato"/>
          <w:szCs w:val="22"/>
        </w:rPr>
        <w:t>ekologiczną.</w:t>
      </w:r>
    </w:p>
    <w:p w:rsidR="0047761F" w:rsidRPr="00F64114" w:rsidRDefault="0047761F" w:rsidP="003E42DF">
      <w:pPr>
        <w:ind w:firstLine="709"/>
        <w:jc w:val="both"/>
        <w:rPr>
          <w:rFonts w:ascii="Lato" w:hAnsi="Lato"/>
          <w:szCs w:val="22"/>
        </w:rPr>
      </w:pPr>
    </w:p>
    <w:p w:rsidR="006B024A" w:rsidRPr="0047761F" w:rsidRDefault="0006260E" w:rsidP="0047761F">
      <w:pPr>
        <w:ind w:firstLine="0"/>
        <w:jc w:val="center"/>
        <w:rPr>
          <w:rFonts w:ascii="Lato" w:hAnsi="Lato"/>
          <w:szCs w:val="22"/>
        </w:rPr>
      </w:pPr>
      <w:bookmarkStart w:id="310" w:name="_Toc273702857"/>
      <w:bookmarkStart w:id="311" w:name="_Toc328633172"/>
      <w:r>
        <w:rPr>
          <w:rFonts w:ascii="Lato" w:hAnsi="Lato"/>
          <w:noProof/>
          <w:szCs w:val="22"/>
        </w:rPr>
        <w:lastRenderedPageBreak/>
        <w:drawing>
          <wp:inline distT="0" distB="0" distL="0" distR="0" wp14:anchorId="2EFF74CC" wp14:editId="19307C9F">
            <wp:extent cx="5934075" cy="5505450"/>
            <wp:effectExtent l="0" t="0" r="952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5505450"/>
                    </a:xfrm>
                    <a:prstGeom prst="rect">
                      <a:avLst/>
                    </a:prstGeom>
                    <a:noFill/>
                    <a:ln>
                      <a:noFill/>
                    </a:ln>
                  </pic:spPr>
                </pic:pic>
              </a:graphicData>
            </a:graphic>
          </wp:inline>
        </w:drawing>
      </w:r>
    </w:p>
    <w:p w:rsidR="0047761F" w:rsidRPr="0047761F" w:rsidRDefault="0006260E" w:rsidP="0047761F">
      <w:pPr>
        <w:ind w:firstLine="0"/>
        <w:jc w:val="center"/>
        <w:rPr>
          <w:rFonts w:ascii="Lato" w:hAnsi="Lato"/>
          <w:szCs w:val="22"/>
        </w:rPr>
      </w:pPr>
      <w:r>
        <w:rPr>
          <w:rFonts w:ascii="Lato" w:hAnsi="Lato"/>
          <w:noProof/>
          <w:szCs w:val="22"/>
        </w:rPr>
        <w:drawing>
          <wp:inline distT="0" distB="0" distL="0" distR="0" wp14:anchorId="74299050" wp14:editId="799241DF">
            <wp:extent cx="4600575" cy="60960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00575" cy="609600"/>
                    </a:xfrm>
                    <a:prstGeom prst="rect">
                      <a:avLst/>
                    </a:prstGeom>
                    <a:noFill/>
                    <a:ln>
                      <a:noFill/>
                    </a:ln>
                  </pic:spPr>
                </pic:pic>
              </a:graphicData>
            </a:graphic>
          </wp:inline>
        </w:drawing>
      </w:r>
    </w:p>
    <w:p w:rsidR="006B024A" w:rsidRPr="0047761F" w:rsidRDefault="006B024A" w:rsidP="0047761F">
      <w:pPr>
        <w:spacing w:line="240" w:lineRule="auto"/>
        <w:ind w:firstLine="0"/>
        <w:jc w:val="center"/>
        <w:rPr>
          <w:rFonts w:ascii="Lato" w:hAnsi="Lato"/>
          <w:b/>
          <w:bCs/>
          <w:color w:val="1F497D"/>
          <w:spacing w:val="-2"/>
          <w:sz w:val="20"/>
          <w:szCs w:val="20"/>
        </w:rPr>
      </w:pPr>
      <w:bookmarkStart w:id="312" w:name="_Toc336419390"/>
      <w:bookmarkStart w:id="313" w:name="_Toc336943707"/>
      <w:bookmarkStart w:id="314" w:name="_Toc20219246"/>
      <w:r w:rsidRPr="0047761F">
        <w:rPr>
          <w:rFonts w:ascii="Lato" w:hAnsi="Lato"/>
          <w:b/>
          <w:bCs/>
          <w:color w:val="1F497D"/>
          <w:spacing w:val="-2"/>
          <w:sz w:val="20"/>
          <w:szCs w:val="20"/>
        </w:rPr>
        <w:t xml:space="preserve">Rysunek </w:t>
      </w:r>
      <w:r w:rsidR="004042AE" w:rsidRPr="0047761F">
        <w:rPr>
          <w:rFonts w:ascii="Lato" w:hAnsi="Lato"/>
          <w:b/>
          <w:bCs/>
          <w:color w:val="1F497D"/>
          <w:spacing w:val="-2"/>
          <w:sz w:val="20"/>
          <w:szCs w:val="20"/>
        </w:rPr>
        <w:fldChar w:fldCharType="begin"/>
      </w:r>
      <w:r w:rsidR="005430ED" w:rsidRPr="0047761F">
        <w:rPr>
          <w:rFonts w:ascii="Lato" w:hAnsi="Lato"/>
          <w:b/>
          <w:bCs/>
          <w:color w:val="1F497D"/>
          <w:spacing w:val="-2"/>
          <w:sz w:val="20"/>
          <w:szCs w:val="20"/>
        </w:rPr>
        <w:instrText xml:space="preserve"> STYLEREF 1 \s </w:instrText>
      </w:r>
      <w:r w:rsidR="004042AE" w:rsidRPr="0047761F">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47761F">
        <w:rPr>
          <w:rFonts w:ascii="Lato" w:hAnsi="Lato"/>
          <w:b/>
          <w:bCs/>
          <w:color w:val="1F497D"/>
          <w:spacing w:val="-2"/>
          <w:sz w:val="20"/>
          <w:szCs w:val="20"/>
        </w:rPr>
        <w:fldChar w:fldCharType="end"/>
      </w:r>
      <w:r w:rsidR="005430ED" w:rsidRPr="0047761F">
        <w:rPr>
          <w:rFonts w:ascii="Lato" w:hAnsi="Lato"/>
          <w:b/>
          <w:bCs/>
          <w:color w:val="1F497D"/>
          <w:spacing w:val="-2"/>
          <w:sz w:val="20"/>
          <w:szCs w:val="20"/>
        </w:rPr>
        <w:noBreakHyphen/>
      </w:r>
      <w:r w:rsidR="004042AE" w:rsidRPr="0047761F">
        <w:rPr>
          <w:rFonts w:ascii="Lato" w:hAnsi="Lato"/>
          <w:b/>
          <w:bCs/>
          <w:color w:val="1F497D"/>
          <w:spacing w:val="-2"/>
          <w:sz w:val="20"/>
          <w:szCs w:val="20"/>
        </w:rPr>
        <w:fldChar w:fldCharType="begin"/>
      </w:r>
      <w:r w:rsidR="005430ED" w:rsidRPr="0047761F">
        <w:rPr>
          <w:rFonts w:ascii="Lato" w:hAnsi="Lato"/>
          <w:b/>
          <w:bCs/>
          <w:color w:val="1F497D"/>
          <w:spacing w:val="-2"/>
          <w:sz w:val="20"/>
          <w:szCs w:val="20"/>
        </w:rPr>
        <w:instrText xml:space="preserve"> SEQ Rysunek \* ARABIC \s 1 </w:instrText>
      </w:r>
      <w:r w:rsidR="004042AE" w:rsidRPr="0047761F">
        <w:rPr>
          <w:rFonts w:ascii="Lato" w:hAnsi="Lato"/>
          <w:b/>
          <w:bCs/>
          <w:color w:val="1F497D"/>
          <w:spacing w:val="-2"/>
          <w:sz w:val="20"/>
          <w:szCs w:val="20"/>
        </w:rPr>
        <w:fldChar w:fldCharType="separate"/>
      </w:r>
      <w:r w:rsidR="0040205B">
        <w:rPr>
          <w:rFonts w:ascii="Lato" w:hAnsi="Lato"/>
          <w:b/>
          <w:bCs/>
          <w:noProof/>
          <w:color w:val="1F497D"/>
          <w:spacing w:val="-2"/>
          <w:sz w:val="20"/>
          <w:szCs w:val="20"/>
        </w:rPr>
        <w:t>5</w:t>
      </w:r>
      <w:r w:rsidR="004042AE" w:rsidRPr="0047761F">
        <w:rPr>
          <w:rFonts w:ascii="Lato" w:hAnsi="Lato"/>
          <w:b/>
          <w:bCs/>
          <w:color w:val="1F497D"/>
          <w:spacing w:val="-2"/>
          <w:sz w:val="20"/>
          <w:szCs w:val="20"/>
        </w:rPr>
        <w:fldChar w:fldCharType="end"/>
      </w:r>
      <w:r w:rsidRPr="0047761F">
        <w:rPr>
          <w:rFonts w:ascii="Lato" w:hAnsi="Lato"/>
          <w:b/>
          <w:bCs/>
          <w:color w:val="1F497D"/>
          <w:spacing w:val="-2"/>
          <w:sz w:val="20"/>
          <w:szCs w:val="20"/>
        </w:rPr>
        <w:t xml:space="preserve"> Zasoby energii geotermalnej </w:t>
      </w:r>
      <w:bookmarkEnd w:id="310"/>
      <w:bookmarkEnd w:id="311"/>
      <w:bookmarkEnd w:id="312"/>
      <w:bookmarkEnd w:id="313"/>
      <w:r w:rsidR="0047761F" w:rsidRPr="0047761F">
        <w:rPr>
          <w:rFonts w:ascii="Lato" w:hAnsi="Lato"/>
          <w:b/>
          <w:bCs/>
          <w:color w:val="1F497D"/>
          <w:spacing w:val="-2"/>
          <w:sz w:val="20"/>
          <w:szCs w:val="20"/>
        </w:rPr>
        <w:t>w Polsce</w:t>
      </w:r>
      <w:bookmarkEnd w:id="314"/>
    </w:p>
    <w:p w:rsidR="00CB6F58" w:rsidRPr="0047761F" w:rsidRDefault="009D5261" w:rsidP="009D5261">
      <w:pPr>
        <w:spacing w:line="240" w:lineRule="auto"/>
        <w:ind w:firstLine="0"/>
        <w:jc w:val="center"/>
        <w:rPr>
          <w:rFonts w:ascii="Lato" w:hAnsi="Lato"/>
          <w:bCs/>
          <w:i/>
          <w:spacing w:val="-2"/>
          <w:sz w:val="20"/>
          <w:szCs w:val="20"/>
        </w:rPr>
      </w:pPr>
      <w:r w:rsidRPr="0047761F">
        <w:rPr>
          <w:rFonts w:ascii="Lato" w:hAnsi="Lato"/>
          <w:bCs/>
          <w:i/>
          <w:spacing w:val="-2"/>
          <w:sz w:val="20"/>
          <w:szCs w:val="20"/>
        </w:rPr>
        <w:t>Ź</w:t>
      </w:r>
      <w:r w:rsidR="006B024A" w:rsidRPr="0047761F">
        <w:rPr>
          <w:rFonts w:ascii="Lato" w:hAnsi="Lato"/>
          <w:bCs/>
          <w:i/>
          <w:spacing w:val="-2"/>
          <w:sz w:val="20"/>
          <w:szCs w:val="20"/>
        </w:rPr>
        <w:t xml:space="preserve">ródło: </w:t>
      </w:r>
      <w:r w:rsidR="0047761F" w:rsidRPr="0047761F">
        <w:rPr>
          <w:rFonts w:ascii="Lato" w:hAnsi="Lato"/>
          <w:bCs/>
          <w:i/>
          <w:spacing w:val="-2"/>
          <w:sz w:val="20"/>
          <w:szCs w:val="20"/>
        </w:rPr>
        <w:t>Koncepcja Przestrzennego Zagospodarowania Kraju</w:t>
      </w:r>
      <w:r w:rsidR="0047761F">
        <w:rPr>
          <w:rFonts w:ascii="Lato" w:hAnsi="Lato"/>
          <w:bCs/>
          <w:i/>
          <w:spacing w:val="-2"/>
          <w:sz w:val="20"/>
          <w:szCs w:val="20"/>
        </w:rPr>
        <w:t xml:space="preserve"> 2030</w:t>
      </w:r>
    </w:p>
    <w:p w:rsidR="006B024A" w:rsidRPr="00D352C4" w:rsidRDefault="006B024A" w:rsidP="006B024A">
      <w:pPr>
        <w:spacing w:line="240" w:lineRule="auto"/>
        <w:ind w:firstLine="0"/>
        <w:rPr>
          <w:rFonts w:ascii="Lato" w:hAnsi="Lato"/>
          <w:b/>
          <w:bCs/>
          <w:iCs/>
          <w:sz w:val="20"/>
          <w:szCs w:val="20"/>
          <w:highlight w:val="yellow"/>
        </w:rPr>
      </w:pPr>
    </w:p>
    <w:p w:rsidR="00CF26ED" w:rsidRPr="00B83BEC" w:rsidRDefault="00F80410" w:rsidP="00F80410">
      <w:pPr>
        <w:ind w:firstLine="709"/>
        <w:jc w:val="both"/>
        <w:rPr>
          <w:rFonts w:ascii="Lato" w:hAnsi="Lato"/>
          <w:szCs w:val="22"/>
        </w:rPr>
      </w:pPr>
      <w:r w:rsidRPr="00F80410">
        <w:rPr>
          <w:rFonts w:ascii="Lato" w:hAnsi="Lato"/>
          <w:szCs w:val="22"/>
        </w:rPr>
        <w:t xml:space="preserve">Na podstawie powyższego rysunku obszar Gminy </w:t>
      </w:r>
      <w:r>
        <w:rPr>
          <w:rFonts w:ascii="Lato" w:hAnsi="Lato"/>
          <w:szCs w:val="22"/>
        </w:rPr>
        <w:t>Pabianice</w:t>
      </w:r>
      <w:r w:rsidRPr="00F80410">
        <w:rPr>
          <w:rFonts w:ascii="Lato" w:hAnsi="Lato"/>
          <w:szCs w:val="22"/>
        </w:rPr>
        <w:t xml:space="preserve"> leży w </w:t>
      </w:r>
      <w:r>
        <w:rPr>
          <w:rFonts w:ascii="Lato" w:hAnsi="Lato"/>
          <w:szCs w:val="22"/>
        </w:rPr>
        <w:t xml:space="preserve">umiarkowanie </w:t>
      </w:r>
      <w:r w:rsidRPr="00B83BEC">
        <w:rPr>
          <w:rFonts w:ascii="Lato" w:hAnsi="Lato"/>
          <w:szCs w:val="22"/>
        </w:rPr>
        <w:t xml:space="preserve">korzystnej strefie zasobów geotermalnych. Gęstość strumienia cieplnego określono </w:t>
      </w:r>
      <w:r w:rsidRPr="00B83BEC">
        <w:rPr>
          <w:rFonts w:ascii="Lato" w:hAnsi="Lato"/>
        </w:rPr>
        <w:t>na ok</w:t>
      </w:r>
      <w:r w:rsidRPr="00B83BEC">
        <w:rPr>
          <w:rFonts w:ascii="Lato" w:hAnsi="Lato"/>
          <w:szCs w:val="22"/>
        </w:rPr>
        <w:t>. 70 mW/m</w:t>
      </w:r>
      <w:r w:rsidRPr="00B83BEC">
        <w:rPr>
          <w:rFonts w:ascii="Lato" w:hAnsi="Lato"/>
          <w:szCs w:val="22"/>
          <w:vertAlign w:val="superscript"/>
        </w:rPr>
        <w:t>2</w:t>
      </w:r>
      <w:r w:rsidRPr="00B83BEC">
        <w:rPr>
          <w:rFonts w:ascii="Lato" w:hAnsi="Lato"/>
          <w:szCs w:val="22"/>
        </w:rPr>
        <w:t>.</w:t>
      </w:r>
    </w:p>
    <w:p w:rsidR="006B541A" w:rsidRPr="00C21024" w:rsidRDefault="006B541A" w:rsidP="003E42DF">
      <w:pPr>
        <w:ind w:firstLine="709"/>
        <w:jc w:val="both"/>
        <w:rPr>
          <w:rFonts w:ascii="Lato" w:hAnsi="Lato"/>
          <w:szCs w:val="22"/>
        </w:rPr>
      </w:pPr>
      <w:r w:rsidRPr="00B83BEC">
        <w:rPr>
          <w:rFonts w:ascii="Lato" w:hAnsi="Lato"/>
          <w:szCs w:val="22"/>
        </w:rPr>
        <w:t>Potencjały</w:t>
      </w:r>
      <w:r w:rsidRPr="00C21024">
        <w:rPr>
          <w:rFonts w:ascii="Lato" w:hAnsi="Lato"/>
          <w:szCs w:val="22"/>
        </w:rPr>
        <w:t xml:space="preserve"> te są nieznaczne, a </w:t>
      </w:r>
      <w:r w:rsidR="0013671C" w:rsidRPr="00C21024">
        <w:rPr>
          <w:rFonts w:ascii="Lato" w:hAnsi="Lato"/>
          <w:szCs w:val="22"/>
        </w:rPr>
        <w:t>pozyskanie</w:t>
      </w:r>
      <w:r w:rsidRPr="00C21024">
        <w:rPr>
          <w:rFonts w:ascii="Lato" w:hAnsi="Lato"/>
          <w:szCs w:val="22"/>
        </w:rPr>
        <w:t xml:space="preserve"> energii </w:t>
      </w:r>
      <w:r w:rsidR="0013671C" w:rsidRPr="00C21024">
        <w:rPr>
          <w:rFonts w:ascii="Lato" w:hAnsi="Lato"/>
          <w:szCs w:val="22"/>
        </w:rPr>
        <w:t>geotermalnej wiąże się z koniecznością poniesienia wysokich nakładów inwestycyjnych.</w:t>
      </w:r>
    </w:p>
    <w:p w:rsidR="00B6497A" w:rsidRPr="00C21024" w:rsidRDefault="00D419E6" w:rsidP="003E42DF">
      <w:pPr>
        <w:ind w:firstLine="0"/>
        <w:jc w:val="both"/>
        <w:rPr>
          <w:rFonts w:ascii="Lato" w:hAnsi="Lato"/>
          <w:szCs w:val="22"/>
        </w:rPr>
      </w:pPr>
      <w:r w:rsidRPr="00C21024">
        <w:rPr>
          <w:rFonts w:ascii="Lato" w:hAnsi="Lato"/>
          <w:szCs w:val="22"/>
        </w:rPr>
        <w:t xml:space="preserve">Na terenie gminy </w:t>
      </w:r>
      <w:r w:rsidR="00C21024" w:rsidRPr="00C21024">
        <w:rPr>
          <w:rFonts w:ascii="Lato" w:hAnsi="Lato"/>
          <w:szCs w:val="22"/>
        </w:rPr>
        <w:t>Pabianice</w:t>
      </w:r>
      <w:r w:rsidRPr="00C21024">
        <w:rPr>
          <w:rFonts w:ascii="Lato" w:hAnsi="Lato"/>
          <w:szCs w:val="22"/>
        </w:rPr>
        <w:t xml:space="preserve"> potencjał energii geotermalnej obecnie nie jest wykorzystywany.</w:t>
      </w:r>
    </w:p>
    <w:p w:rsidR="006B024A" w:rsidRPr="00F64114" w:rsidRDefault="006B024A" w:rsidP="003E42DF">
      <w:pPr>
        <w:ind w:firstLine="709"/>
        <w:jc w:val="both"/>
        <w:rPr>
          <w:rFonts w:ascii="Lato" w:hAnsi="Lato"/>
          <w:szCs w:val="22"/>
        </w:rPr>
      </w:pPr>
      <w:r w:rsidRPr="00F64114">
        <w:rPr>
          <w:rFonts w:ascii="Lato" w:hAnsi="Lato"/>
          <w:szCs w:val="22"/>
        </w:rPr>
        <w:t>Alternatywą dla dużych systemów energetyki geotermalnej mogą być inne rozwiązania wykorzystujące energię skumulowaną w gruncie, takie jak pompy ciepła czy układy wentylacji mechanicznej współpracujące z gruntowymi wymiennikami ciepła.</w:t>
      </w:r>
    </w:p>
    <w:p w:rsidR="006B024A" w:rsidRPr="00F64114" w:rsidRDefault="006B024A" w:rsidP="003E42DF">
      <w:pPr>
        <w:ind w:firstLine="709"/>
        <w:jc w:val="both"/>
        <w:rPr>
          <w:rFonts w:ascii="Lato" w:hAnsi="Lato"/>
          <w:szCs w:val="22"/>
        </w:rPr>
      </w:pPr>
      <w:r w:rsidRPr="00F64114">
        <w:rPr>
          <w:rFonts w:ascii="Lato" w:hAnsi="Lato"/>
          <w:szCs w:val="22"/>
        </w:rPr>
        <w:t xml:space="preserve">Proponuje się zatem wspieranie przez gminę podmiotów i właścicieli budynków instalujących tego typu rozwiązania w pozyskiwaniu środków finansowych na tego typu przedsięwzięcia. </w:t>
      </w:r>
    </w:p>
    <w:p w:rsidR="006B024A" w:rsidRPr="00F64114" w:rsidRDefault="006B024A" w:rsidP="003E42DF">
      <w:pPr>
        <w:ind w:firstLine="0"/>
        <w:rPr>
          <w:rFonts w:ascii="Lato" w:hAnsi="Lato"/>
          <w:b/>
          <w:iCs/>
          <w:szCs w:val="22"/>
          <w:u w:val="single"/>
        </w:rPr>
      </w:pPr>
    </w:p>
    <w:p w:rsidR="006B024A" w:rsidRPr="00F64114" w:rsidRDefault="006B024A" w:rsidP="003E42DF">
      <w:pPr>
        <w:ind w:firstLine="0"/>
        <w:rPr>
          <w:rFonts w:ascii="Lato" w:hAnsi="Lato"/>
          <w:b/>
          <w:iCs/>
          <w:szCs w:val="22"/>
          <w:u w:val="single"/>
        </w:rPr>
      </w:pPr>
      <w:r w:rsidRPr="00F64114">
        <w:rPr>
          <w:rFonts w:ascii="Lato" w:hAnsi="Lato"/>
          <w:b/>
          <w:iCs/>
          <w:szCs w:val="22"/>
          <w:u w:val="single"/>
        </w:rPr>
        <w:lastRenderedPageBreak/>
        <w:t>Zastosowanie pomp ciepła</w:t>
      </w:r>
    </w:p>
    <w:p w:rsidR="006B024A" w:rsidRPr="00F64114" w:rsidRDefault="006B024A" w:rsidP="00F64114">
      <w:pPr>
        <w:ind w:firstLine="709"/>
        <w:jc w:val="both"/>
        <w:rPr>
          <w:rFonts w:ascii="Lato" w:hAnsi="Lato"/>
          <w:szCs w:val="22"/>
        </w:rPr>
      </w:pPr>
      <w:r w:rsidRPr="00F64114">
        <w:rPr>
          <w:rFonts w:ascii="Lato" w:hAnsi="Lato"/>
          <w:szCs w:val="22"/>
        </w:rPr>
        <w:t>Pompa ciepła jest urządzeniem, które odbiera ciepło z otoczenia –</w:t>
      </w:r>
      <w:r w:rsidR="00B83BEC">
        <w:rPr>
          <w:rFonts w:ascii="Lato" w:hAnsi="Lato"/>
          <w:szCs w:val="22"/>
        </w:rPr>
        <w:t xml:space="preserve"> gruntu, wody lub powietrza – i </w:t>
      </w:r>
      <w:r w:rsidRPr="00F64114">
        <w:rPr>
          <w:rFonts w:ascii="Lato" w:hAnsi="Lato"/>
          <w:szCs w:val="22"/>
        </w:rPr>
        <w:t>przekazuje je do instalacji c.o. i c.w.u</w:t>
      </w:r>
      <w:r w:rsidR="001F2BEA" w:rsidRPr="00F64114">
        <w:rPr>
          <w:rFonts w:ascii="Lato" w:hAnsi="Lato"/>
          <w:szCs w:val="22"/>
        </w:rPr>
        <w:t>.</w:t>
      </w:r>
      <w:r w:rsidRPr="00F64114">
        <w:rPr>
          <w:rFonts w:ascii="Lato" w:hAnsi="Lato"/>
          <w:szCs w:val="22"/>
        </w:rPr>
        <w:t>, ogrzewając w niej wodę (rysunek poniżej), albo do instalacji wentylacyjnej ogrzewając powietrze nawiewane do pomieszczeń. Przekazywanie ciepła z zimnego otoczenia do znacznie cieplejszych pomieszczeń jest możliwe dzięki zachodzącym w pompie ciepła procesom termodynamicznym. Do napędu pompy potrzebna jest energia elektryczna. Jednak ilość pobieranej przez nią energii jest około 3-krotnie mniejsza od ilości dostarczanego ciepła.</w:t>
      </w:r>
    </w:p>
    <w:p w:rsidR="006B024A" w:rsidRPr="00F64114" w:rsidRDefault="006B024A" w:rsidP="003E42DF">
      <w:pPr>
        <w:ind w:firstLine="709"/>
        <w:jc w:val="both"/>
        <w:rPr>
          <w:rFonts w:ascii="Lato" w:hAnsi="Lato"/>
          <w:szCs w:val="22"/>
        </w:rPr>
      </w:pPr>
      <w:r w:rsidRPr="00F64114">
        <w:rPr>
          <w:rFonts w:ascii="Lato" w:hAnsi="Lato"/>
          <w:szCs w:val="22"/>
        </w:rPr>
        <w:t>Pompy ciepła najczęściej odbierają ciepło z gruntu. Niezbędny jest do tego wymiennik ciepła wykonany przeważnie z rur z tworzywa sztucznego układanych pod powierzchnią gruntu. Przepływający nimi czynnik ogrzewa się od gruntu, który na głębokości 2 m pod powierzchnią ma zawsze dodatnią temperaturę. Za pośrednictwem czynnika ciepło dostarczane jest do pompy. Najczęściej spotykanymi wymiennikami są wymienniki gruntowe i w zależności od sposobu ułożenia (jedna lub dwie płaszczyzny, spirala) trzeba na nie przeznaczyć powierzchnię od kilkudziesięciu do kilkuset metrów kwadratowych. Dwie spośród wielu wartości, które charakteryzują pompy ciepła to: moc grzewcza oraz pobór mocy elektrycznej. Stosunek tych wartości określany jest jako współczynnik efektywności pompy ciepła (COP). Aby uzyskać dobry efekt ekonomiczny i ekologiczny wartość COP nie powinna być mniejsza od 3,5. Poglądowy schemat instalacji pompy ciepła w domu jednorodzinnym pokazano poniżej.</w:t>
      </w:r>
    </w:p>
    <w:p w:rsidR="007903B0" w:rsidRPr="00D352C4" w:rsidRDefault="007903B0" w:rsidP="003E42DF">
      <w:pPr>
        <w:ind w:firstLine="0"/>
        <w:jc w:val="both"/>
        <w:rPr>
          <w:rFonts w:ascii="Lato" w:hAnsi="Lato"/>
          <w:szCs w:val="22"/>
          <w:highlight w:val="yellow"/>
        </w:rPr>
      </w:pPr>
    </w:p>
    <w:tbl>
      <w:tblPr>
        <w:tblW w:w="0" w:type="auto"/>
        <w:tblLook w:val="01E0" w:firstRow="1" w:lastRow="1" w:firstColumn="1" w:lastColumn="1" w:noHBand="0" w:noVBand="0"/>
      </w:tblPr>
      <w:tblGrid>
        <w:gridCol w:w="4557"/>
        <w:gridCol w:w="4924"/>
      </w:tblGrid>
      <w:tr w:rsidR="006B024A" w:rsidRPr="00D352C4" w:rsidTr="008B260D">
        <w:trPr>
          <w:trHeight w:val="3633"/>
        </w:trPr>
        <w:tc>
          <w:tcPr>
            <w:tcW w:w="4557" w:type="dxa"/>
            <w:vAlign w:val="center"/>
          </w:tcPr>
          <w:p w:rsidR="006B024A" w:rsidRPr="003E42DF" w:rsidRDefault="0006260E" w:rsidP="008B260D">
            <w:pPr>
              <w:keepNext/>
              <w:spacing w:before="100" w:beforeAutospacing="1" w:after="100" w:afterAutospacing="1"/>
              <w:jc w:val="center"/>
              <w:rPr>
                <w:rFonts w:ascii="Lato" w:hAnsi="Lato"/>
                <w:iCs/>
                <w:szCs w:val="22"/>
              </w:rPr>
            </w:pPr>
            <w:r>
              <w:rPr>
                <w:rFonts w:ascii="Lato" w:hAnsi="Lato"/>
                <w:iCs/>
                <w:noProof/>
                <w:szCs w:val="22"/>
              </w:rPr>
              <mc:AlternateContent>
                <mc:Choice Requires="wps">
                  <w:drawing>
                    <wp:anchor distT="0" distB="0" distL="114300" distR="114300" simplePos="0" relativeHeight="251655168" behindDoc="0" locked="0" layoutInCell="1" allowOverlap="1" wp14:anchorId="7AF60F1B" wp14:editId="4CAE6BD4">
                      <wp:simplePos x="0" y="0"/>
                      <wp:positionH relativeFrom="column">
                        <wp:posOffset>1714500</wp:posOffset>
                      </wp:positionH>
                      <wp:positionV relativeFrom="paragraph">
                        <wp:posOffset>1729740</wp:posOffset>
                      </wp:positionV>
                      <wp:extent cx="114300" cy="228600"/>
                      <wp:effectExtent l="0" t="0" r="0" b="0"/>
                      <wp:wrapNone/>
                      <wp:docPr id="181"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7AD" w:rsidRDefault="002B07AD" w:rsidP="006B024A">
                                  <w:r>
                                    <w:t>1</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0F1B" id="Text Box 692" o:spid="_x0000_s1028" type="#_x0000_t202" style="position:absolute;left:0;text-align:left;margin-left:135pt;margin-top:136.2pt;width: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" stroked="f">
                      <v:textbox inset=".5mm,.5mm,.5mm,.5mm">
                        <w:txbxContent>
                          <w:p w:rsidR="002B07AD" w:rsidRDefault="002B07AD" w:rsidP="006B024A">
                            <w:r>
                              <w:t>1</w:t>
                            </w:r>
                          </w:p>
                        </w:txbxContent>
                      </v:textbox>
                    </v:shape>
                  </w:pict>
                </mc:Fallback>
              </mc:AlternateContent>
            </w:r>
            <w:r>
              <w:rPr>
                <w:rFonts w:ascii="Lato" w:hAnsi="Lato"/>
                <w:iCs/>
                <w:noProof/>
                <w:szCs w:val="22"/>
              </w:rPr>
              <mc:AlternateContent>
                <mc:Choice Requires="wps">
                  <w:drawing>
                    <wp:anchor distT="0" distB="0" distL="114300" distR="114300" simplePos="0" relativeHeight="251654144" behindDoc="0" locked="0" layoutInCell="1" allowOverlap="1" wp14:anchorId="5A6B88F1" wp14:editId="6A717917">
                      <wp:simplePos x="0" y="0"/>
                      <wp:positionH relativeFrom="column">
                        <wp:posOffset>1371600</wp:posOffset>
                      </wp:positionH>
                      <wp:positionV relativeFrom="paragraph">
                        <wp:posOffset>929640</wp:posOffset>
                      </wp:positionV>
                      <wp:extent cx="114300" cy="228600"/>
                      <wp:effectExtent l="0" t="0" r="0" b="0"/>
                      <wp:wrapNone/>
                      <wp:docPr id="18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7AD" w:rsidRDefault="002B07AD" w:rsidP="006B024A">
                                  <w:r>
                                    <w:t>2</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B88F1" id="Text Box 691" o:spid="_x0000_s1029" type="#_x0000_t202" style="position:absolute;left:0;text-align:left;margin-left:108pt;margin-top:73.2pt;width:9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" stroked="f">
                      <v:textbox inset=".5mm,.5mm,.5mm,.5mm">
                        <w:txbxContent>
                          <w:p w:rsidR="002B07AD" w:rsidRDefault="002B07AD" w:rsidP="006B024A">
                            <w:r>
                              <w:t>2</w:t>
                            </w:r>
                          </w:p>
                        </w:txbxContent>
                      </v:textbox>
                    </v:shape>
                  </w:pict>
                </mc:Fallback>
              </mc:AlternateContent>
            </w:r>
            <w:r>
              <w:rPr>
                <w:rFonts w:ascii="Lato" w:hAnsi="Lato"/>
                <w:iCs/>
                <w:noProof/>
                <w:szCs w:val="22"/>
              </w:rPr>
              <mc:AlternateContent>
                <mc:Choice Requires="wps">
                  <w:drawing>
                    <wp:anchor distT="0" distB="0" distL="114300" distR="114300" simplePos="0" relativeHeight="251653120" behindDoc="0" locked="0" layoutInCell="1" allowOverlap="1" wp14:anchorId="1E3F44A5" wp14:editId="7C3926E2">
                      <wp:simplePos x="0" y="0"/>
                      <wp:positionH relativeFrom="column">
                        <wp:posOffset>800100</wp:posOffset>
                      </wp:positionH>
                      <wp:positionV relativeFrom="paragraph">
                        <wp:posOffset>701040</wp:posOffset>
                      </wp:positionV>
                      <wp:extent cx="114300" cy="228600"/>
                      <wp:effectExtent l="0" t="0" r="0" b="0"/>
                      <wp:wrapNone/>
                      <wp:docPr id="17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7AD" w:rsidRDefault="002B07AD" w:rsidP="006B024A">
                                  <w:r>
                                    <w:t>3</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F44A5" id="Text Box 690" o:spid="_x0000_s1030" type="#_x0000_t202" style="position:absolute;left:0;text-align:left;margin-left:63pt;margin-top:55.2pt;width:9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" stroked="f">
                      <v:textbox inset=".5mm,.5mm,.5mm,.5mm">
                        <w:txbxContent>
                          <w:p w:rsidR="002B07AD" w:rsidRDefault="002B07AD" w:rsidP="006B024A">
                            <w:r>
                              <w:t>3</w:t>
                            </w:r>
                          </w:p>
                        </w:txbxContent>
                      </v:textbox>
                    </v:shape>
                  </w:pict>
                </mc:Fallback>
              </mc:AlternateContent>
            </w:r>
            <w:r>
              <w:rPr>
                <w:rFonts w:ascii="Lato" w:hAnsi="Lato"/>
                <w:noProof/>
                <w:szCs w:val="22"/>
              </w:rPr>
              <w:drawing>
                <wp:inline distT="0" distB="0" distL="0" distR="0" wp14:anchorId="3795AE1A" wp14:editId="0444FAFC">
                  <wp:extent cx="2181225" cy="2266950"/>
                  <wp:effectExtent l="19050" t="19050" r="28575" b="19050"/>
                  <wp:docPr id="4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1225" cy="2266950"/>
                          </a:xfrm>
                          <a:prstGeom prst="rect">
                            <a:avLst/>
                          </a:prstGeom>
                          <a:noFill/>
                          <a:ln w="12700" cmpd="sng">
                            <a:solidFill>
                              <a:srgbClr val="FFB900"/>
                            </a:solidFill>
                            <a:miter lim="800000"/>
                            <a:headEnd/>
                            <a:tailEnd/>
                          </a:ln>
                          <a:effectLst/>
                        </pic:spPr>
                      </pic:pic>
                    </a:graphicData>
                  </a:graphic>
                </wp:inline>
              </w:drawing>
            </w:r>
          </w:p>
        </w:tc>
        <w:tc>
          <w:tcPr>
            <w:tcW w:w="4924" w:type="dxa"/>
            <w:vAlign w:val="center"/>
          </w:tcPr>
          <w:p w:rsidR="006B024A" w:rsidRPr="003E42DF" w:rsidRDefault="006B024A" w:rsidP="00F64114">
            <w:pPr>
              <w:keepNext/>
              <w:spacing w:after="100" w:afterAutospacing="1"/>
              <w:ind w:firstLine="0"/>
              <w:rPr>
                <w:rFonts w:ascii="Lato" w:hAnsi="Lato"/>
                <w:iCs/>
                <w:szCs w:val="22"/>
              </w:rPr>
            </w:pPr>
            <w:r w:rsidRPr="003E42DF">
              <w:rPr>
                <w:rFonts w:ascii="Lato" w:hAnsi="Lato"/>
                <w:iCs/>
                <w:szCs w:val="22"/>
              </w:rPr>
              <w:t>1. Wymiennik gruntowy</w:t>
            </w:r>
            <w:r w:rsidR="00F64114">
              <w:rPr>
                <w:rFonts w:ascii="Lato" w:hAnsi="Lato"/>
                <w:iCs/>
                <w:szCs w:val="22"/>
              </w:rPr>
              <w:t>:</w:t>
            </w:r>
            <w:r w:rsidRPr="003E42DF">
              <w:rPr>
                <w:rFonts w:ascii="Lato" w:hAnsi="Lato"/>
                <w:iCs/>
                <w:szCs w:val="22"/>
              </w:rPr>
              <w:t xml:space="preserve"> </w:t>
            </w:r>
          </w:p>
          <w:p w:rsidR="006B024A" w:rsidRPr="003E42DF" w:rsidRDefault="00F64114" w:rsidP="00F64114">
            <w:pPr>
              <w:keepNext/>
              <w:numPr>
                <w:ilvl w:val="0"/>
                <w:numId w:val="10"/>
              </w:numPr>
              <w:spacing w:after="100" w:afterAutospacing="1"/>
              <w:rPr>
                <w:rFonts w:ascii="Lato" w:hAnsi="Lato"/>
                <w:iCs/>
                <w:szCs w:val="22"/>
              </w:rPr>
            </w:pPr>
            <w:r>
              <w:rPr>
                <w:rFonts w:ascii="Lato" w:hAnsi="Lato"/>
                <w:iCs/>
                <w:szCs w:val="22"/>
              </w:rPr>
              <w:t>g</w:t>
            </w:r>
            <w:r w:rsidR="006B024A" w:rsidRPr="003E42DF">
              <w:rPr>
                <w:rFonts w:ascii="Lato" w:hAnsi="Lato"/>
                <w:iCs/>
                <w:szCs w:val="22"/>
              </w:rPr>
              <w:t>runt</w:t>
            </w:r>
            <w:r>
              <w:rPr>
                <w:rFonts w:ascii="Lato" w:hAnsi="Lato"/>
                <w:iCs/>
                <w:szCs w:val="22"/>
              </w:rPr>
              <w:t>,</w:t>
            </w:r>
          </w:p>
          <w:p w:rsidR="006B024A" w:rsidRPr="003E42DF" w:rsidRDefault="006B024A" w:rsidP="00F64114">
            <w:pPr>
              <w:keepNext/>
              <w:numPr>
                <w:ilvl w:val="0"/>
                <w:numId w:val="10"/>
              </w:numPr>
              <w:spacing w:after="100" w:afterAutospacing="1"/>
              <w:rPr>
                <w:rFonts w:ascii="Lato" w:hAnsi="Lato"/>
                <w:iCs/>
                <w:szCs w:val="22"/>
              </w:rPr>
            </w:pPr>
            <w:r w:rsidRPr="003E42DF">
              <w:rPr>
                <w:rFonts w:ascii="Lato" w:hAnsi="Lato"/>
                <w:iCs/>
                <w:szCs w:val="22"/>
              </w:rPr>
              <w:t>woda gruntowa</w:t>
            </w:r>
            <w:r w:rsidR="00F64114">
              <w:rPr>
                <w:rFonts w:ascii="Lato" w:hAnsi="Lato"/>
                <w:iCs/>
                <w:szCs w:val="22"/>
              </w:rPr>
              <w:t>,</w:t>
            </w:r>
          </w:p>
          <w:p w:rsidR="006B024A" w:rsidRPr="003E42DF" w:rsidRDefault="006B024A" w:rsidP="00F64114">
            <w:pPr>
              <w:keepNext/>
              <w:numPr>
                <w:ilvl w:val="0"/>
                <w:numId w:val="10"/>
              </w:numPr>
              <w:spacing w:after="100" w:afterAutospacing="1"/>
              <w:rPr>
                <w:rFonts w:ascii="Lato" w:hAnsi="Lato"/>
                <w:iCs/>
                <w:szCs w:val="22"/>
              </w:rPr>
            </w:pPr>
            <w:r w:rsidRPr="003E42DF">
              <w:rPr>
                <w:rFonts w:ascii="Lato" w:hAnsi="Lato"/>
                <w:iCs/>
                <w:szCs w:val="22"/>
              </w:rPr>
              <w:t>woda powierzchniowa</w:t>
            </w:r>
            <w:r w:rsidR="00F64114">
              <w:rPr>
                <w:rFonts w:ascii="Lato" w:hAnsi="Lato"/>
                <w:iCs/>
                <w:szCs w:val="22"/>
              </w:rPr>
              <w:t>.</w:t>
            </w:r>
          </w:p>
          <w:p w:rsidR="006B024A" w:rsidRPr="003E42DF" w:rsidRDefault="006B024A" w:rsidP="00F64114">
            <w:pPr>
              <w:keepNext/>
              <w:spacing w:after="100" w:afterAutospacing="1"/>
              <w:ind w:firstLine="0"/>
              <w:rPr>
                <w:rFonts w:ascii="Lato" w:hAnsi="Lato"/>
                <w:iCs/>
                <w:szCs w:val="22"/>
              </w:rPr>
            </w:pPr>
            <w:r w:rsidRPr="003E42DF">
              <w:rPr>
                <w:rFonts w:ascii="Lato" w:hAnsi="Lato"/>
                <w:iCs/>
                <w:szCs w:val="22"/>
              </w:rPr>
              <w:t>2. Pompa ciepła</w:t>
            </w:r>
            <w:r w:rsidR="00F64114">
              <w:rPr>
                <w:rFonts w:ascii="Lato" w:hAnsi="Lato"/>
                <w:iCs/>
                <w:szCs w:val="22"/>
              </w:rPr>
              <w:t>.</w:t>
            </w:r>
          </w:p>
          <w:p w:rsidR="006B024A" w:rsidRPr="003E42DF" w:rsidRDefault="006B024A" w:rsidP="00F64114">
            <w:pPr>
              <w:keepNext/>
              <w:spacing w:after="100" w:afterAutospacing="1"/>
              <w:ind w:firstLine="0"/>
              <w:rPr>
                <w:rFonts w:ascii="Lato" w:hAnsi="Lato"/>
                <w:iCs/>
                <w:szCs w:val="22"/>
              </w:rPr>
            </w:pPr>
            <w:r w:rsidRPr="003E42DF">
              <w:rPr>
                <w:rFonts w:ascii="Lato" w:hAnsi="Lato"/>
                <w:iCs/>
                <w:szCs w:val="22"/>
              </w:rPr>
              <w:t>3. Wewnętrzna instalacja grzewcza/chłodnicza</w:t>
            </w:r>
            <w:r w:rsidR="00F64114">
              <w:rPr>
                <w:rFonts w:ascii="Lato" w:hAnsi="Lato"/>
                <w:iCs/>
                <w:szCs w:val="22"/>
              </w:rPr>
              <w:t>:</w:t>
            </w:r>
          </w:p>
          <w:p w:rsidR="006B024A" w:rsidRPr="003E42DF" w:rsidRDefault="006B024A" w:rsidP="00F64114">
            <w:pPr>
              <w:keepNext/>
              <w:numPr>
                <w:ilvl w:val="0"/>
                <w:numId w:val="11"/>
              </w:numPr>
              <w:spacing w:after="100" w:afterAutospacing="1"/>
              <w:rPr>
                <w:rFonts w:ascii="Lato" w:hAnsi="Lato"/>
                <w:iCs/>
                <w:szCs w:val="22"/>
              </w:rPr>
            </w:pPr>
            <w:r w:rsidRPr="003E42DF">
              <w:rPr>
                <w:rFonts w:ascii="Lato" w:hAnsi="Lato"/>
                <w:iCs/>
                <w:szCs w:val="22"/>
              </w:rPr>
              <w:t>przewody tradycyjne</w:t>
            </w:r>
            <w:r w:rsidR="00F64114">
              <w:rPr>
                <w:rFonts w:ascii="Lato" w:hAnsi="Lato"/>
                <w:iCs/>
                <w:szCs w:val="22"/>
              </w:rPr>
              <w:t>.</w:t>
            </w:r>
          </w:p>
        </w:tc>
      </w:tr>
    </w:tbl>
    <w:p w:rsidR="006B024A" w:rsidRPr="00F64114" w:rsidRDefault="006B024A" w:rsidP="00477116">
      <w:pPr>
        <w:spacing w:before="100" w:beforeAutospacing="1" w:line="240" w:lineRule="auto"/>
        <w:ind w:firstLine="0"/>
        <w:jc w:val="center"/>
        <w:rPr>
          <w:rFonts w:ascii="Lato" w:hAnsi="Lato"/>
          <w:b/>
          <w:bCs/>
          <w:color w:val="1F497D"/>
          <w:spacing w:val="-2"/>
          <w:sz w:val="20"/>
          <w:szCs w:val="20"/>
        </w:rPr>
      </w:pPr>
      <w:bookmarkStart w:id="315" w:name="_Toc328633173"/>
      <w:bookmarkStart w:id="316" w:name="_Toc336419391"/>
      <w:bookmarkStart w:id="317" w:name="_Toc336943708"/>
      <w:bookmarkStart w:id="318" w:name="_Toc20219247"/>
      <w:r w:rsidRPr="00F64114">
        <w:rPr>
          <w:rFonts w:ascii="Lato" w:hAnsi="Lato"/>
          <w:b/>
          <w:bCs/>
          <w:color w:val="1F497D"/>
          <w:spacing w:val="-2"/>
          <w:sz w:val="20"/>
          <w:szCs w:val="20"/>
        </w:rPr>
        <w:t xml:space="preserve">Rysunek </w:t>
      </w:r>
      <w:r w:rsidR="004042AE" w:rsidRPr="00F64114">
        <w:rPr>
          <w:rFonts w:ascii="Lato" w:hAnsi="Lato"/>
          <w:b/>
          <w:bCs/>
          <w:color w:val="1F497D"/>
          <w:spacing w:val="-2"/>
          <w:sz w:val="20"/>
          <w:szCs w:val="20"/>
        </w:rPr>
        <w:fldChar w:fldCharType="begin"/>
      </w:r>
      <w:r w:rsidR="005430ED" w:rsidRPr="00F64114">
        <w:rPr>
          <w:rFonts w:ascii="Lato" w:hAnsi="Lato"/>
          <w:b/>
          <w:bCs/>
          <w:color w:val="1F497D"/>
          <w:spacing w:val="-2"/>
          <w:sz w:val="20"/>
          <w:szCs w:val="20"/>
        </w:rPr>
        <w:instrText xml:space="preserve"> STYLEREF 1 \s </w:instrText>
      </w:r>
      <w:r w:rsidR="004042AE" w:rsidRPr="00F64114">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F64114">
        <w:rPr>
          <w:rFonts w:ascii="Lato" w:hAnsi="Lato"/>
          <w:b/>
          <w:bCs/>
          <w:color w:val="1F497D"/>
          <w:spacing w:val="-2"/>
          <w:sz w:val="20"/>
          <w:szCs w:val="20"/>
        </w:rPr>
        <w:fldChar w:fldCharType="end"/>
      </w:r>
      <w:r w:rsidR="005430ED" w:rsidRPr="00F64114">
        <w:rPr>
          <w:rFonts w:ascii="Lato" w:hAnsi="Lato"/>
          <w:b/>
          <w:bCs/>
          <w:color w:val="1F497D"/>
          <w:spacing w:val="-2"/>
          <w:sz w:val="20"/>
          <w:szCs w:val="20"/>
        </w:rPr>
        <w:noBreakHyphen/>
      </w:r>
      <w:r w:rsidR="004042AE" w:rsidRPr="00F64114">
        <w:rPr>
          <w:rFonts w:ascii="Lato" w:hAnsi="Lato"/>
          <w:b/>
          <w:bCs/>
          <w:color w:val="1F497D"/>
          <w:spacing w:val="-2"/>
          <w:sz w:val="20"/>
          <w:szCs w:val="20"/>
        </w:rPr>
        <w:fldChar w:fldCharType="begin"/>
      </w:r>
      <w:r w:rsidR="005430ED" w:rsidRPr="00F64114">
        <w:rPr>
          <w:rFonts w:ascii="Lato" w:hAnsi="Lato"/>
          <w:b/>
          <w:bCs/>
          <w:color w:val="1F497D"/>
          <w:spacing w:val="-2"/>
          <w:sz w:val="20"/>
          <w:szCs w:val="20"/>
        </w:rPr>
        <w:instrText xml:space="preserve"> SEQ Rysunek \* ARABIC \s 1 </w:instrText>
      </w:r>
      <w:r w:rsidR="004042AE" w:rsidRPr="00F64114">
        <w:rPr>
          <w:rFonts w:ascii="Lato" w:hAnsi="Lato"/>
          <w:b/>
          <w:bCs/>
          <w:color w:val="1F497D"/>
          <w:spacing w:val="-2"/>
          <w:sz w:val="20"/>
          <w:szCs w:val="20"/>
        </w:rPr>
        <w:fldChar w:fldCharType="separate"/>
      </w:r>
      <w:r w:rsidR="0040205B">
        <w:rPr>
          <w:rFonts w:ascii="Lato" w:hAnsi="Lato"/>
          <w:b/>
          <w:bCs/>
          <w:noProof/>
          <w:color w:val="1F497D"/>
          <w:spacing w:val="-2"/>
          <w:sz w:val="20"/>
          <w:szCs w:val="20"/>
        </w:rPr>
        <w:t>6</w:t>
      </w:r>
      <w:r w:rsidR="004042AE" w:rsidRPr="00F64114">
        <w:rPr>
          <w:rFonts w:ascii="Lato" w:hAnsi="Lato"/>
          <w:b/>
          <w:bCs/>
          <w:color w:val="1F497D"/>
          <w:spacing w:val="-2"/>
          <w:sz w:val="20"/>
          <w:szCs w:val="20"/>
        </w:rPr>
        <w:fldChar w:fldCharType="end"/>
      </w:r>
      <w:r w:rsidR="00120868" w:rsidRPr="00F64114">
        <w:rPr>
          <w:rFonts w:ascii="Lato" w:hAnsi="Lato"/>
          <w:b/>
          <w:bCs/>
          <w:color w:val="1F497D"/>
          <w:spacing w:val="-2"/>
          <w:sz w:val="20"/>
          <w:szCs w:val="20"/>
        </w:rPr>
        <w:t xml:space="preserve"> </w:t>
      </w:r>
      <w:r w:rsidR="00D4579E" w:rsidRPr="00F64114">
        <w:rPr>
          <w:rFonts w:ascii="Lato" w:hAnsi="Lato"/>
          <w:b/>
          <w:bCs/>
          <w:color w:val="1F497D"/>
          <w:spacing w:val="-2"/>
          <w:sz w:val="20"/>
          <w:szCs w:val="20"/>
        </w:rPr>
        <w:t>Schemat instalacji pompy ciepła z wymiennikiem gruntowym</w:t>
      </w:r>
      <w:bookmarkEnd w:id="315"/>
      <w:bookmarkEnd w:id="316"/>
      <w:bookmarkEnd w:id="317"/>
      <w:bookmarkEnd w:id="318"/>
    </w:p>
    <w:p w:rsidR="009D5261" w:rsidRPr="00F64114" w:rsidRDefault="00477116" w:rsidP="00477116">
      <w:pPr>
        <w:spacing w:line="240" w:lineRule="auto"/>
        <w:ind w:firstLine="0"/>
        <w:jc w:val="center"/>
        <w:rPr>
          <w:rFonts w:ascii="Lato" w:hAnsi="Lato"/>
          <w:szCs w:val="22"/>
        </w:rPr>
      </w:pPr>
      <w:r w:rsidRPr="00477116">
        <w:rPr>
          <w:rFonts w:ascii="Lato" w:hAnsi="Lato"/>
          <w:bCs/>
          <w:i/>
          <w:spacing w:val="-2"/>
          <w:sz w:val="20"/>
          <w:szCs w:val="20"/>
        </w:rPr>
        <w:t>Źródło: RETScreen</w:t>
      </w:r>
    </w:p>
    <w:p w:rsidR="00477116" w:rsidRDefault="00477116" w:rsidP="003E42DF">
      <w:pPr>
        <w:ind w:firstLine="709"/>
        <w:jc w:val="both"/>
        <w:rPr>
          <w:rFonts w:ascii="Lato" w:hAnsi="Lato"/>
          <w:szCs w:val="22"/>
        </w:rPr>
      </w:pPr>
    </w:p>
    <w:p w:rsidR="006B024A" w:rsidRPr="00F64114" w:rsidRDefault="006B024A" w:rsidP="003E42DF">
      <w:pPr>
        <w:ind w:firstLine="709"/>
        <w:jc w:val="both"/>
        <w:rPr>
          <w:rFonts w:ascii="Lato" w:hAnsi="Lato"/>
          <w:szCs w:val="22"/>
        </w:rPr>
      </w:pPr>
      <w:r w:rsidRPr="00F64114">
        <w:rPr>
          <w:rFonts w:ascii="Lato" w:hAnsi="Lato"/>
          <w:szCs w:val="22"/>
        </w:rPr>
        <w:t xml:space="preserve">Moc cieplna pompy jest podawana w ściśle określonym zakresie temperatur, który z kolei zależy od rodzaju dolnego i górnego źródła ciepła. Moc pompy ciepła dobiera się na podstawie uprzednio oszacowanego zapotrzebowania cieplnego budynku. </w:t>
      </w:r>
    </w:p>
    <w:p w:rsidR="006B024A" w:rsidRPr="00F64114" w:rsidRDefault="006B024A" w:rsidP="003E42DF">
      <w:pPr>
        <w:ind w:firstLine="709"/>
        <w:jc w:val="both"/>
        <w:rPr>
          <w:rFonts w:ascii="Lato" w:hAnsi="Lato"/>
          <w:szCs w:val="22"/>
        </w:rPr>
      </w:pPr>
      <w:r w:rsidRPr="00F64114">
        <w:rPr>
          <w:rFonts w:ascii="Lato" w:hAnsi="Lato"/>
          <w:szCs w:val="22"/>
        </w:rPr>
        <w:t xml:space="preserve">Współczynnik efektywności w sprężarkowych pompach ciepła jest tym wyższy, im mniejsza jest różnica temperatur pomiędzy górnym a dolnym źródłem. </w:t>
      </w:r>
    </w:p>
    <w:p w:rsidR="006B024A" w:rsidRPr="00F64114" w:rsidRDefault="006B024A" w:rsidP="003E42DF">
      <w:pPr>
        <w:ind w:firstLine="0"/>
        <w:jc w:val="both"/>
        <w:rPr>
          <w:rFonts w:ascii="Lato" w:hAnsi="Lato"/>
          <w:szCs w:val="22"/>
        </w:rPr>
      </w:pPr>
      <w:r w:rsidRPr="00F64114">
        <w:rPr>
          <w:rFonts w:ascii="Lato" w:hAnsi="Lato"/>
          <w:szCs w:val="22"/>
        </w:rPr>
        <w:t>Parametrami określającymi ilościowo dolne źródło ciepła są: zawartość ciepła, temperatura źródła i jej zmiany w czasie; natomiast od strony technicznej istotne są: możliwość ujęcia i pewność eksploatacji.</w:t>
      </w:r>
    </w:p>
    <w:p w:rsidR="006B024A" w:rsidRPr="00F64114" w:rsidRDefault="006B024A" w:rsidP="003E42DF">
      <w:pPr>
        <w:ind w:firstLine="709"/>
        <w:jc w:val="both"/>
        <w:rPr>
          <w:rFonts w:ascii="Lato" w:hAnsi="Lato"/>
          <w:szCs w:val="22"/>
        </w:rPr>
      </w:pPr>
      <w:r w:rsidRPr="00F64114">
        <w:rPr>
          <w:rFonts w:ascii="Lato" w:hAnsi="Lato"/>
          <w:szCs w:val="22"/>
        </w:rPr>
        <w:lastRenderedPageBreak/>
        <w:t>Górne źródło ciepła stanowi instalacja grzewcza, jest ono więc tożsame z potrzebami cieplnymi odbiorcy. Parametry techniczne pomp ciepła ograniczają ich przydatność do następujących celów:</w:t>
      </w:r>
    </w:p>
    <w:p w:rsidR="006B024A" w:rsidRPr="00A422D2" w:rsidRDefault="006B024A" w:rsidP="00A422D2">
      <w:pPr>
        <w:pStyle w:val="Tekstpodstawowy"/>
        <w:numPr>
          <w:ilvl w:val="0"/>
          <w:numId w:val="83"/>
        </w:numPr>
        <w:tabs>
          <w:tab w:val="clear" w:pos="360"/>
        </w:tabs>
        <w:ind w:left="709" w:hanging="425"/>
        <w:rPr>
          <w:rFonts w:ascii="Lato" w:hAnsi="Lato" w:cs="Times New Roman"/>
        </w:rPr>
      </w:pPr>
      <w:r w:rsidRPr="00A422D2">
        <w:rPr>
          <w:rFonts w:ascii="Lato" w:hAnsi="Lato" w:cs="Times New Roman"/>
        </w:rPr>
        <w:t>ogrzewania podłogowego: 25 - 30°C</w:t>
      </w:r>
    </w:p>
    <w:p w:rsidR="006B024A" w:rsidRPr="00A422D2" w:rsidRDefault="006B024A" w:rsidP="00A422D2">
      <w:pPr>
        <w:pStyle w:val="Tekstpodstawowy"/>
        <w:numPr>
          <w:ilvl w:val="0"/>
          <w:numId w:val="83"/>
        </w:numPr>
        <w:tabs>
          <w:tab w:val="clear" w:pos="360"/>
        </w:tabs>
        <w:ind w:left="709" w:hanging="425"/>
        <w:rPr>
          <w:rFonts w:ascii="Lato" w:hAnsi="Lato" w:cs="Times New Roman"/>
        </w:rPr>
      </w:pPr>
      <w:r w:rsidRPr="00A422D2">
        <w:rPr>
          <w:rFonts w:ascii="Lato" w:hAnsi="Lato" w:cs="Times New Roman"/>
        </w:rPr>
        <w:t>ogrzewania sufitowego: do 45°C</w:t>
      </w:r>
    </w:p>
    <w:p w:rsidR="006B024A" w:rsidRPr="00A422D2" w:rsidRDefault="006B024A" w:rsidP="00A422D2">
      <w:pPr>
        <w:pStyle w:val="Tekstpodstawowy"/>
        <w:numPr>
          <w:ilvl w:val="0"/>
          <w:numId w:val="83"/>
        </w:numPr>
        <w:tabs>
          <w:tab w:val="clear" w:pos="360"/>
        </w:tabs>
        <w:ind w:left="709" w:hanging="425"/>
        <w:rPr>
          <w:rFonts w:ascii="Lato" w:hAnsi="Lato" w:cs="Times New Roman"/>
        </w:rPr>
      </w:pPr>
      <w:r w:rsidRPr="00A422D2">
        <w:rPr>
          <w:rFonts w:ascii="Lato" w:hAnsi="Lato" w:cs="Times New Roman"/>
        </w:rPr>
        <w:t>ogrzewania grzejnikowego o obniżonych parametrach: np. 55/40°C</w:t>
      </w:r>
    </w:p>
    <w:p w:rsidR="006B024A" w:rsidRPr="00A422D2" w:rsidRDefault="006B024A" w:rsidP="00A422D2">
      <w:pPr>
        <w:pStyle w:val="Tekstpodstawowy"/>
        <w:numPr>
          <w:ilvl w:val="0"/>
          <w:numId w:val="83"/>
        </w:numPr>
        <w:tabs>
          <w:tab w:val="clear" w:pos="360"/>
        </w:tabs>
        <w:ind w:left="709" w:hanging="425"/>
        <w:rPr>
          <w:rFonts w:ascii="Lato" w:hAnsi="Lato" w:cs="Times New Roman"/>
        </w:rPr>
      </w:pPr>
      <w:r w:rsidRPr="00A422D2">
        <w:rPr>
          <w:rFonts w:ascii="Lato" w:hAnsi="Lato" w:cs="Times New Roman"/>
        </w:rPr>
        <w:t>podgrzewania ciepłej wody użytkowej: 55 - 60°C</w:t>
      </w:r>
    </w:p>
    <w:p w:rsidR="006B024A" w:rsidRPr="00A422D2" w:rsidRDefault="006B024A" w:rsidP="00A422D2">
      <w:pPr>
        <w:pStyle w:val="Tekstpodstawowy"/>
        <w:numPr>
          <w:ilvl w:val="0"/>
          <w:numId w:val="83"/>
        </w:numPr>
        <w:tabs>
          <w:tab w:val="clear" w:pos="360"/>
        </w:tabs>
        <w:ind w:left="709" w:hanging="425"/>
        <w:rPr>
          <w:rFonts w:ascii="Lato" w:hAnsi="Lato" w:cs="Times New Roman"/>
        </w:rPr>
      </w:pPr>
      <w:r w:rsidRPr="00A422D2">
        <w:rPr>
          <w:rFonts w:ascii="Lato" w:hAnsi="Lato" w:cs="Times New Roman"/>
        </w:rPr>
        <w:t>niskotemperaturowych procesów technologicznych: 25 - 60°C.</w:t>
      </w:r>
    </w:p>
    <w:p w:rsidR="006B024A" w:rsidRPr="00F64114" w:rsidRDefault="006B024A" w:rsidP="003E42DF">
      <w:pPr>
        <w:ind w:firstLine="0"/>
        <w:jc w:val="both"/>
        <w:rPr>
          <w:rFonts w:ascii="Lato" w:hAnsi="Lato"/>
          <w:szCs w:val="22"/>
        </w:rPr>
      </w:pPr>
    </w:p>
    <w:p w:rsidR="006B024A" w:rsidRPr="00F64114" w:rsidRDefault="006B024A" w:rsidP="003E42DF">
      <w:pPr>
        <w:ind w:firstLine="709"/>
        <w:jc w:val="both"/>
        <w:rPr>
          <w:rFonts w:ascii="Lato" w:hAnsi="Lato"/>
          <w:szCs w:val="22"/>
        </w:rPr>
      </w:pPr>
      <w:r w:rsidRPr="00F64114">
        <w:rPr>
          <w:rFonts w:ascii="Lato" w:hAnsi="Lato"/>
          <w:szCs w:val="22"/>
        </w:rPr>
        <w:t>Ze względów ekonomicznych oraz strat wynikających z przesyłu</w:t>
      </w:r>
      <w:r w:rsidR="00D153EC" w:rsidRPr="00F64114">
        <w:rPr>
          <w:rFonts w:ascii="Lato" w:hAnsi="Lato"/>
          <w:szCs w:val="22"/>
        </w:rPr>
        <w:t xml:space="preserve"> ciepła, pompy ciepła winno się</w:t>
      </w:r>
      <w:r w:rsidR="00B83BEC">
        <w:rPr>
          <w:rFonts w:ascii="Lato" w:hAnsi="Lato"/>
          <w:szCs w:val="22"/>
        </w:rPr>
        <w:t xml:space="preserve"> </w:t>
      </w:r>
      <w:r w:rsidRPr="00F64114">
        <w:rPr>
          <w:rFonts w:ascii="Lato" w:hAnsi="Lato"/>
          <w:szCs w:val="22"/>
        </w:rPr>
        <w:t xml:space="preserve">montować w pobliżu źródeł ciepła, zarówno dolnego jak i górnego. </w:t>
      </w:r>
    </w:p>
    <w:p w:rsidR="006B024A" w:rsidRPr="00477116" w:rsidRDefault="006B024A" w:rsidP="003E42DF">
      <w:pPr>
        <w:ind w:firstLine="709"/>
        <w:jc w:val="both"/>
        <w:rPr>
          <w:rFonts w:ascii="Lato" w:hAnsi="Lato"/>
          <w:szCs w:val="22"/>
        </w:rPr>
      </w:pPr>
      <w:r w:rsidRPr="00477116">
        <w:rPr>
          <w:rFonts w:ascii="Lato" w:hAnsi="Lato"/>
          <w:szCs w:val="22"/>
        </w:rPr>
        <w:t>Przystępując do oceny efektywności ekonomicznej zastosowania</w:t>
      </w:r>
      <w:r w:rsidR="00D153EC" w:rsidRPr="00477116">
        <w:rPr>
          <w:rFonts w:ascii="Lato" w:hAnsi="Lato"/>
          <w:szCs w:val="22"/>
        </w:rPr>
        <w:t xml:space="preserve"> pomp ciepła warto pamiętać, że</w:t>
      </w:r>
      <w:r w:rsidR="00B83BEC">
        <w:rPr>
          <w:rFonts w:ascii="Lato" w:hAnsi="Lato"/>
          <w:szCs w:val="22"/>
        </w:rPr>
        <w:t xml:space="preserve"> </w:t>
      </w:r>
      <w:r w:rsidRPr="00477116">
        <w:rPr>
          <w:rFonts w:ascii="Lato" w:hAnsi="Lato"/>
          <w:szCs w:val="22"/>
        </w:rPr>
        <w:t>energia elektryczna stosowana do napędu sprężarki jest zdecydowanie najdroższa spośród dostępnych nośników, zatem o opłacalności decydować będzie przede wszystkim średnia efektywność energ</w:t>
      </w:r>
      <w:r w:rsidR="00D153EC" w:rsidRPr="00477116">
        <w:rPr>
          <w:rFonts w:ascii="Lato" w:hAnsi="Lato"/>
          <w:szCs w:val="22"/>
        </w:rPr>
        <w:t>etyczna w</w:t>
      </w:r>
      <w:r w:rsidR="00B83BEC">
        <w:rPr>
          <w:rFonts w:ascii="Lato" w:hAnsi="Lato"/>
          <w:szCs w:val="22"/>
        </w:rPr>
        <w:t xml:space="preserve"> </w:t>
      </w:r>
      <w:r w:rsidRPr="00477116">
        <w:rPr>
          <w:rFonts w:ascii="Lato" w:hAnsi="Lato"/>
          <w:szCs w:val="22"/>
        </w:rPr>
        <w:t>rocznym okresie eksploatacji urządzenia, natomiast przy dobrze zaizolowanym budynku konkurencyjne pod względem kosztów eksplo</w:t>
      </w:r>
      <w:r w:rsidR="00F64114" w:rsidRPr="00477116">
        <w:rPr>
          <w:rFonts w:ascii="Lato" w:hAnsi="Lato"/>
          <w:szCs w:val="22"/>
        </w:rPr>
        <w:t>atacji są tylko paliwa stałe, a</w:t>
      </w:r>
      <w:r w:rsidR="000B267A">
        <w:rPr>
          <w:rFonts w:ascii="Lato" w:hAnsi="Lato"/>
          <w:szCs w:val="22"/>
        </w:rPr>
        <w:t> </w:t>
      </w:r>
      <w:r w:rsidRPr="00477116">
        <w:rPr>
          <w:rFonts w:ascii="Lato" w:hAnsi="Lato"/>
          <w:szCs w:val="22"/>
        </w:rPr>
        <w:t>z nimi wiąże się już zdecydowanie większa lokalna emisja oraz mniejsza wygoda obsługi. Nie bez znaczenia są również stosunkowo duże koszty inwestycyjne, które dla domku jednorodzinnego wahają się w zależności od rodzaju technologii w</w:t>
      </w:r>
      <w:r w:rsidR="00B83BEC">
        <w:rPr>
          <w:rFonts w:ascii="Lato" w:hAnsi="Lato"/>
          <w:szCs w:val="22"/>
        </w:rPr>
        <w:t xml:space="preserve"> </w:t>
      </w:r>
      <w:r w:rsidRPr="00477116">
        <w:rPr>
          <w:rFonts w:ascii="Lato" w:hAnsi="Lato"/>
          <w:szCs w:val="22"/>
        </w:rPr>
        <w:t>granicach 30 do 50 tys. zł.</w:t>
      </w:r>
    </w:p>
    <w:p w:rsidR="006B024A" w:rsidRPr="00477116" w:rsidRDefault="006B024A" w:rsidP="003E42DF">
      <w:pPr>
        <w:ind w:firstLine="709"/>
        <w:jc w:val="both"/>
        <w:rPr>
          <w:rFonts w:ascii="Lato" w:hAnsi="Lato"/>
          <w:szCs w:val="22"/>
        </w:rPr>
      </w:pPr>
      <w:r w:rsidRPr="00477116">
        <w:rPr>
          <w:rFonts w:ascii="Lato" w:hAnsi="Lato"/>
          <w:szCs w:val="22"/>
        </w:rPr>
        <w:t>Podejmując decyzję o zastosowaniu pomp ciepła należy bardzo starannie przeanalizować celowość takiej inwestycji, a w szczególności porównać z innymi możliwymi do zastosowania źródłami ciepła.</w:t>
      </w:r>
    </w:p>
    <w:p w:rsidR="006B024A" w:rsidRPr="00477116" w:rsidRDefault="006B024A" w:rsidP="006B024A">
      <w:pPr>
        <w:ind w:firstLine="0"/>
        <w:jc w:val="both"/>
        <w:rPr>
          <w:rFonts w:ascii="Lato" w:hAnsi="Lato"/>
          <w:szCs w:val="22"/>
        </w:rPr>
      </w:pPr>
    </w:p>
    <w:p w:rsidR="006B024A" w:rsidRPr="00477116" w:rsidRDefault="006B024A" w:rsidP="006B024A">
      <w:pPr>
        <w:ind w:firstLine="0"/>
        <w:jc w:val="both"/>
        <w:rPr>
          <w:rFonts w:ascii="Lato" w:hAnsi="Lato"/>
          <w:b/>
          <w:szCs w:val="22"/>
          <w:u w:val="single"/>
        </w:rPr>
      </w:pPr>
      <w:r w:rsidRPr="00477116">
        <w:rPr>
          <w:rFonts w:ascii="Lato" w:hAnsi="Lato"/>
          <w:b/>
          <w:szCs w:val="22"/>
          <w:u w:val="single"/>
        </w:rPr>
        <w:t>Zastosowanie gruntowego wymiennika ciepła</w:t>
      </w:r>
    </w:p>
    <w:p w:rsidR="006B024A" w:rsidRPr="00477116" w:rsidRDefault="006B024A" w:rsidP="00D153EC">
      <w:pPr>
        <w:ind w:firstLine="709"/>
        <w:jc w:val="both"/>
        <w:rPr>
          <w:rFonts w:ascii="Lato" w:hAnsi="Lato"/>
          <w:szCs w:val="22"/>
        </w:rPr>
      </w:pPr>
      <w:r w:rsidRPr="00477116">
        <w:rPr>
          <w:rFonts w:ascii="Lato" w:hAnsi="Lato"/>
          <w:szCs w:val="22"/>
        </w:rPr>
        <w:t xml:space="preserve">Gruntowy wymiennik ciepła jest dobrym uzupełnieniem systemu wentylacyjno-grzewczego budynku gdy współpracuje z układem wentylacji mechanicznej nawiewno-wywiewnej. Może on być wykonany jako rurociąg zakopany w ziemi, którym przepływa powietrze wentylacyjne lub jako wymiennik ze złożem żwirowym. </w:t>
      </w:r>
    </w:p>
    <w:p w:rsidR="006B024A" w:rsidRPr="00477116" w:rsidRDefault="006B024A" w:rsidP="00D153EC">
      <w:pPr>
        <w:ind w:firstLine="709"/>
        <w:jc w:val="both"/>
        <w:rPr>
          <w:rFonts w:ascii="Lato" w:hAnsi="Lato"/>
          <w:szCs w:val="22"/>
        </w:rPr>
      </w:pPr>
      <w:r w:rsidRPr="00477116">
        <w:rPr>
          <w:rFonts w:ascii="Lato" w:hAnsi="Lato"/>
          <w:szCs w:val="22"/>
        </w:rPr>
        <w:t>W gruncie panuje prawie stała temperatura około 4</w:t>
      </w:r>
      <w:r w:rsidR="000C43AE" w:rsidRPr="00477116">
        <w:rPr>
          <w:rFonts w:ascii="Lato" w:hAnsi="Lato"/>
          <w:szCs w:val="22"/>
        </w:rPr>
        <w:t>°C</w:t>
      </w:r>
      <w:r w:rsidRPr="00477116">
        <w:rPr>
          <w:rFonts w:ascii="Lato" w:hAnsi="Lato"/>
          <w:szCs w:val="22"/>
        </w:rPr>
        <w:t xml:space="preserve"> - czyli temperatura panująca na głębokości około 1,5 metra pod powierzchnią ziemi. Wprowadzone do wymiennika powietrze zewnętrzne ogrzewa się wstępnie zimą. Latem gruntowy wymiennik ciepła spełnia rolę najtańszego klimatyzatora – obniża temperaturę powietrza wprowadzanego do budynku o kilka stopni. </w:t>
      </w:r>
    </w:p>
    <w:p w:rsidR="006B024A" w:rsidRPr="00477116" w:rsidRDefault="006B024A" w:rsidP="00D153EC">
      <w:pPr>
        <w:ind w:firstLine="709"/>
        <w:jc w:val="both"/>
        <w:rPr>
          <w:rFonts w:ascii="Lato" w:hAnsi="Lato"/>
          <w:szCs w:val="22"/>
        </w:rPr>
      </w:pPr>
      <w:r w:rsidRPr="00477116">
        <w:rPr>
          <w:rFonts w:ascii="Lato" w:hAnsi="Lato"/>
          <w:szCs w:val="22"/>
        </w:rPr>
        <w:t>Konstrukcja żwirowego GWC zaprojektowana jest jako naturalne złoże czystego płukanego żwiru umieszczonego w gruncie. Przepływające powietrze przez żwir (w zależności od pory roku) jest latem ochładzane i osuszane, zimą podgrzewane i nawilżane, a przez cały rok filtrowane z pyłków roślin i</w:t>
      </w:r>
      <w:r w:rsidR="008B4FF3" w:rsidRPr="00477116">
        <w:rPr>
          <w:rFonts w:ascii="Lato" w:hAnsi="Lato"/>
          <w:szCs w:val="22"/>
        </w:rPr>
        <w:t> </w:t>
      </w:r>
      <w:r w:rsidRPr="00477116">
        <w:rPr>
          <w:rFonts w:ascii="Lato" w:hAnsi="Lato"/>
          <w:szCs w:val="22"/>
        </w:rPr>
        <w:t>bakterii. Bezpośredni kontakt złoża z otaczającym gruntem rodzimym ułatwia szybką regenerację temperatury złoża. Schemat budowy złoża pokazano na poniższym rysunku.</w:t>
      </w:r>
    </w:p>
    <w:p w:rsidR="006B024A" w:rsidRPr="00D352C4" w:rsidRDefault="006B024A" w:rsidP="006B024A">
      <w:pPr>
        <w:autoSpaceDE w:val="0"/>
        <w:autoSpaceDN w:val="0"/>
        <w:adjustRightInd w:val="0"/>
        <w:rPr>
          <w:rFonts w:ascii="Lato" w:hAnsi="Lato"/>
          <w:szCs w:val="22"/>
          <w:highlight w:val="yellow"/>
        </w:rPr>
      </w:pPr>
    </w:p>
    <w:tbl>
      <w:tblPr>
        <w:tblW w:w="0" w:type="auto"/>
        <w:tblLook w:val="01E0" w:firstRow="1" w:lastRow="1" w:firstColumn="1" w:lastColumn="1" w:noHBand="0" w:noVBand="0"/>
      </w:tblPr>
      <w:tblGrid>
        <w:gridCol w:w="5616"/>
        <w:gridCol w:w="3678"/>
      </w:tblGrid>
      <w:tr w:rsidR="006B024A" w:rsidRPr="00477116" w:rsidTr="006B024A">
        <w:tc>
          <w:tcPr>
            <w:tcW w:w="5608" w:type="dxa"/>
          </w:tcPr>
          <w:p w:rsidR="006B024A" w:rsidRPr="00477116" w:rsidRDefault="0006260E" w:rsidP="006B024A">
            <w:pPr>
              <w:rPr>
                <w:rFonts w:ascii="Lato" w:hAnsi="Lato"/>
                <w:szCs w:val="22"/>
              </w:rPr>
            </w:pPr>
            <w:r>
              <w:rPr>
                <w:rFonts w:ascii="Lato" w:hAnsi="Lato"/>
                <w:noProof/>
                <w:szCs w:val="22"/>
              </w:rPr>
              <w:lastRenderedPageBreak/>
              <w:drawing>
                <wp:inline distT="0" distB="0" distL="0" distR="0" wp14:anchorId="655D395C" wp14:editId="446E77E1">
                  <wp:extent cx="3419475" cy="2076450"/>
                  <wp:effectExtent l="0" t="0" r="952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19475" cy="2076450"/>
                          </a:xfrm>
                          <a:prstGeom prst="rect">
                            <a:avLst/>
                          </a:prstGeom>
                          <a:noFill/>
                          <a:ln>
                            <a:noFill/>
                          </a:ln>
                        </pic:spPr>
                      </pic:pic>
                    </a:graphicData>
                  </a:graphic>
                </wp:inline>
              </w:drawing>
            </w:r>
          </w:p>
        </w:tc>
        <w:tc>
          <w:tcPr>
            <w:tcW w:w="3678" w:type="dxa"/>
            <w:vAlign w:val="center"/>
          </w:tcPr>
          <w:p w:rsidR="006B024A" w:rsidRPr="00477116" w:rsidRDefault="006B024A" w:rsidP="00477116">
            <w:pPr>
              <w:ind w:firstLine="2"/>
              <w:rPr>
                <w:rFonts w:ascii="Lato" w:hAnsi="Lato"/>
                <w:sz w:val="20"/>
                <w:szCs w:val="20"/>
              </w:rPr>
            </w:pPr>
            <w:r w:rsidRPr="00477116">
              <w:rPr>
                <w:rFonts w:ascii="Lato" w:hAnsi="Lato"/>
                <w:sz w:val="20"/>
                <w:szCs w:val="20"/>
              </w:rPr>
              <w:t>1. Czerpnia powietrza zewnętrznego</w:t>
            </w:r>
            <w:r w:rsidR="00477116">
              <w:rPr>
                <w:rFonts w:ascii="Lato" w:hAnsi="Lato"/>
                <w:sz w:val="20"/>
                <w:szCs w:val="20"/>
              </w:rPr>
              <w:t>.</w:t>
            </w:r>
          </w:p>
          <w:p w:rsidR="006B024A" w:rsidRPr="00477116" w:rsidRDefault="006B024A" w:rsidP="00477116">
            <w:pPr>
              <w:ind w:firstLine="2"/>
              <w:rPr>
                <w:rFonts w:ascii="Lato" w:hAnsi="Lato"/>
                <w:sz w:val="20"/>
                <w:szCs w:val="20"/>
              </w:rPr>
            </w:pPr>
            <w:r w:rsidRPr="00477116">
              <w:rPr>
                <w:rFonts w:ascii="Lato" w:hAnsi="Lato"/>
                <w:sz w:val="20"/>
                <w:szCs w:val="20"/>
              </w:rPr>
              <w:t>2. Ka</w:t>
            </w:r>
            <w:r w:rsidR="00F64114" w:rsidRPr="00477116">
              <w:rPr>
                <w:rFonts w:ascii="Lato" w:hAnsi="Lato"/>
                <w:sz w:val="20"/>
                <w:szCs w:val="20"/>
              </w:rPr>
              <w:t>nał rozprowadzający powietrze w </w:t>
            </w:r>
            <w:r w:rsidR="00477116">
              <w:rPr>
                <w:rFonts w:ascii="Lato" w:hAnsi="Lato"/>
                <w:sz w:val="20"/>
                <w:szCs w:val="20"/>
              </w:rPr>
              <w:t>poziomie.</w:t>
            </w:r>
          </w:p>
          <w:p w:rsidR="006B024A" w:rsidRPr="00477116" w:rsidRDefault="006B024A" w:rsidP="00477116">
            <w:pPr>
              <w:ind w:firstLine="2"/>
              <w:rPr>
                <w:rFonts w:ascii="Lato" w:hAnsi="Lato"/>
                <w:sz w:val="20"/>
                <w:szCs w:val="20"/>
              </w:rPr>
            </w:pPr>
            <w:r w:rsidRPr="00477116">
              <w:rPr>
                <w:rFonts w:ascii="Lato" w:hAnsi="Lato"/>
                <w:sz w:val="20"/>
                <w:szCs w:val="20"/>
              </w:rPr>
              <w:t>3. Złoże rozprowadzające powietrze do dna GWC</w:t>
            </w:r>
            <w:r w:rsidR="00477116">
              <w:rPr>
                <w:rFonts w:ascii="Lato" w:hAnsi="Lato"/>
                <w:sz w:val="20"/>
                <w:szCs w:val="20"/>
              </w:rPr>
              <w:t>.</w:t>
            </w:r>
            <w:r w:rsidRPr="00477116">
              <w:rPr>
                <w:rFonts w:ascii="Lato" w:hAnsi="Lato"/>
                <w:sz w:val="20"/>
                <w:szCs w:val="20"/>
              </w:rPr>
              <w:t xml:space="preserve"> </w:t>
            </w:r>
          </w:p>
          <w:p w:rsidR="006B024A" w:rsidRPr="00477116" w:rsidRDefault="006B024A" w:rsidP="00477116">
            <w:pPr>
              <w:ind w:firstLine="2"/>
              <w:rPr>
                <w:rFonts w:ascii="Lato" w:hAnsi="Lato"/>
                <w:sz w:val="20"/>
                <w:szCs w:val="20"/>
              </w:rPr>
            </w:pPr>
            <w:r w:rsidRPr="00477116">
              <w:rPr>
                <w:rFonts w:ascii="Lato" w:hAnsi="Lato"/>
                <w:sz w:val="20"/>
                <w:szCs w:val="20"/>
              </w:rPr>
              <w:t>4. Żwirowe złoże akumulacyjne</w:t>
            </w:r>
            <w:r w:rsidR="00477116">
              <w:rPr>
                <w:rFonts w:ascii="Lato" w:hAnsi="Lato"/>
                <w:sz w:val="20"/>
                <w:szCs w:val="20"/>
              </w:rPr>
              <w:t>.</w:t>
            </w:r>
            <w:r w:rsidRPr="00477116">
              <w:rPr>
                <w:rFonts w:ascii="Lato" w:hAnsi="Lato"/>
                <w:sz w:val="20"/>
                <w:szCs w:val="20"/>
              </w:rPr>
              <w:t xml:space="preserve"> </w:t>
            </w:r>
          </w:p>
          <w:p w:rsidR="006B024A" w:rsidRPr="00477116" w:rsidRDefault="006B024A" w:rsidP="00477116">
            <w:pPr>
              <w:ind w:firstLine="2"/>
              <w:rPr>
                <w:rFonts w:ascii="Lato" w:hAnsi="Lato"/>
                <w:sz w:val="20"/>
                <w:szCs w:val="20"/>
              </w:rPr>
            </w:pPr>
            <w:r w:rsidRPr="00477116">
              <w:rPr>
                <w:rFonts w:ascii="Lato" w:hAnsi="Lato"/>
                <w:sz w:val="20"/>
                <w:szCs w:val="20"/>
              </w:rPr>
              <w:t>5. Złoże zbierające powietrze</w:t>
            </w:r>
            <w:r w:rsidR="00477116">
              <w:rPr>
                <w:rFonts w:ascii="Lato" w:hAnsi="Lato"/>
                <w:sz w:val="20"/>
                <w:szCs w:val="20"/>
              </w:rPr>
              <w:t>.</w:t>
            </w:r>
            <w:r w:rsidRPr="00477116">
              <w:rPr>
                <w:rFonts w:ascii="Lato" w:hAnsi="Lato"/>
                <w:sz w:val="20"/>
                <w:szCs w:val="20"/>
              </w:rPr>
              <w:t xml:space="preserve"> </w:t>
            </w:r>
          </w:p>
          <w:p w:rsidR="006B024A" w:rsidRPr="00477116" w:rsidRDefault="006B024A" w:rsidP="00477116">
            <w:pPr>
              <w:ind w:firstLine="2"/>
              <w:rPr>
                <w:rFonts w:ascii="Lato" w:hAnsi="Lato"/>
                <w:sz w:val="20"/>
                <w:szCs w:val="20"/>
              </w:rPr>
            </w:pPr>
            <w:r w:rsidRPr="00477116">
              <w:rPr>
                <w:rFonts w:ascii="Lato" w:hAnsi="Lato"/>
                <w:sz w:val="20"/>
                <w:szCs w:val="20"/>
              </w:rPr>
              <w:t>6. Poziomy kanał zbierający-ujęcie powietrza do budynku</w:t>
            </w:r>
            <w:r w:rsidR="00477116">
              <w:rPr>
                <w:rFonts w:ascii="Lato" w:hAnsi="Lato"/>
                <w:sz w:val="20"/>
                <w:szCs w:val="20"/>
              </w:rPr>
              <w:t>.</w:t>
            </w:r>
            <w:r w:rsidRPr="00477116">
              <w:rPr>
                <w:rFonts w:ascii="Lato" w:hAnsi="Lato"/>
                <w:sz w:val="20"/>
                <w:szCs w:val="20"/>
              </w:rPr>
              <w:t xml:space="preserve"> </w:t>
            </w:r>
          </w:p>
          <w:p w:rsidR="006B024A" w:rsidRPr="00477116" w:rsidRDefault="006B024A" w:rsidP="00477116">
            <w:pPr>
              <w:ind w:firstLine="2"/>
              <w:rPr>
                <w:rFonts w:ascii="Lato" w:hAnsi="Lato"/>
                <w:sz w:val="20"/>
                <w:szCs w:val="20"/>
              </w:rPr>
            </w:pPr>
            <w:r w:rsidRPr="00477116">
              <w:rPr>
                <w:rFonts w:ascii="Lato" w:hAnsi="Lato"/>
                <w:sz w:val="20"/>
                <w:szCs w:val="20"/>
              </w:rPr>
              <w:t>7. Humus-ziemia, trawa</w:t>
            </w:r>
            <w:r w:rsidR="00477116">
              <w:rPr>
                <w:rFonts w:ascii="Lato" w:hAnsi="Lato"/>
                <w:sz w:val="20"/>
                <w:szCs w:val="20"/>
              </w:rPr>
              <w:t>.</w:t>
            </w:r>
            <w:r w:rsidRPr="00477116">
              <w:rPr>
                <w:rFonts w:ascii="Lato" w:hAnsi="Lato"/>
                <w:sz w:val="20"/>
                <w:szCs w:val="20"/>
              </w:rPr>
              <w:t xml:space="preserve"> </w:t>
            </w:r>
          </w:p>
          <w:p w:rsidR="006B024A" w:rsidRPr="00477116" w:rsidRDefault="006B024A" w:rsidP="00477116">
            <w:pPr>
              <w:ind w:firstLine="2"/>
              <w:rPr>
                <w:rFonts w:ascii="Lato" w:hAnsi="Lato"/>
                <w:sz w:val="20"/>
                <w:szCs w:val="20"/>
              </w:rPr>
            </w:pPr>
            <w:r w:rsidRPr="00477116">
              <w:rPr>
                <w:rFonts w:ascii="Lato" w:hAnsi="Lato"/>
                <w:sz w:val="20"/>
                <w:szCs w:val="20"/>
              </w:rPr>
              <w:t>8. Styropian</w:t>
            </w:r>
            <w:r w:rsidR="00477116">
              <w:rPr>
                <w:rFonts w:ascii="Lato" w:hAnsi="Lato"/>
                <w:sz w:val="20"/>
                <w:szCs w:val="20"/>
              </w:rPr>
              <w:t>.</w:t>
            </w:r>
            <w:r w:rsidRPr="00477116">
              <w:rPr>
                <w:rFonts w:ascii="Lato" w:hAnsi="Lato"/>
                <w:sz w:val="20"/>
                <w:szCs w:val="20"/>
              </w:rPr>
              <w:t xml:space="preserve"> </w:t>
            </w:r>
          </w:p>
          <w:p w:rsidR="006B024A" w:rsidRPr="00477116" w:rsidRDefault="006B024A" w:rsidP="00477116">
            <w:pPr>
              <w:ind w:firstLine="2"/>
              <w:rPr>
                <w:rFonts w:ascii="Lato" w:hAnsi="Lato"/>
                <w:sz w:val="20"/>
                <w:szCs w:val="20"/>
              </w:rPr>
            </w:pPr>
            <w:r w:rsidRPr="00477116">
              <w:rPr>
                <w:rFonts w:ascii="Lato" w:hAnsi="Lato"/>
                <w:sz w:val="20"/>
                <w:szCs w:val="20"/>
              </w:rPr>
              <w:t>9. Grunt rodzimy</w:t>
            </w:r>
            <w:r w:rsidR="00477116">
              <w:rPr>
                <w:rFonts w:ascii="Lato" w:hAnsi="Lato"/>
                <w:sz w:val="20"/>
                <w:szCs w:val="20"/>
              </w:rPr>
              <w:t>.</w:t>
            </w:r>
            <w:r w:rsidRPr="00477116">
              <w:rPr>
                <w:rFonts w:ascii="Lato" w:hAnsi="Lato"/>
                <w:sz w:val="20"/>
                <w:szCs w:val="20"/>
              </w:rPr>
              <w:t xml:space="preserve"> </w:t>
            </w:r>
          </w:p>
          <w:p w:rsidR="006B024A" w:rsidRDefault="006B024A" w:rsidP="00C3628E">
            <w:pPr>
              <w:ind w:firstLine="2"/>
              <w:rPr>
                <w:rFonts w:ascii="Lato" w:hAnsi="Lato"/>
                <w:sz w:val="20"/>
                <w:szCs w:val="20"/>
              </w:rPr>
            </w:pPr>
            <w:r w:rsidRPr="00477116">
              <w:rPr>
                <w:rFonts w:ascii="Lato" w:hAnsi="Lato"/>
                <w:sz w:val="20"/>
                <w:szCs w:val="20"/>
              </w:rPr>
              <w:t>10. Instalacja zraszająca</w:t>
            </w:r>
            <w:r w:rsidR="00477116">
              <w:rPr>
                <w:rFonts w:ascii="Lato" w:hAnsi="Lato"/>
                <w:sz w:val="20"/>
                <w:szCs w:val="20"/>
              </w:rPr>
              <w:t>.</w:t>
            </w:r>
          </w:p>
          <w:p w:rsidR="00C3628E" w:rsidRPr="00477116" w:rsidRDefault="00C3628E" w:rsidP="00C3628E">
            <w:pPr>
              <w:ind w:firstLine="2"/>
              <w:rPr>
                <w:rFonts w:ascii="Lato" w:hAnsi="Lato"/>
                <w:sz w:val="20"/>
                <w:szCs w:val="20"/>
              </w:rPr>
            </w:pPr>
          </w:p>
        </w:tc>
      </w:tr>
    </w:tbl>
    <w:p w:rsidR="006B024A" w:rsidRPr="00477116" w:rsidRDefault="006B024A" w:rsidP="00C3628E">
      <w:pPr>
        <w:spacing w:line="240" w:lineRule="auto"/>
        <w:ind w:firstLine="0"/>
        <w:jc w:val="center"/>
        <w:rPr>
          <w:rFonts w:ascii="Lato" w:hAnsi="Lato"/>
        </w:rPr>
      </w:pPr>
      <w:bookmarkStart w:id="319" w:name="_Toc273702858"/>
      <w:bookmarkStart w:id="320" w:name="_Toc328633174"/>
      <w:bookmarkStart w:id="321" w:name="_Toc336419392"/>
      <w:bookmarkStart w:id="322" w:name="_Toc336943709"/>
      <w:bookmarkStart w:id="323" w:name="_Toc20219248"/>
      <w:r w:rsidRPr="00477116">
        <w:rPr>
          <w:rFonts w:ascii="Lato" w:hAnsi="Lato"/>
          <w:b/>
          <w:bCs/>
          <w:color w:val="1F497D"/>
          <w:spacing w:val="-2"/>
          <w:sz w:val="20"/>
          <w:szCs w:val="20"/>
        </w:rPr>
        <w:t xml:space="preserve">Rysunek </w:t>
      </w:r>
      <w:r w:rsidR="004042AE" w:rsidRPr="00477116">
        <w:rPr>
          <w:rFonts w:ascii="Lato" w:hAnsi="Lato"/>
          <w:b/>
          <w:bCs/>
          <w:color w:val="1F497D"/>
          <w:spacing w:val="-2"/>
          <w:sz w:val="20"/>
          <w:szCs w:val="20"/>
        </w:rPr>
        <w:fldChar w:fldCharType="begin"/>
      </w:r>
      <w:r w:rsidR="005430ED" w:rsidRPr="00477116">
        <w:rPr>
          <w:rFonts w:ascii="Lato" w:hAnsi="Lato"/>
          <w:b/>
          <w:bCs/>
          <w:color w:val="1F497D"/>
          <w:spacing w:val="-2"/>
          <w:sz w:val="20"/>
          <w:szCs w:val="20"/>
        </w:rPr>
        <w:instrText xml:space="preserve"> STYLEREF 1 \s </w:instrText>
      </w:r>
      <w:r w:rsidR="004042AE" w:rsidRPr="00477116">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477116">
        <w:rPr>
          <w:rFonts w:ascii="Lato" w:hAnsi="Lato"/>
          <w:b/>
          <w:bCs/>
          <w:color w:val="1F497D"/>
          <w:spacing w:val="-2"/>
          <w:sz w:val="20"/>
          <w:szCs w:val="20"/>
        </w:rPr>
        <w:fldChar w:fldCharType="end"/>
      </w:r>
      <w:r w:rsidR="005430ED" w:rsidRPr="00477116">
        <w:rPr>
          <w:rFonts w:ascii="Lato" w:hAnsi="Lato"/>
          <w:b/>
          <w:bCs/>
          <w:color w:val="1F497D"/>
          <w:spacing w:val="-2"/>
          <w:sz w:val="20"/>
          <w:szCs w:val="20"/>
        </w:rPr>
        <w:noBreakHyphen/>
      </w:r>
      <w:r w:rsidR="004042AE" w:rsidRPr="00477116">
        <w:rPr>
          <w:rFonts w:ascii="Lato" w:hAnsi="Lato"/>
          <w:b/>
          <w:bCs/>
          <w:color w:val="1F497D"/>
          <w:spacing w:val="-2"/>
          <w:sz w:val="20"/>
          <w:szCs w:val="20"/>
        </w:rPr>
        <w:fldChar w:fldCharType="begin"/>
      </w:r>
      <w:r w:rsidR="005430ED" w:rsidRPr="00477116">
        <w:rPr>
          <w:rFonts w:ascii="Lato" w:hAnsi="Lato"/>
          <w:b/>
          <w:bCs/>
          <w:color w:val="1F497D"/>
          <w:spacing w:val="-2"/>
          <w:sz w:val="20"/>
          <w:szCs w:val="20"/>
        </w:rPr>
        <w:instrText xml:space="preserve"> SEQ Rysunek \* ARABIC \s 1 </w:instrText>
      </w:r>
      <w:r w:rsidR="004042AE" w:rsidRPr="00477116">
        <w:rPr>
          <w:rFonts w:ascii="Lato" w:hAnsi="Lato"/>
          <w:b/>
          <w:bCs/>
          <w:color w:val="1F497D"/>
          <w:spacing w:val="-2"/>
          <w:sz w:val="20"/>
          <w:szCs w:val="20"/>
        </w:rPr>
        <w:fldChar w:fldCharType="separate"/>
      </w:r>
      <w:r w:rsidR="0040205B">
        <w:rPr>
          <w:rFonts w:ascii="Lato" w:hAnsi="Lato"/>
          <w:b/>
          <w:bCs/>
          <w:noProof/>
          <w:color w:val="1F497D"/>
          <w:spacing w:val="-2"/>
          <w:sz w:val="20"/>
          <w:szCs w:val="20"/>
        </w:rPr>
        <w:t>7</w:t>
      </w:r>
      <w:r w:rsidR="004042AE" w:rsidRPr="00477116">
        <w:rPr>
          <w:rFonts w:ascii="Lato" w:hAnsi="Lato"/>
          <w:b/>
          <w:bCs/>
          <w:color w:val="1F497D"/>
          <w:spacing w:val="-2"/>
          <w:sz w:val="20"/>
          <w:szCs w:val="20"/>
        </w:rPr>
        <w:fldChar w:fldCharType="end"/>
      </w:r>
      <w:r w:rsidRPr="00477116">
        <w:rPr>
          <w:rFonts w:ascii="Lato" w:hAnsi="Lato"/>
          <w:b/>
          <w:bCs/>
          <w:color w:val="1F497D"/>
          <w:spacing w:val="-2"/>
          <w:sz w:val="20"/>
          <w:szCs w:val="20"/>
        </w:rPr>
        <w:t xml:space="preserve"> Schemat złoża gruntowego wymiennika ciepła</w:t>
      </w:r>
      <w:bookmarkEnd w:id="319"/>
      <w:bookmarkEnd w:id="320"/>
      <w:bookmarkEnd w:id="321"/>
      <w:bookmarkEnd w:id="322"/>
      <w:bookmarkEnd w:id="323"/>
    </w:p>
    <w:p w:rsidR="006B024A" w:rsidRPr="00477116" w:rsidRDefault="00477116" w:rsidP="00477116">
      <w:pPr>
        <w:ind w:firstLine="0"/>
        <w:jc w:val="center"/>
        <w:rPr>
          <w:rFonts w:ascii="Lato" w:hAnsi="Lato"/>
          <w:b/>
          <w:bCs/>
          <w:i/>
          <w:iCs/>
          <w:szCs w:val="22"/>
        </w:rPr>
      </w:pPr>
      <w:r w:rsidRPr="00477116">
        <w:rPr>
          <w:rFonts w:ascii="Lato" w:hAnsi="Lato"/>
          <w:i/>
          <w:sz w:val="20"/>
          <w:szCs w:val="20"/>
        </w:rPr>
        <w:t>Ź</w:t>
      </w:r>
      <w:r w:rsidR="00F64114" w:rsidRPr="00477116">
        <w:rPr>
          <w:rFonts w:ascii="Lato" w:hAnsi="Lato"/>
          <w:i/>
          <w:sz w:val="20"/>
          <w:szCs w:val="20"/>
        </w:rPr>
        <w:t>ródło: www.taniaklima.pl</w:t>
      </w:r>
    </w:p>
    <w:p w:rsidR="00477116" w:rsidRDefault="00477116" w:rsidP="00D153EC">
      <w:pPr>
        <w:ind w:firstLine="709"/>
        <w:jc w:val="both"/>
        <w:rPr>
          <w:rFonts w:ascii="Lato" w:hAnsi="Lato"/>
          <w:szCs w:val="22"/>
        </w:rPr>
      </w:pPr>
    </w:p>
    <w:p w:rsidR="006B024A" w:rsidRPr="00477116" w:rsidRDefault="006B024A" w:rsidP="00D153EC">
      <w:pPr>
        <w:ind w:firstLine="709"/>
        <w:jc w:val="both"/>
        <w:rPr>
          <w:rFonts w:ascii="Lato" w:hAnsi="Lato"/>
          <w:szCs w:val="22"/>
        </w:rPr>
      </w:pPr>
      <w:r w:rsidRPr="00477116">
        <w:rPr>
          <w:rFonts w:ascii="Lato" w:hAnsi="Lato"/>
          <w:szCs w:val="22"/>
        </w:rPr>
        <w:t>Wg danych z wykonanych pomiarów na istniejącej instalacji tego typu w dużym budynku biurowym przy temperaturze zewnętrznej około -20</w:t>
      </w:r>
      <w:r w:rsidRPr="00477116">
        <w:rPr>
          <w:rFonts w:ascii="Lato" w:hAnsi="Lato"/>
          <w:szCs w:val="22"/>
          <w:vertAlign w:val="superscript"/>
        </w:rPr>
        <w:t>0</w:t>
      </w:r>
      <w:r w:rsidRPr="00477116">
        <w:rPr>
          <w:rFonts w:ascii="Lato" w:hAnsi="Lato"/>
          <w:szCs w:val="22"/>
        </w:rPr>
        <w:t>C wymienniki podgrzewały powietrze do 0</w:t>
      </w:r>
      <w:r w:rsidRPr="00477116">
        <w:rPr>
          <w:rFonts w:ascii="Lato" w:hAnsi="Lato"/>
          <w:szCs w:val="22"/>
          <w:vertAlign w:val="superscript"/>
        </w:rPr>
        <w:t>0</w:t>
      </w:r>
      <w:r w:rsidR="00D153EC" w:rsidRPr="00477116">
        <w:rPr>
          <w:rFonts w:ascii="Lato" w:hAnsi="Lato"/>
          <w:szCs w:val="22"/>
        </w:rPr>
        <w:t>C, w </w:t>
      </w:r>
      <w:r w:rsidRPr="00477116">
        <w:rPr>
          <w:rFonts w:ascii="Lato" w:hAnsi="Lato"/>
          <w:szCs w:val="22"/>
        </w:rPr>
        <w:t>przypadku wyłączania ich na okres nocny. Przy pracy bez p</w:t>
      </w:r>
      <w:r w:rsidR="00D153EC" w:rsidRPr="00477116">
        <w:rPr>
          <w:rFonts w:ascii="Lato" w:hAnsi="Lato"/>
          <w:szCs w:val="22"/>
        </w:rPr>
        <w:t>rzerwy temperatura powietrza za </w:t>
      </w:r>
      <w:r w:rsidRPr="00477116">
        <w:rPr>
          <w:rFonts w:ascii="Lato" w:hAnsi="Lato"/>
          <w:szCs w:val="22"/>
        </w:rPr>
        <w:t>wymiennikami spadła do -5</w:t>
      </w:r>
      <w:r w:rsidRPr="00477116">
        <w:rPr>
          <w:rFonts w:ascii="Lato" w:hAnsi="Lato"/>
          <w:szCs w:val="22"/>
          <w:vertAlign w:val="superscript"/>
        </w:rPr>
        <w:t>0</w:t>
      </w:r>
      <w:r w:rsidRPr="00477116">
        <w:rPr>
          <w:rFonts w:ascii="Lato" w:hAnsi="Lato"/>
          <w:szCs w:val="22"/>
        </w:rPr>
        <w:t>C.</w:t>
      </w:r>
    </w:p>
    <w:p w:rsidR="006B024A" w:rsidRPr="00477116" w:rsidRDefault="006B024A" w:rsidP="00D153EC">
      <w:pPr>
        <w:ind w:firstLine="709"/>
        <w:jc w:val="both"/>
        <w:rPr>
          <w:rFonts w:ascii="Lato" w:hAnsi="Lato"/>
          <w:szCs w:val="22"/>
        </w:rPr>
      </w:pPr>
      <w:r w:rsidRPr="00477116">
        <w:rPr>
          <w:rFonts w:ascii="Lato" w:hAnsi="Lato"/>
          <w:szCs w:val="22"/>
        </w:rPr>
        <w:t>Podczas lata przy temperaturze zewnętrznej 24</w:t>
      </w:r>
      <w:r w:rsidRPr="00477116">
        <w:rPr>
          <w:rFonts w:ascii="Lato" w:hAnsi="Lato"/>
          <w:szCs w:val="22"/>
          <w:vertAlign w:val="superscript"/>
        </w:rPr>
        <w:t>0</w:t>
      </w:r>
      <w:r w:rsidRPr="00477116">
        <w:rPr>
          <w:rFonts w:ascii="Lato" w:hAnsi="Lato"/>
          <w:szCs w:val="22"/>
        </w:rPr>
        <w:t>C, za wymiennikami uzyskano temperaturę 14</w:t>
      </w:r>
      <w:r w:rsidRPr="00477116">
        <w:rPr>
          <w:rFonts w:ascii="Lato" w:hAnsi="Lato"/>
          <w:szCs w:val="22"/>
          <w:vertAlign w:val="superscript"/>
        </w:rPr>
        <w:t>0</w:t>
      </w:r>
      <w:r w:rsidRPr="00477116">
        <w:rPr>
          <w:rFonts w:ascii="Lato" w:hAnsi="Lato"/>
          <w:szCs w:val="22"/>
        </w:rPr>
        <w:t>C, co pozwala na poprawę mikroklimatu w budynku.</w:t>
      </w:r>
    </w:p>
    <w:p w:rsidR="004B329B" w:rsidRPr="00D352C4" w:rsidRDefault="004B329B" w:rsidP="00D153EC">
      <w:pPr>
        <w:ind w:firstLine="709"/>
        <w:jc w:val="both"/>
        <w:rPr>
          <w:rFonts w:ascii="Lato" w:hAnsi="Lato"/>
          <w:szCs w:val="22"/>
          <w:highlight w:val="yellow"/>
        </w:rPr>
      </w:pPr>
    </w:p>
    <w:p w:rsidR="006B024A" w:rsidRPr="00477116" w:rsidRDefault="006B024A" w:rsidP="00AC7FFC">
      <w:pPr>
        <w:spacing w:before="100" w:beforeAutospacing="1"/>
        <w:ind w:firstLine="0"/>
        <w:jc w:val="both"/>
        <w:rPr>
          <w:rFonts w:ascii="Lato" w:hAnsi="Lato"/>
          <w:b/>
          <w:i/>
          <w:szCs w:val="22"/>
        </w:rPr>
      </w:pPr>
      <w:bookmarkStart w:id="324" w:name="_Toc303673569"/>
      <w:r w:rsidRPr="00477116">
        <w:rPr>
          <w:rFonts w:ascii="Lato" w:hAnsi="Lato"/>
          <w:b/>
          <w:i/>
          <w:szCs w:val="22"/>
        </w:rPr>
        <w:t>Przykład analizy techniczno-ekonomicznej dla zastosowania pompy ciepła na potrzeby ogrzewania pomieszczeń w domu jednorodzinnym w programie RETScreen International</w:t>
      </w:r>
    </w:p>
    <w:p w:rsidR="00AC7FFC" w:rsidRPr="00D352C4" w:rsidRDefault="00AC7FFC" w:rsidP="00AC7FFC">
      <w:pPr>
        <w:ind w:firstLine="0"/>
        <w:jc w:val="both"/>
        <w:rPr>
          <w:rFonts w:ascii="Lato" w:hAnsi="Lato"/>
          <w:b/>
          <w:i/>
          <w:szCs w:val="22"/>
          <w:highlight w:val="yellow"/>
        </w:rPr>
      </w:pPr>
    </w:p>
    <w:p w:rsidR="0013671C" w:rsidRPr="00D352C4" w:rsidRDefault="0006260E" w:rsidP="00AC7FFC">
      <w:pPr>
        <w:spacing w:after="100" w:afterAutospacing="1"/>
        <w:ind w:firstLine="0"/>
        <w:jc w:val="both"/>
        <w:rPr>
          <w:rFonts w:ascii="Lato" w:hAnsi="Lato"/>
          <w:b/>
          <w:i/>
          <w:szCs w:val="22"/>
          <w:highlight w:val="yellow"/>
        </w:rPr>
      </w:pPr>
      <w:r>
        <w:rPr>
          <w:rFonts w:ascii="Lato" w:hAnsi="Lato"/>
          <w:b/>
          <w:i/>
          <w:noProof/>
          <w:szCs w:val="22"/>
        </w:rPr>
        <w:drawing>
          <wp:inline distT="0" distB="0" distL="0" distR="0" wp14:anchorId="5CF9DD6F" wp14:editId="78B0DE56">
            <wp:extent cx="5948680" cy="748030"/>
            <wp:effectExtent l="19050" t="19050" r="13970" b="13970"/>
            <wp:docPr id="49"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65">
                      <a:extLst>
                        <a:ext uri="{28A0092B-C50C-407E-A947-70E740481C1C}">
                          <a14:useLocalDpi xmlns:a14="http://schemas.microsoft.com/office/drawing/2010/main" val="0"/>
                        </a:ext>
                      </a:extLst>
                    </a:blip>
                    <a:srcRect t="11069" r="21446" b="73152"/>
                    <a:stretch>
                      <a:fillRect/>
                    </a:stretch>
                  </pic:blipFill>
                  <pic:spPr bwMode="auto">
                    <a:xfrm>
                      <a:off x="0" y="0"/>
                      <a:ext cx="5948680" cy="748030"/>
                    </a:xfrm>
                    <a:prstGeom prst="rect">
                      <a:avLst/>
                    </a:prstGeom>
                    <a:noFill/>
                    <a:ln w="6350" cmpd="sng">
                      <a:solidFill>
                        <a:srgbClr val="000000"/>
                      </a:solidFill>
                      <a:miter lim="800000"/>
                      <a:headEnd/>
                      <a:tailEnd/>
                    </a:ln>
                    <a:effectLst/>
                  </pic:spPr>
                </pic:pic>
              </a:graphicData>
            </a:graphic>
          </wp:inline>
        </w:drawing>
      </w:r>
    </w:p>
    <w:p w:rsidR="006B024A" w:rsidRPr="00477116" w:rsidRDefault="006B024A" w:rsidP="006B024A">
      <w:pPr>
        <w:spacing w:before="100" w:beforeAutospacing="1" w:after="100" w:afterAutospacing="1"/>
        <w:ind w:firstLine="0"/>
        <w:jc w:val="both"/>
        <w:rPr>
          <w:rFonts w:ascii="Lato" w:hAnsi="Lato"/>
          <w:szCs w:val="22"/>
          <w:u w:val="single"/>
        </w:rPr>
      </w:pPr>
      <w:r w:rsidRPr="00477116">
        <w:rPr>
          <w:rFonts w:ascii="Lato" w:hAnsi="Lato"/>
          <w:szCs w:val="22"/>
          <w:u w:val="single"/>
        </w:rPr>
        <w:t>Założenia do analizy:</w:t>
      </w:r>
    </w:p>
    <w:p w:rsidR="006B024A" w:rsidRPr="00477116" w:rsidRDefault="006B024A" w:rsidP="00D153EC">
      <w:pPr>
        <w:ind w:firstLine="709"/>
        <w:jc w:val="both"/>
        <w:rPr>
          <w:rFonts w:ascii="Lato" w:hAnsi="Lato"/>
          <w:szCs w:val="22"/>
        </w:rPr>
      </w:pPr>
      <w:r w:rsidRPr="00477116">
        <w:rPr>
          <w:rFonts w:ascii="Lato" w:hAnsi="Lato"/>
          <w:szCs w:val="22"/>
        </w:rPr>
        <w:t xml:space="preserve">Analizę techniczno-ekonomiczną dla zastosowania sprężarkowej pompy ciepła jako źródła ciepła do celów grzewczych przeprowadzono porównując to rozwiązanie techniczne jako alternatywne dla źródła węglowego i źródła ciepła na gaz ziemny dla budynku z zaprojektowaną instalacją </w:t>
      </w:r>
      <w:r w:rsidR="00EF2933" w:rsidRPr="00477116">
        <w:rPr>
          <w:rFonts w:ascii="Lato" w:hAnsi="Lato"/>
          <w:szCs w:val="22"/>
        </w:rPr>
        <w:t xml:space="preserve">wodną </w:t>
      </w:r>
      <w:r w:rsidRPr="00477116">
        <w:rPr>
          <w:rFonts w:ascii="Lato" w:hAnsi="Lato"/>
          <w:szCs w:val="22"/>
        </w:rPr>
        <w:t>c.o., przystosowaną do parametrów niskotemperaturowych.</w:t>
      </w:r>
    </w:p>
    <w:p w:rsidR="00AC7FFC" w:rsidRPr="00477116" w:rsidRDefault="00AC7FFC" w:rsidP="00D153EC">
      <w:pPr>
        <w:ind w:firstLine="709"/>
        <w:jc w:val="both"/>
        <w:rPr>
          <w:rFonts w:ascii="Lato" w:hAnsi="Lato"/>
          <w:szCs w:val="22"/>
        </w:rPr>
      </w:pPr>
    </w:p>
    <w:p w:rsidR="006B024A" w:rsidRPr="00477116" w:rsidRDefault="006B024A" w:rsidP="006B024A">
      <w:pPr>
        <w:ind w:firstLine="0"/>
        <w:jc w:val="both"/>
        <w:rPr>
          <w:rFonts w:ascii="Lato" w:hAnsi="Lato"/>
          <w:szCs w:val="22"/>
        </w:rPr>
      </w:pPr>
      <w:r w:rsidRPr="00477116">
        <w:rPr>
          <w:rFonts w:ascii="Lato" w:hAnsi="Lato"/>
          <w:szCs w:val="22"/>
        </w:rPr>
        <w:t xml:space="preserve">Obliczenia przeprowadzono dla budynku mieszkalnego o następującej charakterystyce: </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budynek jednorodz</w:t>
      </w:r>
      <w:r w:rsidR="0013671C" w:rsidRPr="006A496C">
        <w:rPr>
          <w:rFonts w:ascii="Lato" w:hAnsi="Lato" w:cs="Times New Roman"/>
        </w:rPr>
        <w:t>inny o powierzchni użytkowej 1</w:t>
      </w:r>
      <w:r w:rsidR="00B6497A" w:rsidRPr="006A496C">
        <w:rPr>
          <w:rFonts w:ascii="Lato" w:hAnsi="Lato" w:cs="Times New Roman"/>
        </w:rPr>
        <w:t>12</w:t>
      </w:r>
      <w:r w:rsidRPr="006A496C">
        <w:rPr>
          <w:rFonts w:ascii="Lato" w:hAnsi="Lato" w:cs="Times New Roman"/>
        </w:rPr>
        <w:t xml:space="preserve"> m</w:t>
      </w:r>
      <w:r w:rsidRPr="00B83BEC">
        <w:rPr>
          <w:rFonts w:ascii="Lato" w:hAnsi="Lato" w:cs="Times New Roman"/>
          <w:vertAlign w:val="superscript"/>
        </w:rPr>
        <w:t>2</w:t>
      </w:r>
      <w:r w:rsidRPr="006A496C">
        <w:rPr>
          <w:rFonts w:ascii="Lato" w:hAnsi="Lato" w:cs="Times New Roman"/>
        </w:rPr>
        <w:t xml:space="preserve">, </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 xml:space="preserve">jednostkowe zapotrzebowanie na ciepło wynosi </w:t>
      </w:r>
      <w:r w:rsidR="007E6DD1" w:rsidRPr="006A496C">
        <w:rPr>
          <w:rFonts w:ascii="Lato" w:hAnsi="Lato" w:cs="Times New Roman"/>
        </w:rPr>
        <w:t>71</w:t>
      </w:r>
      <w:r w:rsidRPr="006A496C">
        <w:rPr>
          <w:rFonts w:ascii="Lato" w:hAnsi="Lato" w:cs="Times New Roman"/>
        </w:rPr>
        <w:t xml:space="preserve"> W/m</w:t>
      </w:r>
      <w:r w:rsidRPr="00B83BEC">
        <w:rPr>
          <w:rFonts w:ascii="Lato" w:hAnsi="Lato" w:cs="Times New Roman"/>
          <w:vertAlign w:val="superscript"/>
        </w:rPr>
        <w:t>2</w:t>
      </w:r>
      <w:r w:rsidRPr="006A496C">
        <w:rPr>
          <w:rFonts w:ascii="Lato" w:hAnsi="Lato" w:cs="Times New Roman"/>
        </w:rPr>
        <w:t xml:space="preserve">, </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lastRenderedPageBreak/>
        <w:t>zapotrzebowanie na moc</w:t>
      </w:r>
      <w:r w:rsidR="0013671C" w:rsidRPr="006A496C">
        <w:rPr>
          <w:rFonts w:ascii="Lato" w:hAnsi="Lato" w:cs="Times New Roman"/>
        </w:rPr>
        <w:t xml:space="preserve"> na potrzeby ogrzewania około </w:t>
      </w:r>
      <w:r w:rsidR="007E6DD1" w:rsidRPr="006A496C">
        <w:rPr>
          <w:rFonts w:ascii="Lato" w:hAnsi="Lato" w:cs="Times New Roman"/>
        </w:rPr>
        <w:t>8</w:t>
      </w:r>
      <w:r w:rsidRPr="006A496C">
        <w:rPr>
          <w:rFonts w:ascii="Lato" w:hAnsi="Lato" w:cs="Times New Roman"/>
        </w:rPr>
        <w:t xml:space="preserve"> kW,</w:t>
      </w:r>
    </w:p>
    <w:p w:rsidR="0013671C" w:rsidRPr="006A496C" w:rsidRDefault="0013671C"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 xml:space="preserve">jednostkowe zużycie ciepła wynosi </w:t>
      </w:r>
      <w:r w:rsidR="00B6497A" w:rsidRPr="006A496C">
        <w:rPr>
          <w:rFonts w:ascii="Lato" w:hAnsi="Lato" w:cs="Times New Roman"/>
        </w:rPr>
        <w:t>0,</w:t>
      </w:r>
      <w:r w:rsidR="007E6DD1" w:rsidRPr="006A496C">
        <w:rPr>
          <w:rFonts w:ascii="Lato" w:hAnsi="Lato" w:cs="Times New Roman"/>
        </w:rPr>
        <w:t>58</w:t>
      </w:r>
      <w:r w:rsidRPr="006A496C">
        <w:rPr>
          <w:rFonts w:ascii="Lato" w:hAnsi="Lato" w:cs="Times New Roman"/>
        </w:rPr>
        <w:t xml:space="preserve"> GJ/m</w:t>
      </w:r>
      <w:r w:rsidRPr="00B83BEC">
        <w:rPr>
          <w:rFonts w:ascii="Lato" w:hAnsi="Lato" w:cs="Times New Roman"/>
          <w:vertAlign w:val="superscript"/>
        </w:rPr>
        <w:t>2</w:t>
      </w:r>
      <w:r w:rsidRPr="006A496C">
        <w:rPr>
          <w:rFonts w:ascii="Lato" w:hAnsi="Lato" w:cs="Times New Roman"/>
        </w:rPr>
        <w:t>,</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 xml:space="preserve">zużycie ciepła </w:t>
      </w:r>
      <w:r w:rsidR="007E6DD1" w:rsidRPr="006A496C">
        <w:rPr>
          <w:rFonts w:ascii="Lato" w:hAnsi="Lato" w:cs="Times New Roman"/>
        </w:rPr>
        <w:t>65</w:t>
      </w:r>
      <w:r w:rsidRPr="006A496C">
        <w:rPr>
          <w:rFonts w:ascii="Lato" w:hAnsi="Lato" w:cs="Times New Roman"/>
        </w:rPr>
        <w:t xml:space="preserve"> GJ/rok.</w:t>
      </w:r>
    </w:p>
    <w:p w:rsidR="0013671C" w:rsidRPr="00D352C4" w:rsidRDefault="0013671C" w:rsidP="006B024A">
      <w:pPr>
        <w:ind w:firstLine="0"/>
        <w:jc w:val="both"/>
        <w:rPr>
          <w:rFonts w:ascii="Lato" w:hAnsi="Lato"/>
          <w:i/>
          <w:szCs w:val="22"/>
          <w:highlight w:val="yellow"/>
        </w:rPr>
      </w:pPr>
    </w:p>
    <w:p w:rsidR="006B024A" w:rsidRDefault="006B024A" w:rsidP="006B024A">
      <w:pPr>
        <w:ind w:firstLine="0"/>
        <w:jc w:val="both"/>
        <w:rPr>
          <w:rFonts w:ascii="Lato" w:hAnsi="Lato"/>
          <w:i/>
          <w:szCs w:val="22"/>
        </w:rPr>
      </w:pPr>
      <w:r w:rsidRPr="006A410D">
        <w:rPr>
          <w:rFonts w:ascii="Lato" w:hAnsi="Lato"/>
          <w:i/>
          <w:szCs w:val="22"/>
        </w:rPr>
        <w:t>Dane techniczno-ekonomiczne dla źródeł ciepła:</w:t>
      </w:r>
    </w:p>
    <w:p w:rsidR="000B267A" w:rsidRPr="006A410D" w:rsidRDefault="000B267A" w:rsidP="006B024A">
      <w:pPr>
        <w:ind w:firstLine="0"/>
        <w:jc w:val="both"/>
        <w:rPr>
          <w:rFonts w:ascii="Lato" w:hAnsi="Lato"/>
          <w:i/>
          <w:szCs w:val="22"/>
        </w:rPr>
      </w:pPr>
    </w:p>
    <w:p w:rsidR="006B024A" w:rsidRPr="006A410D" w:rsidRDefault="006B024A" w:rsidP="006B024A">
      <w:pPr>
        <w:ind w:firstLine="0"/>
        <w:jc w:val="both"/>
        <w:rPr>
          <w:rFonts w:ascii="Lato" w:hAnsi="Lato"/>
          <w:szCs w:val="22"/>
        </w:rPr>
      </w:pPr>
      <w:r w:rsidRPr="006A410D">
        <w:rPr>
          <w:rFonts w:ascii="Lato" w:hAnsi="Lato"/>
          <w:szCs w:val="22"/>
        </w:rPr>
        <w:t>Ogrzewanie za pomocą pompy ciepła z wymiennikiem gruntowym poziomym</w:t>
      </w:r>
      <w:r w:rsidR="00477116" w:rsidRPr="006A410D">
        <w:rPr>
          <w:rFonts w:ascii="Lato" w:hAnsi="Lato"/>
          <w:szCs w:val="22"/>
        </w:rPr>
        <w:t>:</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 xml:space="preserve">cena - energia elektryczna: </w:t>
      </w:r>
      <w:r w:rsidR="007E6DD1" w:rsidRPr="006A496C">
        <w:rPr>
          <w:rFonts w:ascii="Lato" w:hAnsi="Lato" w:cs="Times New Roman"/>
        </w:rPr>
        <w:t xml:space="preserve">ok. </w:t>
      </w:r>
      <w:r w:rsidRPr="006A496C">
        <w:rPr>
          <w:rFonts w:ascii="Lato" w:hAnsi="Lato" w:cs="Times New Roman"/>
        </w:rPr>
        <w:t>0,</w:t>
      </w:r>
      <w:r w:rsidR="007E6DD1" w:rsidRPr="006A496C">
        <w:rPr>
          <w:rFonts w:ascii="Lato" w:hAnsi="Lato" w:cs="Times New Roman"/>
        </w:rPr>
        <w:t>60</w:t>
      </w:r>
      <w:r w:rsidRPr="006A496C">
        <w:rPr>
          <w:rFonts w:ascii="Lato" w:hAnsi="Lato" w:cs="Times New Roman"/>
        </w:rPr>
        <w:t xml:space="preserve"> zł/kWh,</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współczynnik efektywności systemu grzewczego (COP): 3.5,</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koszt instalacji źródła: 35 000 zł (od kosztu pompy ciepła odjęto koszt kotła węglowego na ekoret 10 000 zł, a w przypadku kotła gazowego – 12 000 zł),</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 xml:space="preserve">roczny koszt ogrzewania: </w:t>
      </w:r>
      <w:r w:rsidR="000041B6" w:rsidRPr="006A496C">
        <w:rPr>
          <w:rFonts w:ascii="Lato" w:hAnsi="Lato" w:cs="Times New Roman"/>
        </w:rPr>
        <w:t>2 904</w:t>
      </w:r>
      <w:r w:rsidR="00B83BEC">
        <w:rPr>
          <w:rFonts w:ascii="Lato" w:hAnsi="Lato" w:cs="Times New Roman"/>
        </w:rPr>
        <w:t xml:space="preserve"> zł/rok.</w:t>
      </w:r>
    </w:p>
    <w:p w:rsidR="00AC7FFC" w:rsidRPr="006A410D" w:rsidRDefault="00AC7FFC" w:rsidP="00AC7FFC">
      <w:pPr>
        <w:ind w:left="720" w:firstLine="0"/>
        <w:jc w:val="both"/>
        <w:rPr>
          <w:rFonts w:ascii="Lato" w:hAnsi="Lato"/>
          <w:szCs w:val="22"/>
        </w:rPr>
      </w:pPr>
    </w:p>
    <w:p w:rsidR="006B024A" w:rsidRPr="006A410D" w:rsidRDefault="006B024A" w:rsidP="006B024A">
      <w:pPr>
        <w:ind w:firstLine="0"/>
        <w:jc w:val="both"/>
        <w:rPr>
          <w:rFonts w:ascii="Lato" w:hAnsi="Lato"/>
          <w:szCs w:val="22"/>
        </w:rPr>
      </w:pPr>
      <w:r w:rsidRPr="006A410D">
        <w:rPr>
          <w:rFonts w:ascii="Lato" w:hAnsi="Lato"/>
          <w:szCs w:val="22"/>
        </w:rPr>
        <w:t>Ogrzewanie za pomocą kotła węglowego niskotemperaturowego z automatycznym podajnikiem:</w:t>
      </w:r>
    </w:p>
    <w:p w:rsidR="006B024A" w:rsidRPr="006A496C" w:rsidRDefault="007E6DD1"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 xml:space="preserve">cena </w:t>
      </w:r>
      <w:r w:rsidR="00B83BEC">
        <w:rPr>
          <w:rFonts w:ascii="Lato" w:hAnsi="Lato" w:cs="Times New Roman"/>
        </w:rPr>
        <w:t>–</w:t>
      </w:r>
      <w:r w:rsidRPr="006A496C">
        <w:rPr>
          <w:rFonts w:ascii="Lato" w:hAnsi="Lato" w:cs="Times New Roman"/>
        </w:rPr>
        <w:t xml:space="preserve"> węgiel ekoret: 9</w:t>
      </w:r>
      <w:r w:rsidR="006B024A" w:rsidRPr="006A496C">
        <w:rPr>
          <w:rFonts w:ascii="Lato" w:hAnsi="Lato" w:cs="Times New Roman"/>
        </w:rPr>
        <w:t>00 zł/Mg z VAT i transportem,</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wartość opałowa paliwa 25 MJ/kg,</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sprawność systemu grzewczego: 80%,</w:t>
      </w:r>
    </w:p>
    <w:p w:rsidR="006B024A"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 xml:space="preserve">roczny koszt ogrzewania: </w:t>
      </w:r>
      <w:r w:rsidR="000041B6" w:rsidRPr="006A496C">
        <w:rPr>
          <w:rFonts w:ascii="Lato" w:hAnsi="Lato" w:cs="Times New Roman"/>
        </w:rPr>
        <w:t>2 744</w:t>
      </w:r>
      <w:r w:rsidRPr="006A496C">
        <w:rPr>
          <w:rFonts w:ascii="Lato" w:hAnsi="Lato" w:cs="Times New Roman"/>
        </w:rPr>
        <w:t xml:space="preserve"> zł/rok.</w:t>
      </w:r>
    </w:p>
    <w:p w:rsidR="000B267A" w:rsidRPr="006A496C" w:rsidRDefault="000B267A" w:rsidP="000B267A">
      <w:pPr>
        <w:pStyle w:val="Tekstpodstawowy"/>
        <w:ind w:left="709"/>
        <w:rPr>
          <w:rFonts w:ascii="Lato" w:hAnsi="Lato" w:cs="Times New Roman"/>
        </w:rPr>
      </w:pPr>
    </w:p>
    <w:p w:rsidR="006B024A" w:rsidRPr="006A410D" w:rsidRDefault="0006260E" w:rsidP="006B024A">
      <w:pPr>
        <w:ind w:firstLine="0"/>
        <w:jc w:val="both"/>
        <w:rPr>
          <w:rFonts w:ascii="Lato" w:hAnsi="Lato"/>
          <w:szCs w:val="22"/>
        </w:rPr>
      </w:pPr>
      <w:r>
        <w:rPr>
          <w:rFonts w:ascii="Lato" w:hAnsi="Lato"/>
          <w:noProof/>
        </w:rPr>
        <w:drawing>
          <wp:inline distT="0" distB="0" distL="0" distR="0" wp14:anchorId="344E827A" wp14:editId="42F0581D">
            <wp:extent cx="5967730" cy="3276600"/>
            <wp:effectExtent l="0" t="0" r="0" b="0"/>
            <wp:docPr id="50"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7730" cy="3276600"/>
                    </a:xfrm>
                    <a:prstGeom prst="rect">
                      <a:avLst/>
                    </a:prstGeom>
                    <a:noFill/>
                    <a:ln>
                      <a:noFill/>
                    </a:ln>
                  </pic:spPr>
                </pic:pic>
              </a:graphicData>
            </a:graphic>
          </wp:inline>
        </w:drawing>
      </w:r>
    </w:p>
    <w:p w:rsidR="006B024A" w:rsidRPr="006A410D" w:rsidRDefault="006B024A" w:rsidP="00CD2C0A">
      <w:pPr>
        <w:spacing w:line="240" w:lineRule="auto"/>
        <w:ind w:firstLine="0"/>
        <w:jc w:val="center"/>
        <w:rPr>
          <w:rFonts w:ascii="Lato" w:hAnsi="Lato"/>
          <w:b/>
          <w:bCs/>
          <w:color w:val="1F497D"/>
          <w:spacing w:val="-2"/>
          <w:sz w:val="20"/>
          <w:szCs w:val="20"/>
        </w:rPr>
      </w:pPr>
      <w:bookmarkStart w:id="325" w:name="_Toc323204737"/>
      <w:bookmarkStart w:id="326" w:name="_Toc328633175"/>
      <w:bookmarkStart w:id="327" w:name="_Toc336419393"/>
      <w:bookmarkStart w:id="328" w:name="_Toc336943710"/>
      <w:bookmarkStart w:id="329" w:name="_Toc20219249"/>
      <w:r w:rsidRPr="006A410D">
        <w:rPr>
          <w:rFonts w:ascii="Lato" w:hAnsi="Lato"/>
          <w:b/>
          <w:bCs/>
          <w:color w:val="1F497D"/>
          <w:spacing w:val="-2"/>
          <w:sz w:val="20"/>
          <w:szCs w:val="20"/>
        </w:rPr>
        <w:t xml:space="preserve">Rysunek </w:t>
      </w:r>
      <w:r w:rsidR="004042AE" w:rsidRPr="006A410D">
        <w:rPr>
          <w:rFonts w:ascii="Lato" w:hAnsi="Lato"/>
          <w:b/>
          <w:bCs/>
          <w:color w:val="1F497D"/>
          <w:spacing w:val="-2"/>
          <w:sz w:val="20"/>
          <w:szCs w:val="20"/>
        </w:rPr>
        <w:fldChar w:fldCharType="begin"/>
      </w:r>
      <w:r w:rsidR="005430ED" w:rsidRPr="006A410D">
        <w:rPr>
          <w:rFonts w:ascii="Lato" w:hAnsi="Lato"/>
          <w:b/>
          <w:bCs/>
          <w:color w:val="1F497D"/>
          <w:spacing w:val="-2"/>
          <w:sz w:val="20"/>
          <w:szCs w:val="20"/>
        </w:rPr>
        <w:instrText xml:space="preserve"> STYLEREF 1 \s </w:instrText>
      </w:r>
      <w:r w:rsidR="004042AE" w:rsidRPr="006A410D">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6A410D">
        <w:rPr>
          <w:rFonts w:ascii="Lato" w:hAnsi="Lato"/>
          <w:b/>
          <w:bCs/>
          <w:color w:val="1F497D"/>
          <w:spacing w:val="-2"/>
          <w:sz w:val="20"/>
          <w:szCs w:val="20"/>
        </w:rPr>
        <w:fldChar w:fldCharType="end"/>
      </w:r>
      <w:r w:rsidR="005430ED" w:rsidRPr="006A410D">
        <w:rPr>
          <w:rFonts w:ascii="Lato" w:hAnsi="Lato"/>
          <w:b/>
          <w:bCs/>
          <w:color w:val="1F497D"/>
          <w:spacing w:val="-2"/>
          <w:sz w:val="20"/>
          <w:szCs w:val="20"/>
        </w:rPr>
        <w:noBreakHyphen/>
      </w:r>
      <w:r w:rsidR="004042AE" w:rsidRPr="006A410D">
        <w:rPr>
          <w:rFonts w:ascii="Lato" w:hAnsi="Lato"/>
          <w:b/>
          <w:bCs/>
          <w:color w:val="1F497D"/>
          <w:spacing w:val="-2"/>
          <w:sz w:val="20"/>
          <w:szCs w:val="20"/>
        </w:rPr>
        <w:fldChar w:fldCharType="begin"/>
      </w:r>
      <w:r w:rsidR="005430ED" w:rsidRPr="006A410D">
        <w:rPr>
          <w:rFonts w:ascii="Lato" w:hAnsi="Lato"/>
          <w:b/>
          <w:bCs/>
          <w:color w:val="1F497D"/>
          <w:spacing w:val="-2"/>
          <w:sz w:val="20"/>
          <w:szCs w:val="20"/>
        </w:rPr>
        <w:instrText xml:space="preserve"> SEQ Rysunek \* ARABIC \s 1 </w:instrText>
      </w:r>
      <w:r w:rsidR="004042AE" w:rsidRPr="006A410D">
        <w:rPr>
          <w:rFonts w:ascii="Lato" w:hAnsi="Lato"/>
          <w:b/>
          <w:bCs/>
          <w:color w:val="1F497D"/>
          <w:spacing w:val="-2"/>
          <w:sz w:val="20"/>
          <w:szCs w:val="20"/>
        </w:rPr>
        <w:fldChar w:fldCharType="separate"/>
      </w:r>
      <w:r w:rsidR="0040205B">
        <w:rPr>
          <w:rFonts w:ascii="Lato" w:hAnsi="Lato"/>
          <w:b/>
          <w:bCs/>
          <w:noProof/>
          <w:color w:val="1F497D"/>
          <w:spacing w:val="-2"/>
          <w:sz w:val="20"/>
          <w:szCs w:val="20"/>
        </w:rPr>
        <w:t>8</w:t>
      </w:r>
      <w:r w:rsidR="004042AE" w:rsidRPr="006A410D">
        <w:rPr>
          <w:rFonts w:ascii="Lato" w:hAnsi="Lato"/>
          <w:b/>
          <w:bCs/>
          <w:color w:val="1F497D"/>
          <w:spacing w:val="-2"/>
          <w:sz w:val="20"/>
          <w:szCs w:val="20"/>
        </w:rPr>
        <w:fldChar w:fldCharType="end"/>
      </w:r>
      <w:r w:rsidRPr="006A410D">
        <w:rPr>
          <w:rFonts w:ascii="Lato" w:hAnsi="Lato"/>
          <w:b/>
          <w:bCs/>
          <w:color w:val="1F497D"/>
          <w:spacing w:val="-2"/>
          <w:sz w:val="20"/>
          <w:szCs w:val="20"/>
        </w:rPr>
        <w:t xml:space="preserve"> Wykres skumulowanych przepływów pieniężnych – c.o. z paliwa węglowego - bez dotacji</w:t>
      </w:r>
      <w:bookmarkEnd w:id="325"/>
      <w:bookmarkEnd w:id="326"/>
      <w:bookmarkEnd w:id="327"/>
      <w:bookmarkEnd w:id="328"/>
      <w:bookmarkEnd w:id="329"/>
    </w:p>
    <w:p w:rsidR="00CD2C0A" w:rsidRPr="00A258AC" w:rsidRDefault="00A258AC" w:rsidP="00A258AC">
      <w:pPr>
        <w:ind w:firstLine="0"/>
        <w:jc w:val="center"/>
        <w:rPr>
          <w:rFonts w:ascii="Lato" w:hAnsi="Lato"/>
          <w:i/>
          <w:sz w:val="20"/>
          <w:szCs w:val="22"/>
        </w:rPr>
      </w:pPr>
      <w:r w:rsidRPr="00A258AC">
        <w:rPr>
          <w:rFonts w:ascii="Lato" w:hAnsi="Lato"/>
          <w:i/>
          <w:sz w:val="20"/>
          <w:szCs w:val="22"/>
        </w:rPr>
        <w:t>Źródło: Analizy własne</w:t>
      </w:r>
    </w:p>
    <w:p w:rsidR="00A258AC" w:rsidRDefault="00A258AC" w:rsidP="006B024A">
      <w:pPr>
        <w:ind w:firstLine="0"/>
        <w:jc w:val="both"/>
        <w:rPr>
          <w:rFonts w:ascii="Lato" w:hAnsi="Lato"/>
          <w:szCs w:val="22"/>
        </w:rPr>
      </w:pPr>
    </w:p>
    <w:p w:rsidR="000B267A" w:rsidRDefault="000B267A">
      <w:pPr>
        <w:spacing w:line="240" w:lineRule="auto"/>
        <w:ind w:firstLine="0"/>
        <w:rPr>
          <w:rFonts w:ascii="Lato" w:hAnsi="Lato"/>
          <w:szCs w:val="22"/>
        </w:rPr>
      </w:pPr>
      <w:r>
        <w:rPr>
          <w:rFonts w:ascii="Lato" w:hAnsi="Lato"/>
          <w:szCs w:val="22"/>
        </w:rPr>
        <w:br w:type="page"/>
      </w:r>
    </w:p>
    <w:p w:rsidR="006B024A" w:rsidRPr="006A410D" w:rsidRDefault="006B024A" w:rsidP="006B024A">
      <w:pPr>
        <w:ind w:firstLine="0"/>
        <w:jc w:val="both"/>
        <w:rPr>
          <w:rFonts w:ascii="Lato" w:hAnsi="Lato"/>
          <w:szCs w:val="22"/>
        </w:rPr>
      </w:pPr>
      <w:r w:rsidRPr="006A410D">
        <w:rPr>
          <w:rFonts w:ascii="Lato" w:hAnsi="Lato"/>
          <w:szCs w:val="22"/>
        </w:rPr>
        <w:lastRenderedPageBreak/>
        <w:t>Ogrzewanie za pomocą kotła gazowego, niskotemperaturowego:</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 xml:space="preserve">cena </w:t>
      </w:r>
      <w:r w:rsidR="00B83BEC">
        <w:rPr>
          <w:rFonts w:ascii="Lato" w:hAnsi="Lato" w:cs="Times New Roman"/>
        </w:rPr>
        <w:t>–</w:t>
      </w:r>
      <w:r w:rsidRPr="006A496C">
        <w:rPr>
          <w:rFonts w:ascii="Lato" w:hAnsi="Lato" w:cs="Times New Roman"/>
        </w:rPr>
        <w:t xml:space="preserve"> gaz ziemny: 2,</w:t>
      </w:r>
      <w:r w:rsidR="0009365F" w:rsidRPr="006A496C">
        <w:rPr>
          <w:rFonts w:ascii="Lato" w:hAnsi="Lato" w:cs="Times New Roman"/>
        </w:rPr>
        <w:t>16</w:t>
      </w:r>
      <w:r w:rsidRPr="006A496C">
        <w:rPr>
          <w:rFonts w:ascii="Lato" w:hAnsi="Lato" w:cs="Times New Roman"/>
        </w:rPr>
        <w:t xml:space="preserve"> zł/m</w:t>
      </w:r>
      <w:r w:rsidRPr="00283868">
        <w:rPr>
          <w:rFonts w:ascii="Lato" w:hAnsi="Lato" w:cs="Times New Roman"/>
          <w:vertAlign w:val="superscript"/>
        </w:rPr>
        <w:t>3</w:t>
      </w:r>
      <w:r w:rsidRPr="006A496C">
        <w:rPr>
          <w:rFonts w:ascii="Lato" w:hAnsi="Lato" w:cs="Times New Roman"/>
        </w:rPr>
        <w:t xml:space="preserve"> z VAT,</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wartość opałowa paliwa 35,6 GJ/m</w:t>
      </w:r>
      <w:r w:rsidRPr="00283868">
        <w:rPr>
          <w:rFonts w:ascii="Lato" w:hAnsi="Lato" w:cs="Times New Roman"/>
          <w:vertAlign w:val="superscript"/>
        </w:rPr>
        <w:t>3</w:t>
      </w:r>
      <w:r w:rsidRPr="006A496C">
        <w:rPr>
          <w:rFonts w:ascii="Lato" w:hAnsi="Lato" w:cs="Times New Roman"/>
        </w:rPr>
        <w:t>,</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sprawność systemu grzewczego: 88%,</w:t>
      </w:r>
    </w:p>
    <w:p w:rsidR="006B024A"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 xml:space="preserve">roczny koszt ogrzewania: </w:t>
      </w:r>
      <w:r w:rsidR="0009365F" w:rsidRPr="006A496C">
        <w:rPr>
          <w:rFonts w:ascii="Lato" w:hAnsi="Lato" w:cs="Times New Roman"/>
        </w:rPr>
        <w:t>4 406</w:t>
      </w:r>
      <w:r w:rsidRPr="006A496C">
        <w:rPr>
          <w:rFonts w:ascii="Lato" w:hAnsi="Lato" w:cs="Times New Roman"/>
        </w:rPr>
        <w:t xml:space="preserve"> zł/rok.</w:t>
      </w:r>
    </w:p>
    <w:p w:rsidR="006A496C" w:rsidRPr="006A496C" w:rsidRDefault="006A496C" w:rsidP="006A496C">
      <w:pPr>
        <w:pStyle w:val="Tekstpodstawowy"/>
        <w:ind w:left="709"/>
        <w:rPr>
          <w:rFonts w:ascii="Lato" w:hAnsi="Lato" w:cs="Times New Roman"/>
        </w:rPr>
      </w:pPr>
    </w:p>
    <w:p w:rsidR="007B2CF1" w:rsidRPr="006A410D" w:rsidRDefault="0006260E" w:rsidP="007B2CF1">
      <w:pPr>
        <w:ind w:firstLine="0"/>
        <w:jc w:val="center"/>
        <w:rPr>
          <w:rFonts w:ascii="Lato" w:hAnsi="Lato"/>
        </w:rPr>
      </w:pPr>
      <w:bookmarkStart w:id="330" w:name="_Toc323204738"/>
      <w:bookmarkStart w:id="331" w:name="_Toc328633176"/>
      <w:bookmarkStart w:id="332" w:name="_Toc336419394"/>
      <w:r>
        <w:rPr>
          <w:rFonts w:ascii="Lato" w:hAnsi="Lato"/>
          <w:noProof/>
        </w:rPr>
        <w:drawing>
          <wp:inline distT="0" distB="0" distL="0" distR="0" wp14:anchorId="1971298D" wp14:editId="2553D7F9">
            <wp:extent cx="5967730" cy="3238500"/>
            <wp:effectExtent l="0" t="0" r="0" b="0"/>
            <wp:docPr id="51"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7730" cy="3238500"/>
                    </a:xfrm>
                    <a:prstGeom prst="rect">
                      <a:avLst/>
                    </a:prstGeom>
                    <a:noFill/>
                    <a:ln>
                      <a:noFill/>
                    </a:ln>
                  </pic:spPr>
                </pic:pic>
              </a:graphicData>
            </a:graphic>
          </wp:inline>
        </w:drawing>
      </w:r>
    </w:p>
    <w:p w:rsidR="006B024A" w:rsidRDefault="006B024A" w:rsidP="00CD2C0A">
      <w:pPr>
        <w:spacing w:line="240" w:lineRule="auto"/>
        <w:ind w:firstLine="0"/>
        <w:jc w:val="center"/>
        <w:rPr>
          <w:rFonts w:ascii="Lato" w:hAnsi="Lato"/>
          <w:b/>
          <w:bCs/>
          <w:color w:val="1F497D"/>
          <w:spacing w:val="-2"/>
          <w:sz w:val="20"/>
          <w:szCs w:val="20"/>
        </w:rPr>
      </w:pPr>
      <w:bookmarkStart w:id="333" w:name="_Toc336943711"/>
      <w:bookmarkStart w:id="334" w:name="_Toc20219250"/>
      <w:r w:rsidRPr="006A410D">
        <w:rPr>
          <w:rFonts w:ascii="Lato" w:hAnsi="Lato"/>
          <w:b/>
          <w:bCs/>
          <w:color w:val="1F497D"/>
          <w:spacing w:val="-2"/>
          <w:sz w:val="20"/>
          <w:szCs w:val="20"/>
        </w:rPr>
        <w:t xml:space="preserve">Rysunek </w:t>
      </w:r>
      <w:r w:rsidR="004042AE" w:rsidRPr="006A410D">
        <w:rPr>
          <w:rFonts w:ascii="Lato" w:hAnsi="Lato"/>
          <w:b/>
          <w:bCs/>
          <w:color w:val="1F497D"/>
          <w:spacing w:val="-2"/>
          <w:sz w:val="20"/>
          <w:szCs w:val="20"/>
        </w:rPr>
        <w:fldChar w:fldCharType="begin"/>
      </w:r>
      <w:r w:rsidR="005430ED" w:rsidRPr="006A410D">
        <w:rPr>
          <w:rFonts w:ascii="Lato" w:hAnsi="Lato"/>
          <w:b/>
          <w:bCs/>
          <w:color w:val="1F497D"/>
          <w:spacing w:val="-2"/>
          <w:sz w:val="20"/>
          <w:szCs w:val="20"/>
        </w:rPr>
        <w:instrText xml:space="preserve"> STYLEREF 1 \s </w:instrText>
      </w:r>
      <w:r w:rsidR="004042AE" w:rsidRPr="006A410D">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6A410D">
        <w:rPr>
          <w:rFonts w:ascii="Lato" w:hAnsi="Lato"/>
          <w:b/>
          <w:bCs/>
          <w:color w:val="1F497D"/>
          <w:spacing w:val="-2"/>
          <w:sz w:val="20"/>
          <w:szCs w:val="20"/>
        </w:rPr>
        <w:fldChar w:fldCharType="end"/>
      </w:r>
      <w:r w:rsidR="005430ED" w:rsidRPr="006A410D">
        <w:rPr>
          <w:rFonts w:ascii="Lato" w:hAnsi="Lato"/>
          <w:b/>
          <w:bCs/>
          <w:color w:val="1F497D"/>
          <w:spacing w:val="-2"/>
          <w:sz w:val="20"/>
          <w:szCs w:val="20"/>
        </w:rPr>
        <w:noBreakHyphen/>
      </w:r>
      <w:r w:rsidR="004042AE" w:rsidRPr="006A410D">
        <w:rPr>
          <w:rFonts w:ascii="Lato" w:hAnsi="Lato"/>
          <w:b/>
          <w:bCs/>
          <w:color w:val="1F497D"/>
          <w:spacing w:val="-2"/>
          <w:sz w:val="20"/>
          <w:szCs w:val="20"/>
        </w:rPr>
        <w:fldChar w:fldCharType="begin"/>
      </w:r>
      <w:r w:rsidR="005430ED" w:rsidRPr="006A410D">
        <w:rPr>
          <w:rFonts w:ascii="Lato" w:hAnsi="Lato"/>
          <w:b/>
          <w:bCs/>
          <w:color w:val="1F497D"/>
          <w:spacing w:val="-2"/>
          <w:sz w:val="20"/>
          <w:szCs w:val="20"/>
        </w:rPr>
        <w:instrText xml:space="preserve"> SEQ Rysunek \* ARABIC \s 1 </w:instrText>
      </w:r>
      <w:r w:rsidR="004042AE" w:rsidRPr="006A410D">
        <w:rPr>
          <w:rFonts w:ascii="Lato" w:hAnsi="Lato"/>
          <w:b/>
          <w:bCs/>
          <w:color w:val="1F497D"/>
          <w:spacing w:val="-2"/>
          <w:sz w:val="20"/>
          <w:szCs w:val="20"/>
        </w:rPr>
        <w:fldChar w:fldCharType="separate"/>
      </w:r>
      <w:r w:rsidR="0040205B">
        <w:rPr>
          <w:rFonts w:ascii="Lato" w:hAnsi="Lato"/>
          <w:b/>
          <w:bCs/>
          <w:noProof/>
          <w:color w:val="1F497D"/>
          <w:spacing w:val="-2"/>
          <w:sz w:val="20"/>
          <w:szCs w:val="20"/>
        </w:rPr>
        <w:t>9</w:t>
      </w:r>
      <w:r w:rsidR="004042AE" w:rsidRPr="006A410D">
        <w:rPr>
          <w:rFonts w:ascii="Lato" w:hAnsi="Lato"/>
          <w:b/>
          <w:bCs/>
          <w:color w:val="1F497D"/>
          <w:spacing w:val="-2"/>
          <w:sz w:val="20"/>
          <w:szCs w:val="20"/>
        </w:rPr>
        <w:fldChar w:fldCharType="end"/>
      </w:r>
      <w:r w:rsidRPr="006A410D">
        <w:rPr>
          <w:rFonts w:ascii="Lato" w:hAnsi="Lato"/>
          <w:b/>
          <w:bCs/>
          <w:color w:val="1F497D"/>
          <w:spacing w:val="-2"/>
          <w:sz w:val="20"/>
          <w:szCs w:val="20"/>
        </w:rPr>
        <w:t xml:space="preserve"> Wykres skumulowanych przepływów pieniężnych – c.o. z paliwa gazowego - bez dotacji</w:t>
      </w:r>
      <w:bookmarkEnd w:id="330"/>
      <w:bookmarkEnd w:id="331"/>
      <w:bookmarkEnd w:id="332"/>
      <w:bookmarkEnd w:id="333"/>
      <w:bookmarkEnd w:id="334"/>
    </w:p>
    <w:p w:rsidR="00A258AC" w:rsidRPr="00A258AC" w:rsidRDefault="00A258AC" w:rsidP="00A258AC">
      <w:pPr>
        <w:ind w:firstLine="0"/>
        <w:jc w:val="center"/>
        <w:rPr>
          <w:rFonts w:ascii="Lato" w:hAnsi="Lato"/>
          <w:i/>
          <w:sz w:val="20"/>
          <w:szCs w:val="22"/>
        </w:rPr>
      </w:pPr>
      <w:r w:rsidRPr="00A258AC">
        <w:rPr>
          <w:rFonts w:ascii="Lato" w:hAnsi="Lato"/>
          <w:i/>
          <w:sz w:val="20"/>
          <w:szCs w:val="22"/>
        </w:rPr>
        <w:t>Źródło: Analizy własne</w:t>
      </w:r>
    </w:p>
    <w:p w:rsidR="000B267A" w:rsidRDefault="000B267A" w:rsidP="00295432">
      <w:pPr>
        <w:spacing w:before="120"/>
        <w:ind w:firstLine="709"/>
        <w:jc w:val="both"/>
        <w:rPr>
          <w:rFonts w:ascii="Lato" w:hAnsi="Lato"/>
          <w:szCs w:val="22"/>
        </w:rPr>
      </w:pPr>
    </w:p>
    <w:p w:rsidR="006B024A" w:rsidRPr="006A410D" w:rsidRDefault="006B024A" w:rsidP="00295432">
      <w:pPr>
        <w:spacing w:before="120"/>
        <w:ind w:firstLine="709"/>
        <w:jc w:val="both"/>
        <w:rPr>
          <w:rFonts w:ascii="Lato" w:hAnsi="Lato"/>
          <w:szCs w:val="22"/>
        </w:rPr>
      </w:pPr>
      <w:r w:rsidRPr="006A410D">
        <w:rPr>
          <w:rFonts w:ascii="Lato" w:hAnsi="Lato"/>
          <w:szCs w:val="22"/>
        </w:rPr>
        <w:t>Na podstawie powyższych danych i założe</w:t>
      </w:r>
      <w:r w:rsidR="002D26E7" w:rsidRPr="006A410D">
        <w:rPr>
          <w:rFonts w:ascii="Lato" w:hAnsi="Lato"/>
          <w:szCs w:val="22"/>
        </w:rPr>
        <w:t>ń</w:t>
      </w:r>
      <w:r w:rsidRPr="006A410D">
        <w:rPr>
          <w:rFonts w:ascii="Lato" w:hAnsi="Lato"/>
          <w:szCs w:val="22"/>
        </w:rPr>
        <w:t xml:space="preserve"> opłacalność zasto</w:t>
      </w:r>
      <w:r w:rsidR="00D4579E" w:rsidRPr="006A410D">
        <w:rPr>
          <w:rFonts w:ascii="Lato" w:hAnsi="Lato"/>
          <w:szCs w:val="22"/>
        </w:rPr>
        <w:t>sowania pomp ciepła występuje w </w:t>
      </w:r>
      <w:r w:rsidRPr="006A410D">
        <w:rPr>
          <w:rFonts w:ascii="Lato" w:hAnsi="Lato"/>
          <w:szCs w:val="22"/>
        </w:rPr>
        <w:t>przypadku stosowania dro</w:t>
      </w:r>
      <w:r w:rsidR="00295432">
        <w:rPr>
          <w:rFonts w:ascii="Lato" w:hAnsi="Lato"/>
          <w:szCs w:val="22"/>
        </w:rPr>
        <w:t xml:space="preserve">ższego paliwa - gazu ziemnego. </w:t>
      </w:r>
    </w:p>
    <w:p w:rsidR="00E05AD8" w:rsidRPr="006A410D" w:rsidRDefault="00E05AD8" w:rsidP="00295432">
      <w:pPr>
        <w:spacing w:after="120"/>
        <w:ind w:firstLine="0"/>
        <w:jc w:val="both"/>
        <w:rPr>
          <w:rFonts w:ascii="Lato" w:hAnsi="Lato"/>
          <w:szCs w:val="22"/>
        </w:rPr>
      </w:pPr>
    </w:p>
    <w:p w:rsidR="006B024A" w:rsidRPr="006A410D" w:rsidRDefault="006B024A" w:rsidP="00907272">
      <w:pPr>
        <w:pStyle w:val="Nagwek2"/>
        <w:rPr>
          <w:rFonts w:ascii="Lato" w:hAnsi="Lato" w:cs="Times New Roman"/>
        </w:rPr>
      </w:pPr>
      <w:bookmarkStart w:id="335" w:name="_Toc328632938"/>
      <w:bookmarkStart w:id="336" w:name="_Toc336419320"/>
      <w:bookmarkStart w:id="337" w:name="_Toc336943574"/>
      <w:bookmarkStart w:id="338" w:name="_Toc20218520"/>
      <w:r w:rsidRPr="006A410D">
        <w:rPr>
          <w:rFonts w:ascii="Lato" w:hAnsi="Lato" w:cs="Times New Roman"/>
        </w:rPr>
        <w:t>Energia spadku wody</w:t>
      </w:r>
      <w:bookmarkEnd w:id="324"/>
      <w:bookmarkEnd w:id="335"/>
      <w:bookmarkEnd w:id="336"/>
      <w:bookmarkEnd w:id="337"/>
      <w:bookmarkEnd w:id="338"/>
    </w:p>
    <w:p w:rsidR="006B024A" w:rsidRPr="006A410D" w:rsidRDefault="006B024A" w:rsidP="0075423A">
      <w:pPr>
        <w:ind w:firstLine="709"/>
        <w:jc w:val="both"/>
        <w:rPr>
          <w:rFonts w:ascii="Lato" w:hAnsi="Lato"/>
          <w:szCs w:val="22"/>
        </w:rPr>
      </w:pPr>
      <w:r w:rsidRPr="006A410D">
        <w:rPr>
          <w:rFonts w:ascii="Lato" w:hAnsi="Lato"/>
          <w:szCs w:val="22"/>
        </w:rPr>
        <w:t>Rozwój elektrowni wodnych jest ograniczony warunkami prawnymi, lokalizacyjnymi, wymogami terenowymi i geomorfologicznymi oraz potencjałem kapitałowym inwestora. Najwięcej funduszy pochłania budowa obiektów hydrotechnicznych piętrzących wodę (jaz, zapora). Charakterystyczne dla elektrowni wodnych są znikome koszty eksploatacji (wynoszące średnio około 0,5÷1% łącznych nakładów inwestycyjnych rocznie) oraz wysoka sprawność energetyczna (90÷95%).</w:t>
      </w:r>
    </w:p>
    <w:p w:rsidR="006B024A" w:rsidRPr="006A410D" w:rsidRDefault="006B024A" w:rsidP="00A422D2">
      <w:pPr>
        <w:ind w:firstLine="709"/>
        <w:jc w:val="both"/>
        <w:rPr>
          <w:rFonts w:ascii="Lato" w:hAnsi="Lato"/>
          <w:szCs w:val="22"/>
        </w:rPr>
      </w:pPr>
      <w:r w:rsidRPr="006A410D">
        <w:rPr>
          <w:rFonts w:ascii="Lato" w:hAnsi="Lato"/>
          <w:szCs w:val="22"/>
        </w:rPr>
        <w:t>Polska leży na terenach o niewielkich zasobach wodnych, których wykorzystanie dla celów energetycznych jest poważnie ograniczone (w niektórych krajach jak np. w Norwegii elektrownie wodne pokrywają zapotrzebowanie na energię</w:t>
      </w:r>
      <w:r w:rsidR="00B83BEC">
        <w:rPr>
          <w:rFonts w:ascii="Lato" w:hAnsi="Lato"/>
          <w:szCs w:val="22"/>
        </w:rPr>
        <w:t xml:space="preserve"> elektryczną prawie w 100%). Ze </w:t>
      </w:r>
      <w:r w:rsidRPr="006A410D">
        <w:rPr>
          <w:rFonts w:ascii="Lato" w:hAnsi="Lato"/>
          <w:szCs w:val="22"/>
        </w:rPr>
        <w:t>względu na deficyty wody (szczególnie w okresie niskich stanów) przy istniejącej i planowanej zabudowie rzek, priorytet mają zagadnienia gospodarki wodnej.</w:t>
      </w:r>
    </w:p>
    <w:p w:rsidR="007C2DFF" w:rsidRPr="007C2DFF" w:rsidRDefault="007C2DFF" w:rsidP="007C2DFF">
      <w:pPr>
        <w:ind w:firstLine="0"/>
        <w:jc w:val="both"/>
        <w:rPr>
          <w:rFonts w:ascii="Lato" w:hAnsi="Lato"/>
          <w:szCs w:val="22"/>
        </w:rPr>
      </w:pPr>
      <w:r w:rsidRPr="007C2DFF">
        <w:rPr>
          <w:rFonts w:ascii="Lato" w:hAnsi="Lato"/>
          <w:szCs w:val="22"/>
        </w:rPr>
        <w:lastRenderedPageBreak/>
        <w:t>Gmina Pabianice leży w dorzeczu Odry. Główne rzeki przepływające przez teren gminy to:</w:t>
      </w:r>
    </w:p>
    <w:p w:rsidR="007C2DFF" w:rsidRPr="007C2DFF" w:rsidRDefault="007C2DFF" w:rsidP="007C2DFF">
      <w:pPr>
        <w:pStyle w:val="Tekstpodstawowy"/>
        <w:numPr>
          <w:ilvl w:val="0"/>
          <w:numId w:val="83"/>
        </w:numPr>
        <w:tabs>
          <w:tab w:val="clear" w:pos="360"/>
        </w:tabs>
        <w:ind w:left="709" w:hanging="425"/>
        <w:rPr>
          <w:rFonts w:ascii="Lato" w:hAnsi="Lato" w:cs="Times New Roman"/>
        </w:rPr>
      </w:pPr>
      <w:r w:rsidRPr="007C2DFF">
        <w:rPr>
          <w:rFonts w:ascii="Lato" w:hAnsi="Lato" w:cs="Times New Roman"/>
        </w:rPr>
        <w:t>Ner - rzeka, na wysoczyźnie Łaskiej i Kotlinie Kolskiej,</w:t>
      </w:r>
    </w:p>
    <w:p w:rsidR="007C2DFF" w:rsidRPr="007C2DFF" w:rsidRDefault="007C2DFF" w:rsidP="007C2DFF">
      <w:pPr>
        <w:pStyle w:val="Tekstpodstawowy"/>
        <w:numPr>
          <w:ilvl w:val="0"/>
          <w:numId w:val="83"/>
        </w:numPr>
        <w:tabs>
          <w:tab w:val="clear" w:pos="360"/>
        </w:tabs>
        <w:ind w:left="709" w:hanging="425"/>
        <w:rPr>
          <w:rFonts w:ascii="Lato" w:hAnsi="Lato" w:cs="Times New Roman"/>
        </w:rPr>
      </w:pPr>
      <w:r w:rsidRPr="007C2DFF">
        <w:rPr>
          <w:rFonts w:ascii="Lato" w:hAnsi="Lato" w:cs="Times New Roman"/>
        </w:rPr>
        <w:t>Dobrzynka- rzeka Wyżyny Łódzkiej, lewy dopływ Neru, źródła rzeki znajdują się we wsi Górki Duże, zaś ujście w granicach administracyjnych Łodzi,</w:t>
      </w:r>
    </w:p>
    <w:p w:rsidR="007C2DFF" w:rsidRPr="007C2DFF" w:rsidRDefault="007C2DFF" w:rsidP="007C2DFF">
      <w:pPr>
        <w:pStyle w:val="Tekstpodstawowy"/>
        <w:numPr>
          <w:ilvl w:val="0"/>
          <w:numId w:val="83"/>
        </w:numPr>
        <w:tabs>
          <w:tab w:val="clear" w:pos="360"/>
        </w:tabs>
        <w:ind w:left="709" w:hanging="425"/>
        <w:rPr>
          <w:rFonts w:ascii="Lato" w:hAnsi="Lato" w:cs="Times New Roman"/>
        </w:rPr>
      </w:pPr>
      <w:r w:rsidRPr="007C2DFF">
        <w:rPr>
          <w:rFonts w:ascii="Lato" w:hAnsi="Lato" w:cs="Times New Roman"/>
        </w:rPr>
        <w:t>Pabianka - jeden z większych dopływów Dobrzynki,</w:t>
      </w:r>
    </w:p>
    <w:p w:rsidR="007C2DFF" w:rsidRPr="007C2DFF" w:rsidRDefault="007C2DFF" w:rsidP="007C2DFF">
      <w:pPr>
        <w:pStyle w:val="Tekstpodstawowy"/>
        <w:numPr>
          <w:ilvl w:val="0"/>
          <w:numId w:val="83"/>
        </w:numPr>
        <w:tabs>
          <w:tab w:val="clear" w:pos="360"/>
        </w:tabs>
        <w:ind w:left="709" w:hanging="425"/>
        <w:rPr>
          <w:rFonts w:ascii="Lato" w:hAnsi="Lato" w:cs="Times New Roman"/>
        </w:rPr>
      </w:pPr>
      <w:r w:rsidRPr="007C2DFF">
        <w:rPr>
          <w:rFonts w:ascii="Lato" w:hAnsi="Lato" w:cs="Times New Roman"/>
        </w:rPr>
        <w:t>Wrząca – źródła jej znajdują początek w mieście Zgierz (ul. Mokra), natomiast ujście znajduje w rzece Sokołówce.</w:t>
      </w:r>
    </w:p>
    <w:p w:rsidR="007C2DFF" w:rsidRPr="007C2DFF" w:rsidRDefault="007C2DFF" w:rsidP="007C2DFF">
      <w:pPr>
        <w:ind w:firstLine="0"/>
        <w:jc w:val="both"/>
        <w:rPr>
          <w:rFonts w:ascii="Lato" w:hAnsi="Lato"/>
          <w:szCs w:val="22"/>
        </w:rPr>
      </w:pPr>
      <w:r w:rsidRPr="007C2DFF">
        <w:rPr>
          <w:rFonts w:ascii="Lato" w:hAnsi="Lato"/>
          <w:szCs w:val="22"/>
        </w:rPr>
        <w:t xml:space="preserve">Oprócz wymienionych powyżej rzek i potoków występuje także szereg niewielkich, często okresowych, cieków wodnych. </w:t>
      </w:r>
    </w:p>
    <w:p w:rsidR="0075423A" w:rsidRDefault="007C2DFF" w:rsidP="007C2DFF">
      <w:pPr>
        <w:ind w:firstLine="0"/>
        <w:jc w:val="both"/>
        <w:rPr>
          <w:rFonts w:ascii="Lato" w:hAnsi="Lato"/>
          <w:szCs w:val="22"/>
        </w:rPr>
      </w:pPr>
      <w:r w:rsidRPr="007C2DFF">
        <w:rPr>
          <w:rFonts w:ascii="Lato" w:hAnsi="Lato"/>
          <w:szCs w:val="22"/>
        </w:rPr>
        <w:t>Obecnie na terenie gminy nie wykorzystuje się energii spadku wody.</w:t>
      </w:r>
    </w:p>
    <w:p w:rsidR="007C2DFF" w:rsidRPr="00E304E0" w:rsidRDefault="007C2DFF" w:rsidP="007C2DFF">
      <w:pPr>
        <w:ind w:firstLine="0"/>
        <w:jc w:val="both"/>
        <w:rPr>
          <w:rFonts w:ascii="Lato" w:hAnsi="Lato"/>
          <w:szCs w:val="22"/>
        </w:rPr>
      </w:pPr>
    </w:p>
    <w:p w:rsidR="006B024A" w:rsidRPr="00E304E0" w:rsidRDefault="006B024A" w:rsidP="00907272">
      <w:pPr>
        <w:pStyle w:val="Nagwek2"/>
        <w:rPr>
          <w:rFonts w:ascii="Lato" w:hAnsi="Lato" w:cs="Times New Roman"/>
        </w:rPr>
      </w:pPr>
      <w:bookmarkStart w:id="339" w:name="_Toc303673570"/>
      <w:bookmarkStart w:id="340" w:name="_Toc328632939"/>
      <w:bookmarkStart w:id="341" w:name="_Toc336419321"/>
      <w:bookmarkStart w:id="342" w:name="_Toc336943575"/>
      <w:bookmarkStart w:id="343" w:name="_Toc20218521"/>
      <w:r w:rsidRPr="00E304E0">
        <w:rPr>
          <w:rFonts w:ascii="Lato" w:hAnsi="Lato" w:cs="Times New Roman"/>
        </w:rPr>
        <w:t>Energia słoneczna</w:t>
      </w:r>
      <w:bookmarkEnd w:id="339"/>
      <w:bookmarkEnd w:id="340"/>
      <w:bookmarkEnd w:id="341"/>
      <w:bookmarkEnd w:id="342"/>
      <w:bookmarkEnd w:id="343"/>
    </w:p>
    <w:p w:rsidR="006B024A" w:rsidRPr="00C5787B" w:rsidRDefault="006B024A" w:rsidP="001E784B">
      <w:pPr>
        <w:ind w:firstLine="709"/>
        <w:jc w:val="both"/>
        <w:rPr>
          <w:rFonts w:ascii="Lato" w:hAnsi="Lato"/>
          <w:szCs w:val="22"/>
        </w:rPr>
      </w:pPr>
      <w:r w:rsidRPr="00C5787B">
        <w:rPr>
          <w:rFonts w:ascii="Lato" w:hAnsi="Lato"/>
          <w:szCs w:val="22"/>
        </w:rPr>
        <w:t xml:space="preserve">Energię słoneczną można wykorzystać do produkcji energii elektrycznej i do produkcji ciepłej wody, bezpośrednio poprzez zastosowanie specjalnych systemów do jej </w:t>
      </w:r>
      <w:r w:rsidR="00D153EC" w:rsidRPr="00C5787B">
        <w:rPr>
          <w:rFonts w:ascii="Lato" w:hAnsi="Lato"/>
          <w:szCs w:val="22"/>
        </w:rPr>
        <w:t>pozyskiwania i akumulowania. Ze </w:t>
      </w:r>
      <w:r w:rsidRPr="00C5787B">
        <w:rPr>
          <w:rFonts w:ascii="Lato" w:hAnsi="Lato"/>
          <w:szCs w:val="22"/>
        </w:rPr>
        <w:t>wszystkich źródeł energii, energia słoneczna jest najbezpieczniejsza.</w:t>
      </w:r>
    </w:p>
    <w:p w:rsidR="006B024A" w:rsidRPr="00C5787B" w:rsidRDefault="006B024A" w:rsidP="001E784B">
      <w:pPr>
        <w:ind w:firstLine="709"/>
        <w:jc w:val="both"/>
        <w:rPr>
          <w:rFonts w:ascii="Lato" w:hAnsi="Lato"/>
          <w:szCs w:val="22"/>
        </w:rPr>
      </w:pPr>
      <w:r w:rsidRPr="00C5787B">
        <w:rPr>
          <w:rFonts w:ascii="Lato" w:hAnsi="Lato"/>
          <w:szCs w:val="22"/>
        </w:rPr>
        <w:t>W Polsce generalnie istnieją dobre warunki do wykorzystania energii promieniowania słonecznego przy dostosowaniu typu systemów i właściwości urządzeń</w:t>
      </w:r>
      <w:r w:rsidR="00D03562">
        <w:rPr>
          <w:rFonts w:ascii="Lato" w:hAnsi="Lato"/>
          <w:szCs w:val="22"/>
        </w:rPr>
        <w:t xml:space="preserve"> wykorzystujących tę </w:t>
      </w:r>
      <w:r w:rsidR="00D153EC" w:rsidRPr="00C5787B">
        <w:rPr>
          <w:rFonts w:ascii="Lato" w:hAnsi="Lato"/>
          <w:szCs w:val="22"/>
        </w:rPr>
        <w:t>energię do </w:t>
      </w:r>
      <w:r w:rsidRPr="00C5787B">
        <w:rPr>
          <w:rFonts w:ascii="Lato" w:hAnsi="Lato"/>
          <w:szCs w:val="22"/>
        </w:rPr>
        <w:t>charakteru, struktury i rozkładu w czasie promieniowania słoneczne</w:t>
      </w:r>
      <w:r w:rsidR="00D153EC" w:rsidRPr="00C5787B">
        <w:rPr>
          <w:rFonts w:ascii="Lato" w:hAnsi="Lato"/>
          <w:szCs w:val="22"/>
        </w:rPr>
        <w:t>go. Największe szanse rozwoju w </w:t>
      </w:r>
      <w:r w:rsidRPr="00C5787B">
        <w:rPr>
          <w:rFonts w:ascii="Lato" w:hAnsi="Lato"/>
          <w:szCs w:val="22"/>
        </w:rPr>
        <w:t xml:space="preserve">krótkim okresie mają technologie konwersji termicznej energii promieniowania słonecznego, oparte na wykorzystaniu kolektorów słonecznych. </w:t>
      </w:r>
    </w:p>
    <w:p w:rsidR="006B024A" w:rsidRPr="00E832BA" w:rsidRDefault="006B024A" w:rsidP="0075423A">
      <w:pPr>
        <w:ind w:firstLine="709"/>
        <w:jc w:val="both"/>
        <w:rPr>
          <w:rFonts w:ascii="Lato" w:hAnsi="Lato"/>
          <w:szCs w:val="22"/>
        </w:rPr>
      </w:pPr>
      <w:r w:rsidRPr="00E832BA">
        <w:rPr>
          <w:rFonts w:ascii="Lato" w:hAnsi="Lato"/>
          <w:szCs w:val="22"/>
        </w:rPr>
        <w:t>Ze względu na wysoki udział promieniowania rozproszonego w całkowitym promieniowaniu słonecznym, praktycznego znaczenia w naszych warunkach nie mają słoneczne technologie wysokotemperaturowe oparte na koncentratorach promieniowania słonecznego. Roczna gęsto</w:t>
      </w:r>
      <w:r w:rsidR="008B4FF3" w:rsidRPr="00E832BA">
        <w:rPr>
          <w:rFonts w:ascii="Lato" w:hAnsi="Lato"/>
          <w:szCs w:val="22"/>
        </w:rPr>
        <w:t>ść promieniowania słonecznego w </w:t>
      </w:r>
      <w:r w:rsidRPr="00E832BA">
        <w:rPr>
          <w:rFonts w:ascii="Lato" w:hAnsi="Lato"/>
          <w:szCs w:val="22"/>
        </w:rPr>
        <w:t>Polsce na</w:t>
      </w:r>
      <w:r w:rsidR="00E832BA" w:rsidRPr="00E832BA">
        <w:rPr>
          <w:rFonts w:ascii="Lato" w:hAnsi="Lato"/>
          <w:szCs w:val="22"/>
        </w:rPr>
        <w:t xml:space="preserve"> płaszczyznę poziomą waha się w </w:t>
      </w:r>
      <w:r w:rsidRPr="00E832BA">
        <w:rPr>
          <w:rFonts w:ascii="Lato" w:hAnsi="Lato"/>
          <w:szCs w:val="22"/>
        </w:rPr>
        <w:t>granicach 950 - 1250 kWh/m</w:t>
      </w:r>
      <w:r w:rsidRPr="00E832BA">
        <w:rPr>
          <w:rFonts w:ascii="Lato" w:hAnsi="Lato"/>
          <w:szCs w:val="22"/>
          <w:vertAlign w:val="superscript"/>
        </w:rPr>
        <w:t>2</w:t>
      </w:r>
      <w:r w:rsidRPr="00E832BA">
        <w:rPr>
          <w:rFonts w:ascii="Lato" w:hAnsi="Lato"/>
          <w:szCs w:val="22"/>
        </w:rPr>
        <w:t>, natomiast średnie usłonecznienie wynosi 1</w:t>
      </w:r>
      <w:r w:rsidR="002D26E7" w:rsidRPr="00E832BA">
        <w:rPr>
          <w:rFonts w:ascii="Lato" w:hAnsi="Lato"/>
          <w:szCs w:val="22"/>
        </w:rPr>
        <w:t xml:space="preserve"> </w:t>
      </w:r>
      <w:r w:rsidRPr="00E832BA">
        <w:rPr>
          <w:rFonts w:ascii="Lato" w:hAnsi="Lato"/>
          <w:szCs w:val="22"/>
        </w:rPr>
        <w:t xml:space="preserve">600 godzin na rok. </w:t>
      </w:r>
    </w:p>
    <w:p w:rsidR="006B024A" w:rsidRPr="00E832BA" w:rsidRDefault="006B024A" w:rsidP="009D5261">
      <w:pPr>
        <w:ind w:firstLine="709"/>
        <w:jc w:val="both"/>
        <w:rPr>
          <w:rFonts w:ascii="Lato" w:hAnsi="Lato"/>
          <w:szCs w:val="22"/>
        </w:rPr>
      </w:pPr>
      <w:r w:rsidRPr="00E832BA">
        <w:rPr>
          <w:rFonts w:ascii="Lato" w:hAnsi="Lato"/>
          <w:szCs w:val="22"/>
        </w:rPr>
        <w:t xml:space="preserve">Warunki meteorologiczne charakteryzują się bardzo nierównym rozkładem promieniowania słonecznego w cyklu rocznym. Około 80% całkowitej rocznej sumy nasłonecznienia przypada na sześć miesięcy sezonu wiosenno-letniego, od początku kwietnia do końca września, przy </w:t>
      </w:r>
      <w:r w:rsidR="008B4FF3" w:rsidRPr="00E832BA">
        <w:rPr>
          <w:rFonts w:ascii="Lato" w:hAnsi="Lato"/>
          <w:szCs w:val="22"/>
        </w:rPr>
        <w:t>czym czas operacji słonecznej w </w:t>
      </w:r>
      <w:r w:rsidRPr="00E832BA">
        <w:rPr>
          <w:rFonts w:ascii="Lato" w:hAnsi="Lato"/>
          <w:szCs w:val="22"/>
        </w:rPr>
        <w:t>lecie wydłuża się do 16 godz./dzień, natomiast w zimie skraca się do 8 godzin dziennie.</w:t>
      </w:r>
    </w:p>
    <w:p w:rsidR="006B024A" w:rsidRPr="003C3A56" w:rsidRDefault="00B45823" w:rsidP="009D5261">
      <w:pPr>
        <w:ind w:firstLine="709"/>
        <w:jc w:val="both"/>
        <w:rPr>
          <w:rFonts w:ascii="Lato" w:hAnsi="Lato"/>
          <w:szCs w:val="22"/>
        </w:rPr>
      </w:pPr>
      <w:r w:rsidRPr="003C3A56">
        <w:rPr>
          <w:rFonts w:ascii="Lato" w:hAnsi="Lato"/>
          <w:szCs w:val="22"/>
        </w:rPr>
        <w:t>Ze względu na fizyko</w:t>
      </w:r>
      <w:r w:rsidR="006B024A" w:rsidRPr="003C3A56">
        <w:rPr>
          <w:rFonts w:ascii="Lato" w:hAnsi="Lato"/>
          <w:szCs w:val="22"/>
        </w:rPr>
        <w:t>chemiczną naturę procesów przemian energetycznych promieniowania słonecznego na powierzchni Ziemi, w</w:t>
      </w:r>
      <w:r w:rsidR="00D03562">
        <w:rPr>
          <w:rFonts w:ascii="Lato" w:hAnsi="Lato"/>
          <w:szCs w:val="22"/>
        </w:rPr>
        <w:t>yróżnić można trzy podstawowe i </w:t>
      </w:r>
      <w:r w:rsidR="006B024A" w:rsidRPr="003C3A56">
        <w:rPr>
          <w:rFonts w:ascii="Lato" w:hAnsi="Lato"/>
          <w:szCs w:val="22"/>
        </w:rPr>
        <w:t>pierwotne rodzaje konwersji:</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3C3A56">
        <w:rPr>
          <w:rFonts w:ascii="Lato" w:hAnsi="Lato" w:cs="Times New Roman"/>
        </w:rPr>
        <w:t>konwersję fotochemiczną</w:t>
      </w:r>
      <w:r w:rsidRPr="006A496C">
        <w:rPr>
          <w:rFonts w:ascii="Lato" w:hAnsi="Lato" w:cs="Times New Roman"/>
        </w:rPr>
        <w:t xml:space="preserve"> energii promieniowania słonecznego prowadzącą dzięki fotosyntezie do tworzenia energii wiązań chemicznych w roślinach w procesach asymilacji,</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konwersję fototermiczną prowadzącą do przetworzenia energii promieniowania słonecznego na ciepło,</w:t>
      </w:r>
    </w:p>
    <w:p w:rsidR="006B024A" w:rsidRPr="006A496C" w:rsidRDefault="006B024A" w:rsidP="000B267A">
      <w:pPr>
        <w:pStyle w:val="Tekstpodstawowy"/>
        <w:numPr>
          <w:ilvl w:val="0"/>
          <w:numId w:val="83"/>
        </w:numPr>
        <w:tabs>
          <w:tab w:val="clear" w:pos="360"/>
        </w:tabs>
        <w:spacing w:after="240"/>
        <w:ind w:left="709" w:hanging="425"/>
        <w:rPr>
          <w:rFonts w:ascii="Lato" w:hAnsi="Lato" w:cs="Times New Roman"/>
        </w:rPr>
      </w:pPr>
      <w:r w:rsidRPr="006A496C">
        <w:rPr>
          <w:rFonts w:ascii="Lato" w:hAnsi="Lato" w:cs="Times New Roman"/>
        </w:rPr>
        <w:t>konwersję fotowoltaiczną prowadzącą do przetworzenia energ</w:t>
      </w:r>
      <w:r w:rsidR="00B45823" w:rsidRPr="006A496C">
        <w:rPr>
          <w:rFonts w:ascii="Lato" w:hAnsi="Lato" w:cs="Times New Roman"/>
        </w:rPr>
        <w:t>ii promieniowania słonecznego w </w:t>
      </w:r>
      <w:r w:rsidRPr="006A496C">
        <w:rPr>
          <w:rFonts w:ascii="Lato" w:hAnsi="Lato" w:cs="Times New Roman"/>
        </w:rPr>
        <w:t>energię elektryczną.</w:t>
      </w:r>
    </w:p>
    <w:p w:rsidR="006B024A" w:rsidRPr="00D56050" w:rsidRDefault="006B024A" w:rsidP="00D56050">
      <w:pPr>
        <w:ind w:firstLine="709"/>
        <w:jc w:val="both"/>
        <w:rPr>
          <w:rFonts w:ascii="Lato" w:hAnsi="Lato"/>
          <w:szCs w:val="22"/>
        </w:rPr>
      </w:pPr>
      <w:r w:rsidRPr="00D56050">
        <w:rPr>
          <w:rFonts w:ascii="Lato" w:hAnsi="Lato"/>
          <w:szCs w:val="22"/>
        </w:rPr>
        <w:lastRenderedPageBreak/>
        <w:t>Potencjał techniczny wykorzystania energii słonecznej w procesie konwers</w:t>
      </w:r>
      <w:r w:rsidR="00B45823" w:rsidRPr="00D56050">
        <w:rPr>
          <w:rFonts w:ascii="Lato" w:hAnsi="Lato"/>
          <w:szCs w:val="22"/>
        </w:rPr>
        <w:t>ji fototermicznej (instalacje z </w:t>
      </w:r>
      <w:r w:rsidRPr="00D56050">
        <w:rPr>
          <w:rFonts w:ascii="Lato" w:hAnsi="Lato"/>
          <w:szCs w:val="22"/>
        </w:rPr>
        <w:t>kolektorami słonecznymi) oraz fotowoltaicznej (układy ogniw fotowoltaicznych) pokazano na poniższym rysunku. Potencjał ten uwzględnia sprawność przetwarzania energii promieniowania słonecznego n</w:t>
      </w:r>
      <w:r w:rsidR="008B4FF3" w:rsidRPr="00D56050">
        <w:rPr>
          <w:rFonts w:ascii="Lato" w:hAnsi="Lato"/>
          <w:szCs w:val="22"/>
        </w:rPr>
        <w:t>a ciepło i energię elektryczną.</w:t>
      </w:r>
    </w:p>
    <w:p w:rsidR="002D26E7" w:rsidRPr="00295432" w:rsidRDefault="002D26E7" w:rsidP="002D26E7">
      <w:pPr>
        <w:ind w:firstLine="360"/>
        <w:jc w:val="both"/>
        <w:rPr>
          <w:rFonts w:ascii="Lato" w:hAnsi="Lato"/>
          <w:iCs/>
          <w:szCs w:val="22"/>
        </w:rPr>
      </w:pPr>
    </w:p>
    <w:p w:rsidR="006B024A" w:rsidRPr="00295432" w:rsidRDefault="0006260E" w:rsidP="00295432">
      <w:pPr>
        <w:spacing w:before="100" w:beforeAutospacing="1" w:after="100" w:afterAutospacing="1"/>
        <w:ind w:firstLine="0"/>
        <w:jc w:val="center"/>
        <w:rPr>
          <w:rFonts w:ascii="Lato" w:hAnsi="Lato"/>
          <w:iCs/>
          <w:szCs w:val="22"/>
        </w:rPr>
      </w:pPr>
      <w:r>
        <w:rPr>
          <w:rFonts w:ascii="Lato" w:hAnsi="Lato"/>
          <w:iCs/>
          <w:noProof/>
          <w:szCs w:val="22"/>
        </w:rPr>
        <w:drawing>
          <wp:inline distT="0" distB="0" distL="0" distR="0" wp14:anchorId="1C912574" wp14:editId="07569D40">
            <wp:extent cx="5934075" cy="5495925"/>
            <wp:effectExtent l="0" t="0" r="9525"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5495925"/>
                    </a:xfrm>
                    <a:prstGeom prst="rect">
                      <a:avLst/>
                    </a:prstGeom>
                    <a:noFill/>
                    <a:ln>
                      <a:noFill/>
                    </a:ln>
                  </pic:spPr>
                </pic:pic>
              </a:graphicData>
            </a:graphic>
          </wp:inline>
        </w:drawing>
      </w:r>
    </w:p>
    <w:p w:rsidR="00295432" w:rsidRPr="00295432" w:rsidRDefault="0006260E" w:rsidP="00295432">
      <w:pPr>
        <w:spacing w:before="100" w:beforeAutospacing="1" w:after="100" w:afterAutospacing="1"/>
        <w:ind w:firstLine="0"/>
        <w:jc w:val="center"/>
        <w:rPr>
          <w:rFonts w:ascii="Lato" w:hAnsi="Lato"/>
          <w:iCs/>
          <w:szCs w:val="22"/>
        </w:rPr>
      </w:pPr>
      <w:r>
        <w:rPr>
          <w:rFonts w:ascii="Lato" w:hAnsi="Lato"/>
          <w:iCs/>
          <w:noProof/>
          <w:szCs w:val="22"/>
        </w:rPr>
        <w:drawing>
          <wp:inline distT="0" distB="0" distL="0" distR="0" wp14:anchorId="20DB4604" wp14:editId="1719CFE9">
            <wp:extent cx="3952875" cy="1419225"/>
            <wp:effectExtent l="0" t="0" r="9525"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2875" cy="1419225"/>
                    </a:xfrm>
                    <a:prstGeom prst="rect">
                      <a:avLst/>
                    </a:prstGeom>
                    <a:noFill/>
                    <a:ln>
                      <a:noFill/>
                    </a:ln>
                  </pic:spPr>
                </pic:pic>
              </a:graphicData>
            </a:graphic>
          </wp:inline>
        </w:drawing>
      </w:r>
    </w:p>
    <w:p w:rsidR="006B024A" w:rsidRPr="00295432" w:rsidRDefault="006B024A" w:rsidP="00845CD4">
      <w:pPr>
        <w:spacing w:before="100" w:beforeAutospacing="1" w:line="240" w:lineRule="auto"/>
        <w:ind w:firstLine="0"/>
        <w:jc w:val="center"/>
        <w:rPr>
          <w:rFonts w:ascii="Lato" w:hAnsi="Lato"/>
          <w:b/>
          <w:bCs/>
          <w:color w:val="1F497D"/>
          <w:spacing w:val="-2"/>
          <w:sz w:val="20"/>
          <w:szCs w:val="20"/>
        </w:rPr>
      </w:pPr>
      <w:bookmarkStart w:id="344" w:name="_Toc273702862"/>
      <w:bookmarkStart w:id="345" w:name="_Toc328633179"/>
      <w:bookmarkStart w:id="346" w:name="_Toc336419397"/>
      <w:bookmarkStart w:id="347" w:name="_Toc336943713"/>
      <w:bookmarkStart w:id="348" w:name="_Toc20219251"/>
      <w:r w:rsidRPr="00295432">
        <w:rPr>
          <w:rFonts w:ascii="Lato" w:hAnsi="Lato"/>
          <w:b/>
          <w:bCs/>
          <w:color w:val="1F497D"/>
          <w:spacing w:val="-2"/>
          <w:sz w:val="20"/>
          <w:szCs w:val="20"/>
        </w:rPr>
        <w:t xml:space="preserve">Rysunek </w:t>
      </w:r>
      <w:r w:rsidR="004042AE" w:rsidRPr="00295432">
        <w:rPr>
          <w:rFonts w:ascii="Lato" w:hAnsi="Lato"/>
          <w:b/>
          <w:bCs/>
          <w:color w:val="1F497D"/>
          <w:spacing w:val="-2"/>
          <w:sz w:val="20"/>
          <w:szCs w:val="20"/>
        </w:rPr>
        <w:fldChar w:fldCharType="begin"/>
      </w:r>
      <w:r w:rsidR="005430ED" w:rsidRPr="00295432">
        <w:rPr>
          <w:rFonts w:ascii="Lato" w:hAnsi="Lato"/>
          <w:b/>
          <w:bCs/>
          <w:color w:val="1F497D"/>
          <w:spacing w:val="-2"/>
          <w:sz w:val="20"/>
          <w:szCs w:val="20"/>
        </w:rPr>
        <w:instrText xml:space="preserve"> STYLEREF 1 \s </w:instrText>
      </w:r>
      <w:r w:rsidR="004042AE" w:rsidRPr="00295432">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295432">
        <w:rPr>
          <w:rFonts w:ascii="Lato" w:hAnsi="Lato"/>
          <w:b/>
          <w:bCs/>
          <w:color w:val="1F497D"/>
          <w:spacing w:val="-2"/>
          <w:sz w:val="20"/>
          <w:szCs w:val="20"/>
        </w:rPr>
        <w:fldChar w:fldCharType="end"/>
      </w:r>
      <w:r w:rsidR="005430ED" w:rsidRPr="00295432">
        <w:rPr>
          <w:rFonts w:ascii="Lato" w:hAnsi="Lato"/>
          <w:b/>
          <w:bCs/>
          <w:color w:val="1F497D"/>
          <w:spacing w:val="-2"/>
          <w:sz w:val="20"/>
          <w:szCs w:val="20"/>
        </w:rPr>
        <w:noBreakHyphen/>
      </w:r>
      <w:r w:rsidR="004042AE" w:rsidRPr="00295432">
        <w:rPr>
          <w:rFonts w:ascii="Lato" w:hAnsi="Lato"/>
          <w:b/>
          <w:bCs/>
          <w:color w:val="1F497D"/>
          <w:spacing w:val="-2"/>
          <w:sz w:val="20"/>
          <w:szCs w:val="20"/>
        </w:rPr>
        <w:fldChar w:fldCharType="begin"/>
      </w:r>
      <w:r w:rsidR="005430ED" w:rsidRPr="00295432">
        <w:rPr>
          <w:rFonts w:ascii="Lato" w:hAnsi="Lato"/>
          <w:b/>
          <w:bCs/>
          <w:color w:val="1F497D"/>
          <w:spacing w:val="-2"/>
          <w:sz w:val="20"/>
          <w:szCs w:val="20"/>
        </w:rPr>
        <w:instrText xml:space="preserve"> SEQ Rysunek \* ARABIC \s 1 </w:instrText>
      </w:r>
      <w:r w:rsidR="004042AE" w:rsidRPr="00295432">
        <w:rPr>
          <w:rFonts w:ascii="Lato" w:hAnsi="Lato"/>
          <w:b/>
          <w:bCs/>
          <w:color w:val="1F497D"/>
          <w:spacing w:val="-2"/>
          <w:sz w:val="20"/>
          <w:szCs w:val="20"/>
        </w:rPr>
        <w:fldChar w:fldCharType="separate"/>
      </w:r>
      <w:r w:rsidR="0040205B">
        <w:rPr>
          <w:rFonts w:ascii="Lato" w:hAnsi="Lato"/>
          <w:b/>
          <w:bCs/>
          <w:noProof/>
          <w:color w:val="1F497D"/>
          <w:spacing w:val="-2"/>
          <w:sz w:val="20"/>
          <w:szCs w:val="20"/>
        </w:rPr>
        <w:t>10</w:t>
      </w:r>
      <w:r w:rsidR="004042AE" w:rsidRPr="00295432">
        <w:rPr>
          <w:rFonts w:ascii="Lato" w:hAnsi="Lato"/>
          <w:b/>
          <w:bCs/>
          <w:color w:val="1F497D"/>
          <w:spacing w:val="-2"/>
          <w:sz w:val="20"/>
          <w:szCs w:val="20"/>
        </w:rPr>
        <w:fldChar w:fldCharType="end"/>
      </w:r>
      <w:r w:rsidRPr="00295432">
        <w:rPr>
          <w:rFonts w:ascii="Lato" w:hAnsi="Lato"/>
          <w:b/>
          <w:bCs/>
          <w:color w:val="1F497D"/>
          <w:spacing w:val="-2"/>
          <w:sz w:val="20"/>
          <w:szCs w:val="20"/>
        </w:rPr>
        <w:t xml:space="preserve"> </w:t>
      </w:r>
      <w:bookmarkEnd w:id="344"/>
      <w:bookmarkEnd w:id="345"/>
      <w:bookmarkEnd w:id="346"/>
      <w:bookmarkEnd w:id="347"/>
      <w:r w:rsidR="00172248" w:rsidRPr="00295432">
        <w:rPr>
          <w:rFonts w:ascii="Lato" w:hAnsi="Lato"/>
          <w:b/>
          <w:bCs/>
          <w:color w:val="1F497D"/>
          <w:spacing w:val="-2"/>
          <w:sz w:val="20"/>
          <w:szCs w:val="20"/>
        </w:rPr>
        <w:t xml:space="preserve">Potencjał techniczny wykorzystania energii słonecznej </w:t>
      </w:r>
      <w:r w:rsidR="00295432" w:rsidRPr="00295432">
        <w:rPr>
          <w:rFonts w:ascii="Lato" w:hAnsi="Lato"/>
          <w:b/>
          <w:bCs/>
          <w:color w:val="1F497D"/>
          <w:spacing w:val="-2"/>
          <w:sz w:val="20"/>
          <w:szCs w:val="20"/>
        </w:rPr>
        <w:t>w Polsce</w:t>
      </w:r>
      <w:bookmarkEnd w:id="348"/>
    </w:p>
    <w:p w:rsidR="00172248" w:rsidRPr="00295432" w:rsidRDefault="009D5261" w:rsidP="000B267A">
      <w:pPr>
        <w:spacing w:after="240" w:line="240" w:lineRule="auto"/>
        <w:ind w:firstLine="0"/>
        <w:jc w:val="center"/>
        <w:rPr>
          <w:rFonts w:ascii="Lato" w:hAnsi="Lato"/>
          <w:bCs/>
          <w:i/>
          <w:spacing w:val="-2"/>
          <w:sz w:val="20"/>
          <w:szCs w:val="20"/>
        </w:rPr>
      </w:pPr>
      <w:r w:rsidRPr="00295432">
        <w:rPr>
          <w:rFonts w:ascii="Lato" w:hAnsi="Lato"/>
          <w:bCs/>
          <w:i/>
          <w:spacing w:val="-2"/>
          <w:sz w:val="20"/>
          <w:szCs w:val="20"/>
        </w:rPr>
        <w:t>Ź</w:t>
      </w:r>
      <w:r w:rsidR="006B024A" w:rsidRPr="00295432">
        <w:rPr>
          <w:rFonts w:ascii="Lato" w:hAnsi="Lato"/>
          <w:bCs/>
          <w:i/>
          <w:spacing w:val="-2"/>
          <w:sz w:val="20"/>
          <w:szCs w:val="20"/>
        </w:rPr>
        <w:t xml:space="preserve">ródło: </w:t>
      </w:r>
      <w:r w:rsidR="00295432" w:rsidRPr="00295432">
        <w:rPr>
          <w:rFonts w:ascii="Lato" w:hAnsi="Lato"/>
          <w:bCs/>
          <w:i/>
          <w:spacing w:val="-2"/>
          <w:sz w:val="20"/>
          <w:szCs w:val="20"/>
        </w:rPr>
        <w:t>Źródło: Koncepcja Przestrzennego Zagospodarowania Kraju 2030</w:t>
      </w:r>
    </w:p>
    <w:p w:rsidR="006B024A" w:rsidRPr="00385D15" w:rsidRDefault="006B024A" w:rsidP="00D153EC">
      <w:pPr>
        <w:ind w:firstLine="709"/>
        <w:jc w:val="both"/>
        <w:rPr>
          <w:rFonts w:ascii="Lato" w:hAnsi="Lato"/>
          <w:szCs w:val="22"/>
        </w:rPr>
      </w:pPr>
      <w:r w:rsidRPr="00385D15">
        <w:rPr>
          <w:rFonts w:ascii="Lato" w:hAnsi="Lato"/>
          <w:szCs w:val="22"/>
        </w:rPr>
        <w:lastRenderedPageBreak/>
        <w:t xml:space="preserve">Nie istnieją środki prawne, które nakazywałyby montaż urządzeń typu kolektor słoneczny, ogniwo fotowoltaiczne, niemniej jednak zaleca się promowanie tego typu rozwiązań, jako korzystnych głównie pod względem ekologicznym. </w:t>
      </w:r>
    </w:p>
    <w:p w:rsidR="006B024A" w:rsidRPr="00385D15" w:rsidRDefault="006B024A" w:rsidP="00D153EC">
      <w:pPr>
        <w:ind w:firstLine="709"/>
        <w:jc w:val="both"/>
        <w:rPr>
          <w:rFonts w:ascii="Lato" w:hAnsi="Lato"/>
          <w:szCs w:val="22"/>
        </w:rPr>
      </w:pPr>
      <w:r w:rsidRPr="00385D15">
        <w:rPr>
          <w:rFonts w:ascii="Lato" w:hAnsi="Lato"/>
          <w:szCs w:val="22"/>
        </w:rPr>
        <w:t>Kolektory jako urządzenia o dość niskich parametrach pracy znakomi</w:t>
      </w:r>
      <w:r w:rsidR="00D03562">
        <w:rPr>
          <w:rFonts w:ascii="Lato" w:hAnsi="Lato"/>
          <w:szCs w:val="22"/>
        </w:rPr>
        <w:t>cie nadają się do </w:t>
      </w:r>
      <w:r w:rsidRPr="00385D15">
        <w:rPr>
          <w:rFonts w:ascii="Lato" w:hAnsi="Lato"/>
          <w:szCs w:val="22"/>
        </w:rPr>
        <w:t>ogrzewania wody w basenach kąpielowych. Często w takich przypadkach kolektory wspomagają nie tylko ogrzewanie wody basenu, ale także jak już wspomniano produkcję wody użytkow</w:t>
      </w:r>
      <w:r w:rsidR="00D153EC" w:rsidRPr="00385D15">
        <w:rPr>
          <w:rFonts w:ascii="Lato" w:hAnsi="Lato"/>
          <w:szCs w:val="22"/>
        </w:rPr>
        <w:t>ej, w</w:t>
      </w:r>
      <w:r w:rsidR="00B83BEC">
        <w:rPr>
          <w:rFonts w:ascii="Lato" w:hAnsi="Lato"/>
          <w:szCs w:val="22"/>
        </w:rPr>
        <w:t xml:space="preserve"> </w:t>
      </w:r>
      <w:r w:rsidR="00D153EC" w:rsidRPr="00385D15">
        <w:rPr>
          <w:rFonts w:ascii="Lato" w:hAnsi="Lato"/>
          <w:szCs w:val="22"/>
        </w:rPr>
        <w:t>mniejszym stopniu, wody w </w:t>
      </w:r>
      <w:r w:rsidRPr="00385D15">
        <w:rPr>
          <w:rFonts w:ascii="Lato" w:hAnsi="Lato"/>
          <w:szCs w:val="22"/>
        </w:rPr>
        <w:t>obiegu centralnego ogrzewania. Układy takie sprawdzają się w</w:t>
      </w:r>
      <w:r w:rsidR="00B83BEC">
        <w:rPr>
          <w:rFonts w:ascii="Lato" w:hAnsi="Lato"/>
          <w:szCs w:val="22"/>
        </w:rPr>
        <w:t xml:space="preserve"> </w:t>
      </w:r>
      <w:r w:rsidRPr="00385D15">
        <w:rPr>
          <w:rFonts w:ascii="Lato" w:hAnsi="Lato"/>
          <w:szCs w:val="22"/>
        </w:rPr>
        <w:t>obiektach o dużym i równomiernym zapotrzebowaniu na c.w.u.</w:t>
      </w:r>
    </w:p>
    <w:p w:rsidR="006B024A" w:rsidRPr="00385D15" w:rsidRDefault="006B024A" w:rsidP="00385D15">
      <w:pPr>
        <w:pStyle w:val="Tekstpodstawowy3"/>
        <w:suppressAutoHyphens/>
        <w:ind w:firstLine="709"/>
        <w:jc w:val="both"/>
        <w:rPr>
          <w:rFonts w:ascii="Lato" w:hAnsi="Lato"/>
          <w:b w:val="0"/>
          <w:bCs/>
          <w:i w:val="0"/>
          <w:iCs/>
          <w:szCs w:val="22"/>
        </w:rPr>
      </w:pPr>
      <w:r w:rsidRPr="00385D15">
        <w:rPr>
          <w:rFonts w:ascii="Lato" w:hAnsi="Lato"/>
          <w:b w:val="0"/>
          <w:bCs/>
          <w:i w:val="0"/>
          <w:iCs/>
          <w:szCs w:val="22"/>
        </w:rPr>
        <w:t>Coraz bardziej interesujące jest stosowanie urządzeń wykorzystujących energię słoneczną do produkcji energii elektrycznej w układach fotowoltaicznych, hybrydowych i</w:t>
      </w:r>
      <w:r w:rsidR="00B83BEC">
        <w:rPr>
          <w:rFonts w:ascii="Lato" w:hAnsi="Lato"/>
          <w:b w:val="0"/>
          <w:bCs/>
          <w:i w:val="0"/>
          <w:iCs/>
          <w:szCs w:val="22"/>
        </w:rPr>
        <w:t xml:space="preserve"> </w:t>
      </w:r>
      <w:r w:rsidRPr="00385D15">
        <w:rPr>
          <w:rFonts w:ascii="Lato" w:hAnsi="Lato"/>
          <w:b w:val="0"/>
          <w:bCs/>
          <w:i w:val="0"/>
          <w:iCs/>
          <w:szCs w:val="22"/>
        </w:rPr>
        <w:t>pod</w:t>
      </w:r>
      <w:r w:rsidR="00D03562">
        <w:rPr>
          <w:rFonts w:ascii="Lato" w:hAnsi="Lato"/>
          <w:b w:val="0"/>
          <w:bCs/>
          <w:i w:val="0"/>
          <w:iCs/>
          <w:szCs w:val="22"/>
        </w:rPr>
        <w:t>obnych z </w:t>
      </w:r>
      <w:r w:rsidRPr="00385D15">
        <w:rPr>
          <w:rFonts w:ascii="Lato" w:hAnsi="Lato"/>
          <w:b w:val="0"/>
          <w:bCs/>
          <w:i w:val="0"/>
          <w:iCs/>
          <w:szCs w:val="22"/>
        </w:rPr>
        <w:t xml:space="preserve">uwagi na malejący koszt inwestycyjny tego typu instalacji. Koszt małych instalacji fotowoltaicznych kształtuje się na poziomie </w:t>
      </w:r>
      <w:r w:rsidR="005B408D" w:rsidRPr="00385D15">
        <w:rPr>
          <w:rFonts w:ascii="Lato" w:hAnsi="Lato"/>
          <w:b w:val="0"/>
          <w:bCs/>
          <w:i w:val="0"/>
          <w:iCs/>
          <w:szCs w:val="22"/>
        </w:rPr>
        <w:t>6</w:t>
      </w:r>
      <w:r w:rsidR="00B45823" w:rsidRPr="00385D15">
        <w:rPr>
          <w:rFonts w:ascii="Lato" w:hAnsi="Lato"/>
          <w:b w:val="0"/>
          <w:bCs/>
          <w:i w:val="0"/>
          <w:iCs/>
          <w:szCs w:val="22"/>
        </w:rPr>
        <w:t> </w:t>
      </w:r>
      <w:r w:rsidRPr="00385D15">
        <w:rPr>
          <w:rFonts w:ascii="Lato" w:hAnsi="Lato"/>
          <w:b w:val="0"/>
          <w:bCs/>
          <w:i w:val="0"/>
          <w:iCs/>
          <w:szCs w:val="22"/>
        </w:rPr>
        <w:t xml:space="preserve">zł/W mocy zainstalowanej (koszt ten </w:t>
      </w:r>
      <w:r w:rsidR="00D03562">
        <w:rPr>
          <w:rFonts w:ascii="Lato" w:hAnsi="Lato"/>
          <w:b w:val="0"/>
          <w:bCs/>
          <w:i w:val="0"/>
          <w:iCs/>
          <w:szCs w:val="22"/>
        </w:rPr>
        <w:t>spadł w </w:t>
      </w:r>
      <w:r w:rsidR="00385D15" w:rsidRPr="00385D15">
        <w:rPr>
          <w:rFonts w:ascii="Lato" w:hAnsi="Lato"/>
          <w:b w:val="0"/>
          <w:bCs/>
          <w:i w:val="0"/>
          <w:iCs/>
          <w:szCs w:val="22"/>
        </w:rPr>
        <w:t>stosunku do 2002 roku o</w:t>
      </w:r>
      <w:r w:rsidR="000B267A">
        <w:rPr>
          <w:rFonts w:ascii="Lato" w:hAnsi="Lato"/>
          <w:b w:val="0"/>
          <w:bCs/>
          <w:i w:val="0"/>
          <w:iCs/>
          <w:szCs w:val="22"/>
        </w:rPr>
        <w:t> </w:t>
      </w:r>
      <w:r w:rsidRPr="00385D15">
        <w:rPr>
          <w:rFonts w:ascii="Lato" w:hAnsi="Lato"/>
          <w:b w:val="0"/>
          <w:bCs/>
          <w:i w:val="0"/>
          <w:iCs/>
          <w:szCs w:val="22"/>
        </w:rPr>
        <w:t>ponad 2 razy). Jednostkowy koszt większych instalacji jest jeszcze niższy. Wraz z</w:t>
      </w:r>
      <w:r w:rsidR="00B83BEC">
        <w:rPr>
          <w:rFonts w:ascii="Lato" w:hAnsi="Lato"/>
          <w:b w:val="0"/>
          <w:bCs/>
          <w:i w:val="0"/>
          <w:iCs/>
          <w:szCs w:val="22"/>
        </w:rPr>
        <w:t xml:space="preserve"> </w:t>
      </w:r>
      <w:r w:rsidRPr="00385D15">
        <w:rPr>
          <w:rFonts w:ascii="Lato" w:hAnsi="Lato"/>
          <w:b w:val="0"/>
          <w:bCs/>
          <w:i w:val="0"/>
          <w:iCs/>
          <w:szCs w:val="22"/>
        </w:rPr>
        <w:t>rozwojem tej technologii rośnie również sprawność</w:t>
      </w:r>
      <w:r w:rsidR="00D03562">
        <w:rPr>
          <w:rFonts w:ascii="Lato" w:hAnsi="Lato"/>
          <w:b w:val="0"/>
          <w:bCs/>
          <w:i w:val="0"/>
          <w:iCs/>
          <w:szCs w:val="22"/>
        </w:rPr>
        <w:t xml:space="preserve"> instalacji fotowoltaicznych (w </w:t>
      </w:r>
      <w:r w:rsidRPr="00385D15">
        <w:rPr>
          <w:rFonts w:ascii="Lato" w:hAnsi="Lato"/>
          <w:b w:val="0"/>
          <w:bCs/>
          <w:i w:val="0"/>
          <w:iCs/>
          <w:szCs w:val="22"/>
        </w:rPr>
        <w:t xml:space="preserve">chwili obecnej sprawność ogniw fotowoltaicznych waha się w granicach od 14-17%). </w:t>
      </w:r>
      <w:r w:rsidR="003764A1" w:rsidRPr="00385D15">
        <w:rPr>
          <w:rFonts w:ascii="Lato" w:hAnsi="Lato"/>
          <w:b w:val="0"/>
          <w:bCs/>
          <w:i w:val="0"/>
          <w:iCs/>
          <w:szCs w:val="22"/>
        </w:rPr>
        <w:t xml:space="preserve">Dlatego też preferuje się stosowanie tego typu urządzeń na terenie </w:t>
      </w:r>
      <w:r w:rsidR="00B83BEC">
        <w:rPr>
          <w:rFonts w:ascii="Lato" w:hAnsi="Lato"/>
          <w:b w:val="0"/>
          <w:bCs/>
          <w:i w:val="0"/>
          <w:iCs/>
          <w:szCs w:val="22"/>
        </w:rPr>
        <w:t>G</w:t>
      </w:r>
      <w:r w:rsidR="003764A1" w:rsidRPr="00385D15">
        <w:rPr>
          <w:rFonts w:ascii="Lato" w:hAnsi="Lato"/>
          <w:b w:val="0"/>
          <w:bCs/>
          <w:i w:val="0"/>
          <w:iCs/>
          <w:szCs w:val="22"/>
        </w:rPr>
        <w:t xml:space="preserve">miny </w:t>
      </w:r>
      <w:r w:rsidR="00385D15" w:rsidRPr="00385D15">
        <w:rPr>
          <w:rFonts w:ascii="Lato" w:hAnsi="Lato"/>
          <w:b w:val="0"/>
          <w:bCs/>
          <w:i w:val="0"/>
          <w:iCs/>
          <w:szCs w:val="22"/>
        </w:rPr>
        <w:t>Pabianice</w:t>
      </w:r>
      <w:r w:rsidR="003764A1" w:rsidRPr="00385D15">
        <w:rPr>
          <w:rFonts w:ascii="Lato" w:hAnsi="Lato"/>
          <w:b w:val="0"/>
          <w:bCs/>
          <w:i w:val="0"/>
          <w:iCs/>
          <w:szCs w:val="22"/>
        </w:rPr>
        <w:t>.</w:t>
      </w:r>
    </w:p>
    <w:p w:rsidR="006B024A" w:rsidRPr="00385D15" w:rsidRDefault="006B024A" w:rsidP="00385D15">
      <w:pPr>
        <w:ind w:firstLine="709"/>
        <w:jc w:val="both"/>
        <w:rPr>
          <w:rFonts w:ascii="Lato" w:hAnsi="Lato"/>
          <w:szCs w:val="22"/>
        </w:rPr>
      </w:pPr>
      <w:r w:rsidRPr="00385D15">
        <w:rPr>
          <w:rFonts w:ascii="Lato" w:hAnsi="Lato"/>
          <w:szCs w:val="22"/>
        </w:rPr>
        <w:t>Instalacja kolektorów słonecznych musi być dostosowana do potrzeb odbiorcy oraz warunków związanych np. z usytuowaniem obiektu mieszkalnego oraz musi być również dostosowana do konwencjonalnego systemu grzewczego. Kryterium klasyfikacji systemów tego typu jest na ogół charakter</w:t>
      </w:r>
      <w:r w:rsidR="00B3500D" w:rsidRPr="00385D15">
        <w:rPr>
          <w:rFonts w:ascii="Lato" w:hAnsi="Lato"/>
          <w:szCs w:val="22"/>
        </w:rPr>
        <w:t xml:space="preserve"> przepływu czynnika roboczego w</w:t>
      </w:r>
      <w:r w:rsidR="00B83BEC">
        <w:rPr>
          <w:rFonts w:ascii="Lato" w:hAnsi="Lato"/>
          <w:szCs w:val="22"/>
        </w:rPr>
        <w:t xml:space="preserve"> </w:t>
      </w:r>
      <w:r w:rsidRPr="00385D15">
        <w:rPr>
          <w:rFonts w:ascii="Lato" w:hAnsi="Lato"/>
          <w:szCs w:val="22"/>
        </w:rPr>
        <w:t xml:space="preserve">układzie. </w:t>
      </w:r>
    </w:p>
    <w:p w:rsidR="006B024A" w:rsidRPr="00D352C4" w:rsidRDefault="006B024A" w:rsidP="00385D15">
      <w:pPr>
        <w:ind w:firstLine="709"/>
        <w:jc w:val="both"/>
        <w:rPr>
          <w:rFonts w:ascii="Lato" w:hAnsi="Lato"/>
          <w:szCs w:val="22"/>
          <w:highlight w:val="yellow"/>
        </w:rPr>
      </w:pPr>
      <w:r w:rsidRPr="00385D15">
        <w:rPr>
          <w:rFonts w:ascii="Lato" w:hAnsi="Lato"/>
          <w:szCs w:val="22"/>
        </w:rPr>
        <w:t>Instalacje, w których ruch ma charakter naturalny wywołany konwekcją swobodną nazywamy termosyfonowymi (albo pasywnymi), gdy ruch wywołany jest pompą cyrkulacyjną, aktywnymi. Systemy aktywne pośrednie posiadają wymiennik ciepła oddzielający obieg kolektorowy (przepływa w nim czynnik odbierający ciepło w kolektorach słonecznych) od obiegu wody użytkowej. Niezamarzającymi czynnikami roboczymi przepływającymi przez kolektor mogą być roztwory glikolów etylenowych, węglowodorów, olejów silikonowych. Pośrednie systemy znajdują więc przede wszystkim zastosowanie w strefach klimatycznych, gdzie może nastąpić zamarzanie wody. W polskich warunkach klimatycznych ten rodzaj systemu jest szeroko rozpowszechniony. Ułatwia on eksploatację instalacji, gdyż nie powoduje konieczności spuszczania wody w okresie występowania ujemnych temperatur zewnętrznych, a również umożliwia korzystanie z instalacji w okresie wczesno – wiosennym i późno – jesiennym, gdy występują przymrozki, ale wartości gęstości strumienia energii promieniowa</w:t>
      </w:r>
      <w:r w:rsidR="005B2357" w:rsidRPr="00385D15">
        <w:rPr>
          <w:rFonts w:ascii="Lato" w:hAnsi="Lato"/>
          <w:szCs w:val="22"/>
        </w:rPr>
        <w:t>nia słonecznego mogą być duże i</w:t>
      </w:r>
      <w:r w:rsidR="008352DA">
        <w:rPr>
          <w:rFonts w:ascii="Lato" w:hAnsi="Lato"/>
          <w:szCs w:val="22"/>
        </w:rPr>
        <w:t> </w:t>
      </w:r>
      <w:r w:rsidRPr="00385D15">
        <w:rPr>
          <w:rFonts w:ascii="Lato" w:hAnsi="Lato"/>
          <w:szCs w:val="22"/>
        </w:rPr>
        <w:t xml:space="preserve">zachęcać do korzystania z systemu. Możliwa jest </w:t>
      </w:r>
      <w:r w:rsidR="00D03562">
        <w:rPr>
          <w:rFonts w:ascii="Lato" w:hAnsi="Lato"/>
          <w:szCs w:val="22"/>
        </w:rPr>
        <w:t>oczywiście i praca instalacji z </w:t>
      </w:r>
      <w:r w:rsidRPr="00385D15">
        <w:rPr>
          <w:rFonts w:ascii="Lato" w:hAnsi="Lato"/>
          <w:szCs w:val="22"/>
        </w:rPr>
        <w:t xml:space="preserve">niezamarzającym czynnikiem roboczym również zimą przy korzystnych warunkach nasłonecznienia. W układach pośrednich stosuje się najczęściej tzw. wymiennikowe zasobniki ciepłej wody użytkowej. Wymiennik ciepła może mieć formę spiralnej wężownicy umieszczonej wewnątrz zasobnika ciepłej wody użytkowej lub nawiniętej na obwodzie zbiornika akumulującego. </w:t>
      </w:r>
    </w:p>
    <w:p w:rsidR="006B024A" w:rsidRPr="00745283" w:rsidRDefault="006B024A" w:rsidP="00385D15">
      <w:pPr>
        <w:ind w:firstLine="709"/>
        <w:jc w:val="both"/>
        <w:rPr>
          <w:rFonts w:ascii="Lato" w:hAnsi="Lato"/>
          <w:szCs w:val="22"/>
        </w:rPr>
      </w:pPr>
      <w:r w:rsidRPr="00745283">
        <w:rPr>
          <w:rFonts w:ascii="Lato" w:hAnsi="Lato"/>
          <w:szCs w:val="22"/>
        </w:rPr>
        <w:t>Na poniższym rysunku zaprezentowano schemat funkcjonalny ak</w:t>
      </w:r>
      <w:r w:rsidR="005B2357" w:rsidRPr="00745283">
        <w:rPr>
          <w:rFonts w:ascii="Lato" w:hAnsi="Lato"/>
          <w:szCs w:val="22"/>
        </w:rPr>
        <w:t>tywnego, pośredniego systemu, z </w:t>
      </w:r>
      <w:r w:rsidRPr="00745283">
        <w:rPr>
          <w:rFonts w:ascii="Lato" w:hAnsi="Lato"/>
          <w:szCs w:val="22"/>
        </w:rPr>
        <w:t xml:space="preserve">wydzielonym wymiennikiem ciepła. Układy takie powinny być systemami towarzyszącymi tradycyjnym instalacjom podgrzewania ciepłej wody użytkowej, gdyż same nie mogą zagwarantować pełnego pokrycia całorocznego zapotrzebowania, w tym również latem ze względu na możliwość sekwencyjnego występowania ciągu dni pochmurnych. </w:t>
      </w:r>
    </w:p>
    <w:p w:rsidR="006B024A" w:rsidRPr="00D352C4" w:rsidRDefault="0006260E" w:rsidP="006B024A">
      <w:pPr>
        <w:spacing w:before="100" w:beforeAutospacing="1" w:after="100" w:afterAutospacing="1"/>
        <w:jc w:val="center"/>
        <w:rPr>
          <w:rFonts w:ascii="Lato" w:hAnsi="Lato"/>
          <w:iCs/>
          <w:szCs w:val="22"/>
          <w:highlight w:val="yellow"/>
        </w:rPr>
      </w:pPr>
      <w:r>
        <w:rPr>
          <w:rFonts w:ascii="Lato" w:hAnsi="Lato"/>
          <w:noProof/>
          <w:color w:val="FFFFFF"/>
          <w:szCs w:val="22"/>
        </w:rPr>
        <w:lastRenderedPageBreak/>
        <w:drawing>
          <wp:inline distT="0" distB="0" distL="0" distR="0" wp14:anchorId="5449E9EC" wp14:editId="329FD921">
            <wp:extent cx="3272155" cy="2981325"/>
            <wp:effectExtent l="0" t="0" r="4445" b="952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72155" cy="2981325"/>
                    </a:xfrm>
                    <a:prstGeom prst="rect">
                      <a:avLst/>
                    </a:prstGeom>
                    <a:noFill/>
                    <a:ln>
                      <a:noFill/>
                    </a:ln>
                  </pic:spPr>
                </pic:pic>
              </a:graphicData>
            </a:graphic>
          </wp:inline>
        </w:drawing>
      </w:r>
    </w:p>
    <w:p w:rsidR="006B024A" w:rsidRPr="00745283" w:rsidRDefault="006B024A" w:rsidP="00422FB4">
      <w:pPr>
        <w:spacing w:before="100" w:beforeAutospacing="1" w:line="240" w:lineRule="auto"/>
        <w:ind w:firstLine="0"/>
        <w:jc w:val="center"/>
        <w:rPr>
          <w:rFonts w:ascii="Lato" w:hAnsi="Lato"/>
          <w:iCs/>
        </w:rPr>
      </w:pPr>
      <w:bookmarkStart w:id="349" w:name="_Toc273702864"/>
      <w:bookmarkStart w:id="350" w:name="_Toc328633180"/>
      <w:bookmarkStart w:id="351" w:name="_Toc336419399"/>
      <w:bookmarkStart w:id="352" w:name="_Toc336943715"/>
      <w:bookmarkStart w:id="353" w:name="_Toc20219252"/>
      <w:bookmarkStart w:id="354" w:name="OLE_LINK34"/>
      <w:bookmarkStart w:id="355" w:name="OLE_LINK35"/>
      <w:r w:rsidRPr="00745283">
        <w:rPr>
          <w:rFonts w:ascii="Lato" w:hAnsi="Lato"/>
          <w:b/>
          <w:bCs/>
          <w:color w:val="1F497D"/>
          <w:spacing w:val="-2"/>
          <w:sz w:val="20"/>
          <w:szCs w:val="20"/>
        </w:rPr>
        <w:t xml:space="preserve">Rysunek </w:t>
      </w:r>
      <w:r w:rsidR="004042AE" w:rsidRPr="00745283">
        <w:rPr>
          <w:rFonts w:ascii="Lato" w:hAnsi="Lato"/>
          <w:b/>
          <w:bCs/>
          <w:color w:val="1F497D"/>
          <w:spacing w:val="-2"/>
          <w:sz w:val="20"/>
          <w:szCs w:val="20"/>
        </w:rPr>
        <w:fldChar w:fldCharType="begin"/>
      </w:r>
      <w:r w:rsidR="005430ED" w:rsidRPr="00745283">
        <w:rPr>
          <w:rFonts w:ascii="Lato" w:hAnsi="Lato"/>
          <w:b/>
          <w:bCs/>
          <w:color w:val="1F497D"/>
          <w:spacing w:val="-2"/>
          <w:sz w:val="20"/>
          <w:szCs w:val="20"/>
        </w:rPr>
        <w:instrText xml:space="preserve"> STYLEREF 1 \s </w:instrText>
      </w:r>
      <w:r w:rsidR="004042AE" w:rsidRPr="00745283">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745283">
        <w:rPr>
          <w:rFonts w:ascii="Lato" w:hAnsi="Lato"/>
          <w:b/>
          <w:bCs/>
          <w:color w:val="1F497D"/>
          <w:spacing w:val="-2"/>
          <w:sz w:val="20"/>
          <w:szCs w:val="20"/>
        </w:rPr>
        <w:fldChar w:fldCharType="end"/>
      </w:r>
      <w:r w:rsidR="005430ED" w:rsidRPr="00745283">
        <w:rPr>
          <w:rFonts w:ascii="Lato" w:hAnsi="Lato"/>
          <w:b/>
          <w:bCs/>
          <w:color w:val="1F497D"/>
          <w:spacing w:val="-2"/>
          <w:sz w:val="20"/>
          <w:szCs w:val="20"/>
        </w:rPr>
        <w:noBreakHyphen/>
      </w:r>
      <w:r w:rsidR="004042AE" w:rsidRPr="00745283">
        <w:rPr>
          <w:rFonts w:ascii="Lato" w:hAnsi="Lato"/>
          <w:b/>
          <w:bCs/>
          <w:color w:val="1F497D"/>
          <w:spacing w:val="-2"/>
          <w:sz w:val="20"/>
          <w:szCs w:val="20"/>
        </w:rPr>
        <w:fldChar w:fldCharType="begin"/>
      </w:r>
      <w:r w:rsidR="005430ED" w:rsidRPr="00745283">
        <w:rPr>
          <w:rFonts w:ascii="Lato" w:hAnsi="Lato"/>
          <w:b/>
          <w:bCs/>
          <w:color w:val="1F497D"/>
          <w:spacing w:val="-2"/>
          <w:sz w:val="20"/>
          <w:szCs w:val="20"/>
        </w:rPr>
        <w:instrText xml:space="preserve"> SEQ Rysunek \* ARABIC \s 1 </w:instrText>
      </w:r>
      <w:r w:rsidR="004042AE" w:rsidRPr="00745283">
        <w:rPr>
          <w:rFonts w:ascii="Lato" w:hAnsi="Lato"/>
          <w:b/>
          <w:bCs/>
          <w:color w:val="1F497D"/>
          <w:spacing w:val="-2"/>
          <w:sz w:val="20"/>
          <w:szCs w:val="20"/>
        </w:rPr>
        <w:fldChar w:fldCharType="separate"/>
      </w:r>
      <w:r w:rsidR="0040205B">
        <w:rPr>
          <w:rFonts w:ascii="Lato" w:hAnsi="Lato"/>
          <w:b/>
          <w:bCs/>
          <w:noProof/>
          <w:color w:val="1F497D"/>
          <w:spacing w:val="-2"/>
          <w:sz w:val="20"/>
          <w:szCs w:val="20"/>
        </w:rPr>
        <w:t>11</w:t>
      </w:r>
      <w:r w:rsidR="004042AE" w:rsidRPr="00745283">
        <w:rPr>
          <w:rFonts w:ascii="Lato" w:hAnsi="Lato"/>
          <w:b/>
          <w:bCs/>
          <w:color w:val="1F497D"/>
          <w:spacing w:val="-2"/>
          <w:sz w:val="20"/>
          <w:szCs w:val="20"/>
        </w:rPr>
        <w:fldChar w:fldCharType="end"/>
      </w:r>
      <w:r w:rsidRPr="00745283">
        <w:rPr>
          <w:rFonts w:ascii="Lato" w:hAnsi="Lato"/>
          <w:b/>
          <w:bCs/>
          <w:color w:val="1F497D"/>
          <w:spacing w:val="-2"/>
          <w:sz w:val="20"/>
          <w:szCs w:val="20"/>
        </w:rPr>
        <w:t xml:space="preserve"> Schemat funkcjonalny instalacji z obiegiem wymuszonym (system aktywny pośredni)</w:t>
      </w:r>
      <w:bookmarkEnd w:id="349"/>
      <w:bookmarkEnd w:id="350"/>
      <w:bookmarkEnd w:id="351"/>
      <w:bookmarkEnd w:id="352"/>
      <w:bookmarkEnd w:id="353"/>
    </w:p>
    <w:bookmarkEnd w:id="354"/>
    <w:bookmarkEnd w:id="355"/>
    <w:p w:rsidR="00422FB4" w:rsidRPr="00745283" w:rsidRDefault="00745283" w:rsidP="00745283">
      <w:pPr>
        <w:ind w:firstLine="0"/>
        <w:jc w:val="center"/>
        <w:rPr>
          <w:rFonts w:ascii="Lato" w:hAnsi="Lato"/>
          <w:bCs/>
          <w:i/>
          <w:spacing w:val="-2"/>
          <w:sz w:val="20"/>
          <w:szCs w:val="20"/>
          <w:highlight w:val="yellow"/>
        </w:rPr>
      </w:pPr>
      <w:r w:rsidRPr="00745283">
        <w:rPr>
          <w:rFonts w:ascii="Lato" w:hAnsi="Lato"/>
          <w:bCs/>
          <w:i/>
          <w:spacing w:val="-2"/>
          <w:sz w:val="20"/>
          <w:szCs w:val="20"/>
        </w:rPr>
        <w:t>Źródło: RETScreen</w:t>
      </w:r>
    </w:p>
    <w:p w:rsidR="00745283" w:rsidRDefault="00745283" w:rsidP="00D153EC">
      <w:pPr>
        <w:ind w:firstLine="709"/>
        <w:jc w:val="both"/>
        <w:rPr>
          <w:rFonts w:ascii="Lato" w:hAnsi="Lato"/>
          <w:szCs w:val="22"/>
          <w:highlight w:val="yellow"/>
        </w:rPr>
      </w:pPr>
    </w:p>
    <w:p w:rsidR="006B024A" w:rsidRPr="00604E48" w:rsidRDefault="006B024A" w:rsidP="00D153EC">
      <w:pPr>
        <w:ind w:firstLine="709"/>
        <w:jc w:val="both"/>
        <w:rPr>
          <w:rFonts w:ascii="Lato" w:hAnsi="Lato"/>
          <w:szCs w:val="22"/>
        </w:rPr>
      </w:pPr>
      <w:r w:rsidRPr="00604E48">
        <w:rPr>
          <w:rFonts w:ascii="Lato" w:hAnsi="Lato"/>
          <w:szCs w:val="22"/>
        </w:rPr>
        <w:t>Koszty inwestycyjne dla układu solarnego na potrzeby c.w.u., dla c</w:t>
      </w:r>
      <w:r w:rsidR="00B3500D" w:rsidRPr="00604E48">
        <w:rPr>
          <w:rFonts w:ascii="Lato" w:hAnsi="Lato"/>
          <w:szCs w:val="22"/>
        </w:rPr>
        <w:t>zteroosobowej rodziny wynoszą w</w:t>
      </w:r>
      <w:r w:rsidR="00B83BEC">
        <w:rPr>
          <w:rFonts w:ascii="Lato" w:hAnsi="Lato"/>
          <w:szCs w:val="22"/>
        </w:rPr>
        <w:t xml:space="preserve"> </w:t>
      </w:r>
      <w:r w:rsidR="00B3500D" w:rsidRPr="00604E48">
        <w:rPr>
          <w:rFonts w:ascii="Lato" w:hAnsi="Lato"/>
          <w:szCs w:val="22"/>
        </w:rPr>
        <w:t>z</w:t>
      </w:r>
      <w:r w:rsidRPr="00604E48">
        <w:rPr>
          <w:rFonts w:ascii="Lato" w:hAnsi="Lato"/>
          <w:szCs w:val="22"/>
        </w:rPr>
        <w:t>ależności od typu kolektorów słonecznych, a także producenta w granicach od 10</w:t>
      </w:r>
      <w:r w:rsidR="008352DA">
        <w:rPr>
          <w:rFonts w:ascii="Lato" w:hAnsi="Lato"/>
          <w:szCs w:val="22"/>
        </w:rPr>
        <w:t> 000 </w:t>
      </w:r>
      <w:r w:rsidRPr="00604E48">
        <w:rPr>
          <w:rFonts w:ascii="Lato" w:hAnsi="Lato"/>
          <w:szCs w:val="22"/>
        </w:rPr>
        <w:t>zł do 15</w:t>
      </w:r>
      <w:r w:rsidR="0007616D" w:rsidRPr="00604E48">
        <w:rPr>
          <w:rFonts w:ascii="Lato" w:hAnsi="Lato"/>
          <w:szCs w:val="22"/>
        </w:rPr>
        <w:t xml:space="preserve"> </w:t>
      </w:r>
      <w:r w:rsidRPr="00604E48">
        <w:rPr>
          <w:rFonts w:ascii="Lato" w:hAnsi="Lato"/>
          <w:szCs w:val="22"/>
        </w:rPr>
        <w:t xml:space="preserve">000 zł. Do produkcji ciepłej wody można zastosować z dużym powodzeniem kolektory płaskie. </w:t>
      </w:r>
      <w:r w:rsidR="0007616D" w:rsidRPr="00604E48">
        <w:rPr>
          <w:rFonts w:ascii="Lato" w:hAnsi="Lato"/>
          <w:szCs w:val="22"/>
        </w:rPr>
        <w:t>Dla </w:t>
      </w:r>
      <w:r w:rsidRPr="00604E48">
        <w:rPr>
          <w:rFonts w:ascii="Lato" w:hAnsi="Lato"/>
          <w:szCs w:val="22"/>
        </w:rPr>
        <w:t>czteroosobowej rodziny wystarczy od 4 do 6 m</w:t>
      </w:r>
      <w:r w:rsidRPr="00604E48">
        <w:rPr>
          <w:rFonts w:ascii="Lato" w:hAnsi="Lato"/>
          <w:szCs w:val="22"/>
          <w:vertAlign w:val="superscript"/>
        </w:rPr>
        <w:t>2</w:t>
      </w:r>
      <w:r w:rsidRPr="00604E48">
        <w:rPr>
          <w:rFonts w:ascii="Lato" w:hAnsi="Lato"/>
          <w:szCs w:val="22"/>
        </w:rPr>
        <w:t xml:space="preserve"> powierzchni kolektora. Wymagana minimalna pojemność zbiornika ciepłej wody dla czteroosobowej rodziny powinna wynosić 200 l. Zazwyczaj zasobniki ciepłej wody wyposażone są w dodatkową grzałkę elektryczną lub podwójną wężownicę umożliwiającą zimą ogrzewanie wody za pomocą kotła centralnego ogrzewania. </w:t>
      </w:r>
    </w:p>
    <w:p w:rsidR="006B024A" w:rsidRPr="00604E48" w:rsidRDefault="006B024A" w:rsidP="00D153EC">
      <w:pPr>
        <w:ind w:firstLine="709"/>
        <w:jc w:val="both"/>
        <w:rPr>
          <w:rFonts w:ascii="Lato" w:hAnsi="Lato"/>
          <w:szCs w:val="22"/>
        </w:rPr>
      </w:pPr>
      <w:r w:rsidRPr="00604E48">
        <w:rPr>
          <w:rFonts w:ascii="Lato" w:hAnsi="Lato"/>
          <w:szCs w:val="22"/>
        </w:rPr>
        <w:t>Opłacalność wykorzystania kolektorów słonecznych do p</w:t>
      </w:r>
      <w:r w:rsidR="00D03562">
        <w:rPr>
          <w:rFonts w:ascii="Lato" w:hAnsi="Lato"/>
          <w:szCs w:val="22"/>
        </w:rPr>
        <w:t>rodukcji ciepłej wody zależy od </w:t>
      </w:r>
      <w:r w:rsidRPr="00604E48">
        <w:rPr>
          <w:rFonts w:ascii="Lato" w:hAnsi="Lato"/>
          <w:szCs w:val="22"/>
        </w:rPr>
        <w:t>wielkości zapotrzebowania na ciepłą wodę oraz od sposobu jej przygotowywania w stanie istniejącym, z</w:t>
      </w:r>
      <w:r w:rsidR="00B83BEC">
        <w:rPr>
          <w:rFonts w:ascii="Lato" w:hAnsi="Lato"/>
          <w:szCs w:val="22"/>
        </w:rPr>
        <w:t xml:space="preserve"> </w:t>
      </w:r>
      <w:r w:rsidRPr="00604E48">
        <w:rPr>
          <w:rFonts w:ascii="Lato" w:hAnsi="Lato"/>
          <w:szCs w:val="22"/>
        </w:rPr>
        <w:t xml:space="preserve">którym porównujemy instalację z kolektorami. Chodzi głównie o cenę energii, którą wykorzystujemy do podgrzewania wody. </w:t>
      </w:r>
    </w:p>
    <w:p w:rsidR="006B024A" w:rsidRPr="00604E48" w:rsidRDefault="006B024A" w:rsidP="00D153EC">
      <w:pPr>
        <w:ind w:firstLine="709"/>
        <w:jc w:val="both"/>
        <w:rPr>
          <w:rFonts w:ascii="Lato" w:hAnsi="Lato"/>
          <w:szCs w:val="22"/>
        </w:rPr>
      </w:pPr>
      <w:r w:rsidRPr="00604E48">
        <w:rPr>
          <w:rFonts w:ascii="Lato" w:hAnsi="Lato"/>
          <w:szCs w:val="22"/>
        </w:rPr>
        <w:t>Przy dużym zapotrzebowaniu na ciepłą wodę czas zwrotu kosztów poniesionych na wykonanie instalacji kolektorów słonecznych jest krótszy. Inwestycja jest szczególnie opłacalna dla hoteli, pensjonatów, ośrodków wypoczynkowych, pól namiotowych, basenów i obiektó</w:t>
      </w:r>
      <w:r w:rsidR="00B3500D" w:rsidRPr="00604E48">
        <w:rPr>
          <w:rFonts w:ascii="Lato" w:hAnsi="Lato"/>
          <w:szCs w:val="22"/>
        </w:rPr>
        <w:t>w sportowych wykorzystywanych w</w:t>
      </w:r>
      <w:r w:rsidR="00B83BEC">
        <w:rPr>
          <w:rFonts w:ascii="Lato" w:hAnsi="Lato"/>
          <w:szCs w:val="22"/>
        </w:rPr>
        <w:t xml:space="preserve"> </w:t>
      </w:r>
      <w:r w:rsidRPr="00604E48">
        <w:rPr>
          <w:rFonts w:ascii="Lato" w:hAnsi="Lato"/>
          <w:szCs w:val="22"/>
        </w:rPr>
        <w:t>lecie. Może być ona również z powodzeniem stosowana tam gdzie zużywa się duże ilości ciepłej wody.</w:t>
      </w:r>
    </w:p>
    <w:p w:rsidR="006B024A" w:rsidRPr="00604E48" w:rsidRDefault="006B024A" w:rsidP="006B024A">
      <w:pPr>
        <w:ind w:firstLine="0"/>
        <w:jc w:val="both"/>
        <w:rPr>
          <w:rFonts w:ascii="Lato" w:hAnsi="Lato"/>
          <w:szCs w:val="22"/>
        </w:rPr>
      </w:pPr>
      <w:r w:rsidRPr="00604E48">
        <w:rPr>
          <w:rFonts w:ascii="Lato" w:hAnsi="Lato"/>
          <w:szCs w:val="22"/>
        </w:rPr>
        <w:t>Korzystne efekty ekonomiczne uzyskuje się także w przy</w:t>
      </w:r>
      <w:r w:rsidR="00D03562">
        <w:rPr>
          <w:rFonts w:ascii="Lato" w:hAnsi="Lato"/>
          <w:szCs w:val="22"/>
        </w:rPr>
        <w:t>padku kolektorów słonecznych do </w:t>
      </w:r>
      <w:r w:rsidRPr="00604E48">
        <w:rPr>
          <w:rFonts w:ascii="Lato" w:hAnsi="Lato"/>
          <w:szCs w:val="22"/>
        </w:rPr>
        <w:t>podgrzewania powietrza np. do suszenia siana.</w:t>
      </w:r>
    </w:p>
    <w:p w:rsidR="00036A2A" w:rsidRPr="00D352C4" w:rsidRDefault="00036A2A" w:rsidP="00B237E5">
      <w:pPr>
        <w:ind w:firstLine="0"/>
        <w:jc w:val="both"/>
        <w:rPr>
          <w:rFonts w:ascii="Lato" w:hAnsi="Lato"/>
          <w:szCs w:val="22"/>
          <w:highlight w:val="yellow"/>
        </w:rPr>
      </w:pPr>
    </w:p>
    <w:p w:rsidR="008352DA" w:rsidRDefault="008352DA">
      <w:pPr>
        <w:spacing w:line="240" w:lineRule="auto"/>
        <w:ind w:firstLine="0"/>
        <w:rPr>
          <w:rFonts w:ascii="Lato" w:hAnsi="Lato"/>
          <w:b/>
          <w:bCs/>
          <w:i/>
          <w:iCs/>
          <w:spacing w:val="-2"/>
          <w:szCs w:val="22"/>
        </w:rPr>
      </w:pPr>
      <w:r>
        <w:rPr>
          <w:rFonts w:ascii="Lato" w:hAnsi="Lato"/>
          <w:bCs/>
          <w:iCs/>
          <w:spacing w:val="-2"/>
          <w:szCs w:val="22"/>
        </w:rPr>
        <w:br w:type="page"/>
      </w:r>
    </w:p>
    <w:p w:rsidR="006B024A" w:rsidRPr="00604E48" w:rsidRDefault="006B024A" w:rsidP="006B024A">
      <w:pPr>
        <w:pStyle w:val="Tekstpodstawowy3"/>
        <w:suppressAutoHyphens/>
        <w:spacing w:before="100" w:beforeAutospacing="1" w:after="100" w:afterAutospacing="1"/>
        <w:ind w:firstLine="0"/>
        <w:jc w:val="both"/>
        <w:rPr>
          <w:rFonts w:ascii="Lato" w:hAnsi="Lato"/>
          <w:bCs/>
          <w:iCs/>
          <w:spacing w:val="-2"/>
          <w:szCs w:val="22"/>
        </w:rPr>
      </w:pPr>
      <w:r w:rsidRPr="00604E48">
        <w:rPr>
          <w:rFonts w:ascii="Lato" w:hAnsi="Lato"/>
          <w:bCs/>
          <w:iCs/>
          <w:spacing w:val="-2"/>
          <w:szCs w:val="22"/>
        </w:rPr>
        <w:lastRenderedPageBreak/>
        <w:t>Przykład analizy techniczno-ekonomicznej dla zastosowania ukła</w:t>
      </w:r>
      <w:r w:rsidR="00D153EC" w:rsidRPr="00604E48">
        <w:rPr>
          <w:rFonts w:ascii="Lato" w:hAnsi="Lato"/>
          <w:bCs/>
          <w:iCs/>
          <w:spacing w:val="-2"/>
          <w:szCs w:val="22"/>
        </w:rPr>
        <w:t>du solarnego podgrzewania wody  </w:t>
      </w:r>
      <w:r w:rsidRPr="00604E48">
        <w:rPr>
          <w:rFonts w:ascii="Lato" w:hAnsi="Lato"/>
          <w:bCs/>
          <w:iCs/>
          <w:spacing w:val="-2"/>
          <w:szCs w:val="22"/>
        </w:rPr>
        <w:t xml:space="preserve"> domu jednorodzinnym w programie RETScreen International</w:t>
      </w:r>
    </w:p>
    <w:p w:rsidR="006B024A" w:rsidRPr="00604E48" w:rsidRDefault="006B024A" w:rsidP="006B024A">
      <w:pPr>
        <w:pStyle w:val="Tekstpodstawowy3"/>
        <w:suppressAutoHyphens/>
        <w:ind w:firstLine="0"/>
        <w:jc w:val="both"/>
        <w:rPr>
          <w:rFonts w:ascii="Lato" w:hAnsi="Lato"/>
          <w:b w:val="0"/>
          <w:bCs/>
          <w:i w:val="0"/>
          <w:iCs/>
          <w:spacing w:val="-2"/>
          <w:szCs w:val="22"/>
          <w:u w:val="single"/>
        </w:rPr>
      </w:pPr>
      <w:r w:rsidRPr="00604E48">
        <w:rPr>
          <w:rFonts w:ascii="Lato" w:hAnsi="Lato"/>
          <w:b w:val="0"/>
          <w:bCs/>
          <w:i w:val="0"/>
          <w:iCs/>
          <w:spacing w:val="-2"/>
          <w:szCs w:val="22"/>
          <w:u w:val="single"/>
        </w:rPr>
        <w:t>Założenia do analizy:</w:t>
      </w:r>
    </w:p>
    <w:p w:rsidR="006B024A" w:rsidRPr="00604E48" w:rsidRDefault="006B024A" w:rsidP="006B024A">
      <w:pPr>
        <w:pStyle w:val="Tekstpodstawowy3"/>
        <w:suppressAutoHyphens/>
        <w:ind w:firstLine="0"/>
        <w:jc w:val="both"/>
        <w:rPr>
          <w:rFonts w:ascii="Lato" w:hAnsi="Lato"/>
          <w:b w:val="0"/>
          <w:bCs/>
          <w:i w:val="0"/>
          <w:iCs/>
          <w:spacing w:val="-2"/>
          <w:szCs w:val="22"/>
        </w:rPr>
      </w:pPr>
      <w:r w:rsidRPr="00604E48">
        <w:rPr>
          <w:rFonts w:ascii="Lato" w:hAnsi="Lato"/>
          <w:b w:val="0"/>
          <w:bCs/>
          <w:i w:val="0"/>
          <w:iCs/>
          <w:spacing w:val="-2"/>
          <w:szCs w:val="22"/>
        </w:rPr>
        <w:t>Analiz</w:t>
      </w:r>
      <w:r w:rsidR="00422FB4" w:rsidRPr="00604E48">
        <w:rPr>
          <w:rFonts w:ascii="Lato" w:hAnsi="Lato"/>
          <w:b w:val="0"/>
          <w:bCs/>
          <w:i w:val="0"/>
          <w:iCs/>
          <w:spacing w:val="-2"/>
          <w:szCs w:val="22"/>
        </w:rPr>
        <w:t>a</w:t>
      </w:r>
      <w:r w:rsidRPr="00604E48">
        <w:rPr>
          <w:rFonts w:ascii="Lato" w:hAnsi="Lato"/>
          <w:b w:val="0"/>
          <w:bCs/>
          <w:i w:val="0"/>
          <w:iCs/>
          <w:spacing w:val="-2"/>
          <w:szCs w:val="22"/>
        </w:rPr>
        <w:t xml:space="preserve"> techniczno-ekonomiczna dla zastosowania układu solarnego jako dodatkowego źródła do celów przygotowania ciepłej wody użytkowej współpracującego z instalacją c.w.u. ze źródłem węglowym (kocioł dwufunkcyjny węglowy) i z instalacją c.w.u. z akumulacyjnym podgrzewaczem wody zasilanym energią elektryczną. </w:t>
      </w:r>
    </w:p>
    <w:p w:rsidR="008352DA" w:rsidRDefault="008352DA" w:rsidP="006B024A">
      <w:pPr>
        <w:pStyle w:val="Tekstpodstawowy3"/>
        <w:suppressAutoHyphens/>
        <w:ind w:firstLine="0"/>
        <w:jc w:val="both"/>
        <w:rPr>
          <w:rFonts w:ascii="Lato" w:hAnsi="Lato"/>
          <w:b w:val="0"/>
          <w:bCs/>
          <w:i w:val="0"/>
          <w:iCs/>
          <w:spacing w:val="-2"/>
          <w:szCs w:val="22"/>
        </w:rPr>
      </w:pPr>
    </w:p>
    <w:p w:rsidR="006B024A" w:rsidRPr="00604E48" w:rsidRDefault="006B024A" w:rsidP="006B024A">
      <w:pPr>
        <w:pStyle w:val="Tekstpodstawowy3"/>
        <w:suppressAutoHyphens/>
        <w:ind w:firstLine="0"/>
        <w:jc w:val="both"/>
        <w:rPr>
          <w:rFonts w:ascii="Lato" w:hAnsi="Lato"/>
          <w:b w:val="0"/>
          <w:bCs/>
          <w:i w:val="0"/>
          <w:iCs/>
          <w:spacing w:val="-2"/>
          <w:szCs w:val="22"/>
        </w:rPr>
      </w:pPr>
      <w:r w:rsidRPr="00604E48">
        <w:rPr>
          <w:rFonts w:ascii="Lato" w:hAnsi="Lato"/>
          <w:b w:val="0"/>
          <w:bCs/>
          <w:i w:val="0"/>
          <w:iCs/>
          <w:spacing w:val="-2"/>
          <w:szCs w:val="22"/>
        </w:rPr>
        <w:t xml:space="preserve">Założenia: </w:t>
      </w:r>
    </w:p>
    <w:p w:rsidR="00E6315B" w:rsidRPr="00604E48" w:rsidRDefault="006B024A" w:rsidP="006A496C">
      <w:pPr>
        <w:pStyle w:val="Tekstpodstawowy"/>
        <w:numPr>
          <w:ilvl w:val="0"/>
          <w:numId w:val="83"/>
        </w:numPr>
        <w:tabs>
          <w:tab w:val="clear" w:pos="360"/>
        </w:tabs>
        <w:ind w:left="709" w:hanging="425"/>
        <w:rPr>
          <w:rFonts w:ascii="Lato" w:hAnsi="Lato" w:cs="Times New Roman"/>
        </w:rPr>
      </w:pPr>
      <w:r w:rsidRPr="00604E48">
        <w:rPr>
          <w:rFonts w:ascii="Lato" w:hAnsi="Lato" w:cs="Times New Roman"/>
        </w:rPr>
        <w:t>zapotrzebowanie ciepłej wody użytkowej dla 4-osobowej rodziny mieszkającej w domu jednorodzi</w:t>
      </w:r>
      <w:r w:rsidR="00B3500D" w:rsidRPr="00604E48">
        <w:rPr>
          <w:rFonts w:ascii="Lato" w:hAnsi="Lato" w:cs="Times New Roman"/>
        </w:rPr>
        <w:t>nnym określono na poziomie 240 l</w:t>
      </w:r>
      <w:r w:rsidRPr="00604E48">
        <w:rPr>
          <w:rFonts w:ascii="Lato" w:hAnsi="Lato" w:cs="Times New Roman"/>
        </w:rPr>
        <w:t>/dobę,</w:t>
      </w:r>
    </w:p>
    <w:p w:rsidR="00E6315B" w:rsidRPr="00604E48" w:rsidRDefault="00E6315B" w:rsidP="006A496C">
      <w:pPr>
        <w:pStyle w:val="Tekstpodstawowy"/>
        <w:numPr>
          <w:ilvl w:val="0"/>
          <w:numId w:val="83"/>
        </w:numPr>
        <w:tabs>
          <w:tab w:val="clear" w:pos="360"/>
        </w:tabs>
        <w:ind w:left="709" w:hanging="425"/>
        <w:rPr>
          <w:rFonts w:ascii="Lato" w:hAnsi="Lato" w:cs="Times New Roman"/>
        </w:rPr>
      </w:pPr>
      <w:r w:rsidRPr="00604E48">
        <w:rPr>
          <w:rFonts w:ascii="Lato" w:hAnsi="Lato" w:cs="Times New Roman"/>
        </w:rPr>
        <w:t xml:space="preserve">stacja meteorologiczna: </w:t>
      </w:r>
      <w:r w:rsidR="00032A3A">
        <w:rPr>
          <w:rFonts w:ascii="Lato" w:hAnsi="Lato" w:cs="Times New Roman"/>
        </w:rPr>
        <w:t>Łódź</w:t>
      </w:r>
      <w:r w:rsidRPr="00604E48">
        <w:rPr>
          <w:rFonts w:ascii="Lato" w:hAnsi="Lato" w:cs="Times New Roman"/>
        </w:rPr>
        <w:t>,</w:t>
      </w:r>
    </w:p>
    <w:p w:rsidR="006B024A" w:rsidRPr="00604E48" w:rsidRDefault="006B024A" w:rsidP="006A496C">
      <w:pPr>
        <w:pStyle w:val="Tekstpodstawowy"/>
        <w:numPr>
          <w:ilvl w:val="0"/>
          <w:numId w:val="83"/>
        </w:numPr>
        <w:tabs>
          <w:tab w:val="clear" w:pos="360"/>
        </w:tabs>
        <w:ind w:left="709" w:hanging="425"/>
        <w:rPr>
          <w:rFonts w:ascii="Lato" w:hAnsi="Lato" w:cs="Times New Roman"/>
        </w:rPr>
      </w:pPr>
      <w:r w:rsidRPr="00604E48">
        <w:rPr>
          <w:rFonts w:ascii="Lato" w:hAnsi="Lato" w:cs="Times New Roman"/>
        </w:rPr>
        <w:t>woda jest podgrzewana do 55oC,</w:t>
      </w:r>
    </w:p>
    <w:p w:rsidR="006B024A" w:rsidRPr="00604E48" w:rsidRDefault="006B024A" w:rsidP="006A496C">
      <w:pPr>
        <w:pStyle w:val="Tekstpodstawowy"/>
        <w:numPr>
          <w:ilvl w:val="0"/>
          <w:numId w:val="83"/>
        </w:numPr>
        <w:tabs>
          <w:tab w:val="clear" w:pos="360"/>
        </w:tabs>
        <w:ind w:left="709" w:hanging="425"/>
        <w:rPr>
          <w:rFonts w:ascii="Lato" w:hAnsi="Lato" w:cs="Times New Roman"/>
        </w:rPr>
      </w:pPr>
      <w:r w:rsidRPr="00604E48">
        <w:rPr>
          <w:rFonts w:ascii="Lato" w:hAnsi="Lato" w:cs="Times New Roman"/>
        </w:rPr>
        <w:t>całkowita sprawność instalacji c.w.u. ze źródłem węglowym: 49%,</w:t>
      </w:r>
    </w:p>
    <w:p w:rsidR="006B024A" w:rsidRPr="00604E48" w:rsidRDefault="006B024A" w:rsidP="006A496C">
      <w:pPr>
        <w:pStyle w:val="Tekstpodstawowy"/>
        <w:numPr>
          <w:ilvl w:val="0"/>
          <w:numId w:val="83"/>
        </w:numPr>
        <w:tabs>
          <w:tab w:val="clear" w:pos="360"/>
        </w:tabs>
        <w:ind w:left="709" w:hanging="425"/>
        <w:rPr>
          <w:rFonts w:ascii="Lato" w:hAnsi="Lato" w:cs="Times New Roman"/>
        </w:rPr>
      </w:pPr>
      <w:r w:rsidRPr="00604E48">
        <w:rPr>
          <w:rFonts w:ascii="Lato" w:hAnsi="Lato" w:cs="Times New Roman"/>
        </w:rPr>
        <w:t>całkowita sprawność instalacji c.w.u. ze źródłem na energię elektryczną: 96%,</w:t>
      </w:r>
    </w:p>
    <w:p w:rsidR="006B024A" w:rsidRPr="00604E48" w:rsidRDefault="006B024A" w:rsidP="006A496C">
      <w:pPr>
        <w:pStyle w:val="Tekstpodstawowy"/>
        <w:numPr>
          <w:ilvl w:val="0"/>
          <w:numId w:val="83"/>
        </w:numPr>
        <w:tabs>
          <w:tab w:val="clear" w:pos="360"/>
        </w:tabs>
        <w:ind w:left="709" w:hanging="425"/>
        <w:rPr>
          <w:rFonts w:ascii="Lato" w:hAnsi="Lato" w:cs="Times New Roman"/>
        </w:rPr>
      </w:pPr>
      <w:r w:rsidRPr="00604E48">
        <w:rPr>
          <w:rFonts w:ascii="Lato" w:hAnsi="Lato" w:cs="Times New Roman"/>
        </w:rPr>
        <w:t>całkowita sprawność instalacji c.w.u. ze źródłem na gaz ziemny: 88%,</w:t>
      </w:r>
    </w:p>
    <w:p w:rsidR="006B024A" w:rsidRPr="00604E48" w:rsidRDefault="006B024A" w:rsidP="006A496C">
      <w:pPr>
        <w:pStyle w:val="Tekstpodstawowy"/>
        <w:numPr>
          <w:ilvl w:val="0"/>
          <w:numId w:val="83"/>
        </w:numPr>
        <w:tabs>
          <w:tab w:val="clear" w:pos="360"/>
        </w:tabs>
        <w:ind w:left="709" w:hanging="425"/>
        <w:rPr>
          <w:rFonts w:ascii="Lato" w:hAnsi="Lato" w:cs="Times New Roman"/>
        </w:rPr>
      </w:pPr>
      <w:r w:rsidRPr="00604E48">
        <w:rPr>
          <w:rFonts w:ascii="Lato" w:hAnsi="Lato" w:cs="Times New Roman"/>
        </w:rPr>
        <w:t>koszt instalacji kolektorów słonecznych ok. 1</w:t>
      </w:r>
      <w:r w:rsidR="00F368A3" w:rsidRPr="00604E48">
        <w:rPr>
          <w:rFonts w:ascii="Lato" w:hAnsi="Lato" w:cs="Times New Roman"/>
        </w:rPr>
        <w:t>1</w:t>
      </w:r>
      <w:r w:rsidRPr="00604E48">
        <w:rPr>
          <w:rFonts w:ascii="Lato" w:hAnsi="Lato" w:cs="Times New Roman"/>
        </w:rPr>
        <w:t> </w:t>
      </w:r>
      <w:r w:rsidR="00F368A3" w:rsidRPr="00604E48">
        <w:rPr>
          <w:rFonts w:ascii="Lato" w:hAnsi="Lato" w:cs="Times New Roman"/>
        </w:rPr>
        <w:t>0</w:t>
      </w:r>
      <w:r w:rsidRPr="00604E48">
        <w:rPr>
          <w:rFonts w:ascii="Lato" w:hAnsi="Lato" w:cs="Times New Roman"/>
        </w:rPr>
        <w:t>00 zł,</w:t>
      </w:r>
    </w:p>
    <w:p w:rsidR="006B024A" w:rsidRPr="00604E48" w:rsidRDefault="001F33F6" w:rsidP="006A496C">
      <w:pPr>
        <w:pStyle w:val="Tekstpodstawowy"/>
        <w:numPr>
          <w:ilvl w:val="0"/>
          <w:numId w:val="83"/>
        </w:numPr>
        <w:tabs>
          <w:tab w:val="clear" w:pos="360"/>
        </w:tabs>
        <w:ind w:left="709" w:hanging="425"/>
        <w:rPr>
          <w:rFonts w:ascii="Lato" w:hAnsi="Lato" w:cs="Times New Roman"/>
        </w:rPr>
      </w:pPr>
      <w:r w:rsidRPr="00604E48">
        <w:rPr>
          <w:rFonts w:ascii="Lato" w:hAnsi="Lato" w:cs="Times New Roman"/>
        </w:rPr>
        <w:t>cena - gaz ziemny 2,16</w:t>
      </w:r>
      <w:r w:rsidR="006B024A" w:rsidRPr="00604E48">
        <w:rPr>
          <w:rFonts w:ascii="Lato" w:hAnsi="Lato" w:cs="Times New Roman"/>
        </w:rPr>
        <w:t xml:space="preserve"> zł/m3 z VAT,</w:t>
      </w:r>
    </w:p>
    <w:p w:rsidR="006B024A" w:rsidRPr="00604E48" w:rsidRDefault="006B024A" w:rsidP="006A496C">
      <w:pPr>
        <w:pStyle w:val="Tekstpodstawowy"/>
        <w:numPr>
          <w:ilvl w:val="0"/>
          <w:numId w:val="83"/>
        </w:numPr>
        <w:tabs>
          <w:tab w:val="clear" w:pos="360"/>
        </w:tabs>
        <w:ind w:left="709" w:hanging="425"/>
        <w:rPr>
          <w:rFonts w:ascii="Lato" w:hAnsi="Lato" w:cs="Times New Roman"/>
        </w:rPr>
      </w:pPr>
      <w:r w:rsidRPr="00604E48">
        <w:rPr>
          <w:rFonts w:ascii="Lato" w:hAnsi="Lato" w:cs="Times New Roman"/>
        </w:rPr>
        <w:t xml:space="preserve">cena – węgiel kamienny </w:t>
      </w:r>
      <w:r w:rsidR="00A35E1C" w:rsidRPr="00604E48">
        <w:rPr>
          <w:rFonts w:ascii="Lato" w:hAnsi="Lato" w:cs="Times New Roman"/>
        </w:rPr>
        <w:t>9</w:t>
      </w:r>
      <w:r w:rsidRPr="00604E48">
        <w:rPr>
          <w:rFonts w:ascii="Lato" w:hAnsi="Lato" w:cs="Times New Roman"/>
        </w:rPr>
        <w:t>00 zł/tonę z VAT,</w:t>
      </w:r>
    </w:p>
    <w:p w:rsidR="006B024A" w:rsidRPr="00604E48" w:rsidRDefault="006B024A" w:rsidP="006A496C">
      <w:pPr>
        <w:pStyle w:val="Tekstpodstawowy"/>
        <w:numPr>
          <w:ilvl w:val="0"/>
          <w:numId w:val="83"/>
        </w:numPr>
        <w:tabs>
          <w:tab w:val="clear" w:pos="360"/>
        </w:tabs>
        <w:ind w:left="709" w:hanging="425"/>
        <w:rPr>
          <w:rFonts w:ascii="Lato" w:hAnsi="Lato" w:cs="Times New Roman"/>
        </w:rPr>
      </w:pPr>
      <w:r w:rsidRPr="00604E48">
        <w:rPr>
          <w:rFonts w:ascii="Lato" w:hAnsi="Lato" w:cs="Times New Roman"/>
        </w:rPr>
        <w:t>cena - energia elektryczna: 0,</w:t>
      </w:r>
      <w:r w:rsidR="00A35E1C" w:rsidRPr="00604E48">
        <w:rPr>
          <w:rFonts w:ascii="Lato" w:hAnsi="Lato" w:cs="Times New Roman"/>
        </w:rPr>
        <w:t xml:space="preserve">60 </w:t>
      </w:r>
      <w:r w:rsidRPr="00604E48">
        <w:rPr>
          <w:rFonts w:ascii="Lato" w:hAnsi="Lato" w:cs="Times New Roman"/>
        </w:rPr>
        <w:t>zł/kWh.</w:t>
      </w:r>
    </w:p>
    <w:p w:rsidR="005B408D" w:rsidRPr="00604E48" w:rsidRDefault="005B408D" w:rsidP="006B024A">
      <w:pPr>
        <w:pStyle w:val="Tekstpodstawowy3"/>
        <w:suppressAutoHyphens/>
        <w:ind w:firstLine="0"/>
        <w:jc w:val="both"/>
        <w:rPr>
          <w:rFonts w:ascii="Lato" w:hAnsi="Lato"/>
          <w:b w:val="0"/>
          <w:bCs/>
          <w:i w:val="0"/>
          <w:iCs/>
          <w:spacing w:val="-2"/>
          <w:szCs w:val="22"/>
        </w:rPr>
      </w:pPr>
    </w:p>
    <w:p w:rsidR="006B024A" w:rsidRPr="00604E48" w:rsidRDefault="0006260E" w:rsidP="006B024A">
      <w:pPr>
        <w:pStyle w:val="Tekstpodstawowy3"/>
        <w:suppressAutoHyphens/>
        <w:ind w:firstLine="0"/>
        <w:jc w:val="both"/>
        <w:rPr>
          <w:rFonts w:ascii="Lato" w:hAnsi="Lato"/>
          <w:szCs w:val="22"/>
        </w:rPr>
      </w:pPr>
      <w:r>
        <w:rPr>
          <w:rFonts w:ascii="Lato" w:hAnsi="Lato"/>
          <w:noProof/>
        </w:rPr>
        <w:drawing>
          <wp:inline distT="0" distB="0" distL="0" distR="0" wp14:anchorId="39598B06" wp14:editId="3B373C52">
            <wp:extent cx="5967730" cy="3495675"/>
            <wp:effectExtent l="0" t="0" r="0" b="9525"/>
            <wp:docPr id="55"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7730" cy="3495675"/>
                    </a:xfrm>
                    <a:prstGeom prst="rect">
                      <a:avLst/>
                    </a:prstGeom>
                    <a:noFill/>
                    <a:ln>
                      <a:noFill/>
                    </a:ln>
                  </pic:spPr>
                </pic:pic>
              </a:graphicData>
            </a:graphic>
          </wp:inline>
        </w:drawing>
      </w:r>
    </w:p>
    <w:p w:rsidR="006B024A" w:rsidRPr="00604E48" w:rsidRDefault="006B024A" w:rsidP="00422FB4">
      <w:pPr>
        <w:spacing w:line="240" w:lineRule="auto"/>
        <w:ind w:firstLine="0"/>
        <w:jc w:val="center"/>
        <w:rPr>
          <w:rFonts w:ascii="Lato" w:hAnsi="Lato"/>
          <w:b/>
          <w:bCs/>
          <w:color w:val="1F497D"/>
          <w:spacing w:val="-2"/>
          <w:sz w:val="20"/>
          <w:szCs w:val="20"/>
        </w:rPr>
      </w:pPr>
      <w:bookmarkStart w:id="356" w:name="_Toc323204742"/>
      <w:bookmarkStart w:id="357" w:name="_Toc328633181"/>
      <w:bookmarkStart w:id="358" w:name="_Toc336419400"/>
      <w:bookmarkStart w:id="359" w:name="_Toc336943716"/>
      <w:bookmarkStart w:id="360" w:name="_Toc20219253"/>
      <w:r w:rsidRPr="00604E48">
        <w:rPr>
          <w:rFonts w:ascii="Lato" w:hAnsi="Lato"/>
          <w:b/>
          <w:bCs/>
          <w:color w:val="1F497D"/>
          <w:spacing w:val="-2"/>
          <w:sz w:val="20"/>
          <w:szCs w:val="20"/>
        </w:rPr>
        <w:t xml:space="preserve">Rysunek </w:t>
      </w:r>
      <w:r w:rsidR="004042AE" w:rsidRPr="00604E48">
        <w:rPr>
          <w:rFonts w:ascii="Lato" w:hAnsi="Lato"/>
          <w:b/>
          <w:bCs/>
          <w:color w:val="1F497D"/>
          <w:spacing w:val="-2"/>
          <w:sz w:val="20"/>
          <w:szCs w:val="20"/>
        </w:rPr>
        <w:fldChar w:fldCharType="begin"/>
      </w:r>
      <w:r w:rsidR="005430ED" w:rsidRPr="00604E48">
        <w:rPr>
          <w:rFonts w:ascii="Lato" w:hAnsi="Lato"/>
          <w:b/>
          <w:bCs/>
          <w:color w:val="1F497D"/>
          <w:spacing w:val="-2"/>
          <w:sz w:val="20"/>
          <w:szCs w:val="20"/>
        </w:rPr>
        <w:instrText xml:space="preserve"> STYLEREF 1 \s </w:instrText>
      </w:r>
      <w:r w:rsidR="004042AE" w:rsidRPr="00604E48">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604E48">
        <w:rPr>
          <w:rFonts w:ascii="Lato" w:hAnsi="Lato"/>
          <w:b/>
          <w:bCs/>
          <w:color w:val="1F497D"/>
          <w:spacing w:val="-2"/>
          <w:sz w:val="20"/>
          <w:szCs w:val="20"/>
        </w:rPr>
        <w:fldChar w:fldCharType="end"/>
      </w:r>
      <w:r w:rsidR="005430ED" w:rsidRPr="00604E48">
        <w:rPr>
          <w:rFonts w:ascii="Lato" w:hAnsi="Lato"/>
          <w:b/>
          <w:bCs/>
          <w:color w:val="1F497D"/>
          <w:spacing w:val="-2"/>
          <w:sz w:val="20"/>
          <w:szCs w:val="20"/>
        </w:rPr>
        <w:noBreakHyphen/>
      </w:r>
      <w:r w:rsidR="004042AE" w:rsidRPr="00604E48">
        <w:rPr>
          <w:rFonts w:ascii="Lato" w:hAnsi="Lato"/>
          <w:b/>
          <w:bCs/>
          <w:color w:val="1F497D"/>
          <w:spacing w:val="-2"/>
          <w:sz w:val="20"/>
          <w:szCs w:val="20"/>
        </w:rPr>
        <w:fldChar w:fldCharType="begin"/>
      </w:r>
      <w:r w:rsidR="005430ED" w:rsidRPr="00604E48">
        <w:rPr>
          <w:rFonts w:ascii="Lato" w:hAnsi="Lato"/>
          <w:b/>
          <w:bCs/>
          <w:color w:val="1F497D"/>
          <w:spacing w:val="-2"/>
          <w:sz w:val="20"/>
          <w:szCs w:val="20"/>
        </w:rPr>
        <w:instrText xml:space="preserve"> SEQ Rysunek \* ARABIC \s 1 </w:instrText>
      </w:r>
      <w:r w:rsidR="004042AE" w:rsidRPr="00604E48">
        <w:rPr>
          <w:rFonts w:ascii="Lato" w:hAnsi="Lato"/>
          <w:b/>
          <w:bCs/>
          <w:color w:val="1F497D"/>
          <w:spacing w:val="-2"/>
          <w:sz w:val="20"/>
          <w:szCs w:val="20"/>
        </w:rPr>
        <w:fldChar w:fldCharType="separate"/>
      </w:r>
      <w:r w:rsidR="0040205B">
        <w:rPr>
          <w:rFonts w:ascii="Lato" w:hAnsi="Lato"/>
          <w:b/>
          <w:bCs/>
          <w:noProof/>
          <w:color w:val="1F497D"/>
          <w:spacing w:val="-2"/>
          <w:sz w:val="20"/>
          <w:szCs w:val="20"/>
        </w:rPr>
        <w:t>12</w:t>
      </w:r>
      <w:r w:rsidR="004042AE" w:rsidRPr="00604E48">
        <w:rPr>
          <w:rFonts w:ascii="Lato" w:hAnsi="Lato"/>
          <w:b/>
          <w:bCs/>
          <w:color w:val="1F497D"/>
          <w:spacing w:val="-2"/>
          <w:sz w:val="20"/>
          <w:szCs w:val="20"/>
        </w:rPr>
        <w:fldChar w:fldCharType="end"/>
      </w:r>
      <w:r w:rsidRPr="00604E48">
        <w:rPr>
          <w:rFonts w:ascii="Lato" w:hAnsi="Lato"/>
          <w:b/>
          <w:bCs/>
          <w:color w:val="1F497D"/>
          <w:spacing w:val="-2"/>
          <w:sz w:val="20"/>
          <w:szCs w:val="20"/>
        </w:rPr>
        <w:t xml:space="preserve"> Wykres skumulowanych przepływów pieniężnych – c.w.u. z węgla kamiennego</w:t>
      </w:r>
      <w:bookmarkEnd w:id="356"/>
      <w:bookmarkEnd w:id="357"/>
      <w:bookmarkEnd w:id="358"/>
      <w:bookmarkEnd w:id="359"/>
      <w:bookmarkEnd w:id="360"/>
    </w:p>
    <w:p w:rsidR="00422FB4" w:rsidRDefault="00604E48" w:rsidP="00422FB4">
      <w:pPr>
        <w:suppressAutoHyphens/>
        <w:ind w:firstLine="0"/>
        <w:jc w:val="center"/>
        <w:rPr>
          <w:rFonts w:ascii="Lato" w:hAnsi="Lato"/>
          <w:bCs/>
          <w:i/>
          <w:sz w:val="20"/>
          <w:szCs w:val="22"/>
        </w:rPr>
      </w:pPr>
      <w:r w:rsidRPr="00604E48">
        <w:rPr>
          <w:rFonts w:ascii="Lato" w:hAnsi="Lato"/>
          <w:bCs/>
          <w:i/>
          <w:sz w:val="20"/>
          <w:szCs w:val="22"/>
        </w:rPr>
        <w:t>Źródło: Analizy własne</w:t>
      </w:r>
    </w:p>
    <w:p w:rsidR="007F2E78" w:rsidRPr="00604E48" w:rsidRDefault="007F2E78" w:rsidP="00422FB4">
      <w:pPr>
        <w:suppressAutoHyphens/>
        <w:ind w:firstLine="0"/>
        <w:jc w:val="center"/>
        <w:rPr>
          <w:rFonts w:ascii="Lato" w:hAnsi="Lato"/>
          <w:bCs/>
          <w:i/>
          <w:sz w:val="20"/>
          <w:szCs w:val="22"/>
        </w:rPr>
      </w:pPr>
    </w:p>
    <w:p w:rsidR="006B024A" w:rsidRPr="00604E48" w:rsidRDefault="0006260E" w:rsidP="006B024A">
      <w:pPr>
        <w:suppressAutoHyphens/>
        <w:ind w:firstLine="0"/>
        <w:jc w:val="center"/>
        <w:rPr>
          <w:rFonts w:ascii="Lato" w:hAnsi="Lato"/>
          <w:szCs w:val="22"/>
        </w:rPr>
      </w:pPr>
      <w:r>
        <w:rPr>
          <w:rFonts w:ascii="Lato" w:hAnsi="Lato"/>
          <w:noProof/>
        </w:rPr>
        <w:lastRenderedPageBreak/>
        <w:drawing>
          <wp:inline distT="0" distB="0" distL="0" distR="0" wp14:anchorId="5111F925" wp14:editId="398FD4BD">
            <wp:extent cx="5967730" cy="3495675"/>
            <wp:effectExtent l="0" t="0" r="0" b="9525"/>
            <wp:docPr id="56"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67730" cy="3495675"/>
                    </a:xfrm>
                    <a:prstGeom prst="rect">
                      <a:avLst/>
                    </a:prstGeom>
                    <a:noFill/>
                    <a:ln>
                      <a:noFill/>
                    </a:ln>
                  </pic:spPr>
                </pic:pic>
              </a:graphicData>
            </a:graphic>
          </wp:inline>
        </w:drawing>
      </w:r>
    </w:p>
    <w:p w:rsidR="006B024A" w:rsidRPr="00604E48" w:rsidRDefault="006B024A" w:rsidP="00542AF0">
      <w:pPr>
        <w:spacing w:line="240" w:lineRule="auto"/>
        <w:ind w:firstLine="0"/>
        <w:jc w:val="center"/>
        <w:rPr>
          <w:rFonts w:ascii="Lato" w:hAnsi="Lato"/>
          <w:bCs/>
          <w:i/>
          <w:spacing w:val="-2"/>
          <w:sz w:val="20"/>
          <w:szCs w:val="20"/>
        </w:rPr>
      </w:pPr>
      <w:bookmarkStart w:id="361" w:name="_Toc20219254"/>
      <w:bookmarkStart w:id="362" w:name="_Toc323204744"/>
      <w:bookmarkStart w:id="363" w:name="_Toc328633183"/>
      <w:bookmarkStart w:id="364" w:name="_Toc336419402"/>
      <w:bookmarkStart w:id="365" w:name="_Toc336943718"/>
      <w:r w:rsidRPr="00604E48">
        <w:rPr>
          <w:rFonts w:ascii="Lato" w:hAnsi="Lato"/>
          <w:b/>
          <w:bCs/>
          <w:color w:val="1F497D"/>
          <w:spacing w:val="-2"/>
          <w:sz w:val="20"/>
          <w:szCs w:val="20"/>
        </w:rPr>
        <w:t xml:space="preserve">Rysunek </w:t>
      </w:r>
      <w:r w:rsidR="004042AE" w:rsidRPr="00604E48">
        <w:rPr>
          <w:rFonts w:ascii="Lato" w:hAnsi="Lato"/>
          <w:b/>
          <w:bCs/>
          <w:color w:val="1F497D"/>
          <w:spacing w:val="-2"/>
          <w:sz w:val="20"/>
          <w:szCs w:val="20"/>
        </w:rPr>
        <w:fldChar w:fldCharType="begin"/>
      </w:r>
      <w:r w:rsidR="005430ED" w:rsidRPr="00604E48">
        <w:rPr>
          <w:rFonts w:ascii="Lato" w:hAnsi="Lato"/>
          <w:b/>
          <w:bCs/>
          <w:color w:val="1F497D"/>
          <w:spacing w:val="-2"/>
          <w:sz w:val="20"/>
          <w:szCs w:val="20"/>
        </w:rPr>
        <w:instrText xml:space="preserve"> STYLEREF 1 \s </w:instrText>
      </w:r>
      <w:r w:rsidR="004042AE" w:rsidRPr="00604E48">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604E48">
        <w:rPr>
          <w:rFonts w:ascii="Lato" w:hAnsi="Lato"/>
          <w:b/>
          <w:bCs/>
          <w:color w:val="1F497D"/>
          <w:spacing w:val="-2"/>
          <w:sz w:val="20"/>
          <w:szCs w:val="20"/>
        </w:rPr>
        <w:fldChar w:fldCharType="end"/>
      </w:r>
      <w:r w:rsidR="005430ED" w:rsidRPr="00604E48">
        <w:rPr>
          <w:rFonts w:ascii="Lato" w:hAnsi="Lato"/>
          <w:b/>
          <w:bCs/>
          <w:color w:val="1F497D"/>
          <w:spacing w:val="-2"/>
          <w:sz w:val="20"/>
          <w:szCs w:val="20"/>
        </w:rPr>
        <w:noBreakHyphen/>
      </w:r>
      <w:r w:rsidR="004042AE" w:rsidRPr="00604E48">
        <w:rPr>
          <w:rFonts w:ascii="Lato" w:hAnsi="Lato"/>
          <w:b/>
          <w:bCs/>
          <w:color w:val="1F497D"/>
          <w:spacing w:val="-2"/>
          <w:sz w:val="20"/>
          <w:szCs w:val="20"/>
        </w:rPr>
        <w:fldChar w:fldCharType="begin"/>
      </w:r>
      <w:r w:rsidR="005430ED" w:rsidRPr="00604E48">
        <w:rPr>
          <w:rFonts w:ascii="Lato" w:hAnsi="Lato"/>
          <w:b/>
          <w:bCs/>
          <w:color w:val="1F497D"/>
          <w:spacing w:val="-2"/>
          <w:sz w:val="20"/>
          <w:szCs w:val="20"/>
        </w:rPr>
        <w:instrText xml:space="preserve"> SEQ Rysunek \* ARABIC \s 1 </w:instrText>
      </w:r>
      <w:r w:rsidR="004042AE" w:rsidRPr="00604E48">
        <w:rPr>
          <w:rFonts w:ascii="Lato" w:hAnsi="Lato"/>
          <w:b/>
          <w:bCs/>
          <w:color w:val="1F497D"/>
          <w:spacing w:val="-2"/>
          <w:sz w:val="20"/>
          <w:szCs w:val="20"/>
        </w:rPr>
        <w:fldChar w:fldCharType="separate"/>
      </w:r>
      <w:r w:rsidR="0040205B">
        <w:rPr>
          <w:rFonts w:ascii="Lato" w:hAnsi="Lato"/>
          <w:b/>
          <w:bCs/>
          <w:noProof/>
          <w:color w:val="1F497D"/>
          <w:spacing w:val="-2"/>
          <w:sz w:val="20"/>
          <w:szCs w:val="20"/>
        </w:rPr>
        <w:t>13</w:t>
      </w:r>
      <w:r w:rsidR="004042AE" w:rsidRPr="00604E48">
        <w:rPr>
          <w:rFonts w:ascii="Lato" w:hAnsi="Lato"/>
          <w:b/>
          <w:bCs/>
          <w:color w:val="1F497D"/>
          <w:spacing w:val="-2"/>
          <w:sz w:val="20"/>
          <w:szCs w:val="20"/>
        </w:rPr>
        <w:fldChar w:fldCharType="end"/>
      </w:r>
      <w:r w:rsidRPr="00604E48">
        <w:rPr>
          <w:rFonts w:ascii="Lato" w:hAnsi="Lato"/>
          <w:b/>
          <w:bCs/>
          <w:color w:val="1F497D"/>
          <w:spacing w:val="-2"/>
          <w:sz w:val="20"/>
          <w:szCs w:val="20"/>
        </w:rPr>
        <w:t xml:space="preserve"> Wykres skumulowanych przepływów pieniężnych – c.w.u. z energii elektrycznej</w:t>
      </w:r>
      <w:bookmarkEnd w:id="361"/>
      <w:r w:rsidRPr="00604E48">
        <w:rPr>
          <w:rFonts w:ascii="Lato" w:hAnsi="Lato"/>
          <w:b/>
          <w:bCs/>
          <w:color w:val="1F497D"/>
          <w:spacing w:val="-2"/>
          <w:sz w:val="20"/>
          <w:szCs w:val="20"/>
        </w:rPr>
        <w:t xml:space="preserve"> </w:t>
      </w:r>
      <w:bookmarkEnd w:id="362"/>
      <w:bookmarkEnd w:id="363"/>
      <w:bookmarkEnd w:id="364"/>
      <w:bookmarkEnd w:id="365"/>
    </w:p>
    <w:p w:rsidR="00604E48" w:rsidRPr="00604E48" w:rsidRDefault="00604E48" w:rsidP="00604E48">
      <w:pPr>
        <w:suppressAutoHyphens/>
        <w:ind w:firstLine="0"/>
        <w:jc w:val="center"/>
        <w:rPr>
          <w:rFonts w:ascii="Lato" w:hAnsi="Lato"/>
          <w:bCs/>
          <w:i/>
          <w:sz w:val="20"/>
          <w:szCs w:val="22"/>
        </w:rPr>
      </w:pPr>
      <w:r w:rsidRPr="00604E48">
        <w:rPr>
          <w:rFonts w:ascii="Lato" w:hAnsi="Lato"/>
          <w:bCs/>
          <w:i/>
          <w:sz w:val="20"/>
          <w:szCs w:val="22"/>
        </w:rPr>
        <w:t>Źródło: Analizy własne</w:t>
      </w:r>
    </w:p>
    <w:p w:rsidR="00422FB4" w:rsidRPr="00604E48" w:rsidRDefault="00422FB4" w:rsidP="00422FB4">
      <w:pPr>
        <w:suppressAutoHyphens/>
        <w:ind w:firstLine="0"/>
        <w:jc w:val="center"/>
        <w:rPr>
          <w:rFonts w:ascii="Lato" w:hAnsi="Lato"/>
          <w:b/>
          <w:bCs/>
          <w:szCs w:val="22"/>
        </w:rPr>
      </w:pPr>
    </w:p>
    <w:p w:rsidR="006B024A" w:rsidRPr="00604E48" w:rsidRDefault="006B024A" w:rsidP="006B024A">
      <w:pPr>
        <w:suppressAutoHyphens/>
        <w:ind w:firstLine="0"/>
        <w:jc w:val="both"/>
        <w:rPr>
          <w:rFonts w:ascii="Lato" w:hAnsi="Lato"/>
          <w:b/>
          <w:bCs/>
          <w:szCs w:val="22"/>
        </w:rPr>
      </w:pPr>
    </w:p>
    <w:p w:rsidR="006B024A" w:rsidRPr="00604E48" w:rsidRDefault="0006260E" w:rsidP="006B024A">
      <w:pPr>
        <w:suppressAutoHyphens/>
        <w:ind w:firstLine="0"/>
        <w:jc w:val="both"/>
        <w:rPr>
          <w:rFonts w:ascii="Lato" w:hAnsi="Lato"/>
          <w:szCs w:val="22"/>
        </w:rPr>
      </w:pPr>
      <w:r>
        <w:rPr>
          <w:rFonts w:ascii="Lato" w:hAnsi="Lato"/>
          <w:noProof/>
        </w:rPr>
        <w:drawing>
          <wp:inline distT="0" distB="0" distL="0" distR="0" wp14:anchorId="5DE11766" wp14:editId="1F4B7B80">
            <wp:extent cx="5967730" cy="3495675"/>
            <wp:effectExtent l="0" t="0" r="0" b="9525"/>
            <wp:docPr id="57"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67730" cy="3495675"/>
                    </a:xfrm>
                    <a:prstGeom prst="rect">
                      <a:avLst/>
                    </a:prstGeom>
                    <a:noFill/>
                    <a:ln>
                      <a:noFill/>
                    </a:ln>
                  </pic:spPr>
                </pic:pic>
              </a:graphicData>
            </a:graphic>
          </wp:inline>
        </w:drawing>
      </w:r>
    </w:p>
    <w:p w:rsidR="00422FB4" w:rsidRPr="00604E48" w:rsidRDefault="006B024A" w:rsidP="00542AF0">
      <w:pPr>
        <w:spacing w:line="240" w:lineRule="auto"/>
        <w:ind w:firstLine="0"/>
        <w:jc w:val="center"/>
        <w:rPr>
          <w:rFonts w:ascii="Lato" w:hAnsi="Lato"/>
          <w:bCs/>
          <w:i/>
          <w:spacing w:val="-2"/>
          <w:sz w:val="20"/>
          <w:szCs w:val="20"/>
        </w:rPr>
      </w:pPr>
      <w:bookmarkStart w:id="366" w:name="_Toc20219255"/>
      <w:bookmarkStart w:id="367" w:name="_Toc323204746"/>
      <w:bookmarkStart w:id="368" w:name="_Toc328633185"/>
      <w:bookmarkStart w:id="369" w:name="_Toc336419404"/>
      <w:bookmarkStart w:id="370" w:name="_Toc336943720"/>
      <w:r w:rsidRPr="00604E48">
        <w:rPr>
          <w:rFonts w:ascii="Lato" w:hAnsi="Lato"/>
          <w:b/>
          <w:bCs/>
          <w:color w:val="1F497D"/>
          <w:spacing w:val="-2"/>
          <w:sz w:val="20"/>
          <w:szCs w:val="20"/>
        </w:rPr>
        <w:t xml:space="preserve">Rysunek </w:t>
      </w:r>
      <w:r w:rsidR="004042AE" w:rsidRPr="00604E48">
        <w:rPr>
          <w:rFonts w:ascii="Lato" w:hAnsi="Lato"/>
          <w:b/>
          <w:bCs/>
          <w:color w:val="1F497D"/>
          <w:spacing w:val="-2"/>
          <w:sz w:val="20"/>
          <w:szCs w:val="20"/>
        </w:rPr>
        <w:fldChar w:fldCharType="begin"/>
      </w:r>
      <w:r w:rsidR="005430ED" w:rsidRPr="00604E48">
        <w:rPr>
          <w:rFonts w:ascii="Lato" w:hAnsi="Lato"/>
          <w:b/>
          <w:bCs/>
          <w:color w:val="1F497D"/>
          <w:spacing w:val="-2"/>
          <w:sz w:val="20"/>
          <w:szCs w:val="20"/>
        </w:rPr>
        <w:instrText xml:space="preserve"> STYLEREF 1 \s </w:instrText>
      </w:r>
      <w:r w:rsidR="004042AE" w:rsidRPr="00604E48">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604E48">
        <w:rPr>
          <w:rFonts w:ascii="Lato" w:hAnsi="Lato"/>
          <w:b/>
          <w:bCs/>
          <w:color w:val="1F497D"/>
          <w:spacing w:val="-2"/>
          <w:sz w:val="20"/>
          <w:szCs w:val="20"/>
        </w:rPr>
        <w:fldChar w:fldCharType="end"/>
      </w:r>
      <w:r w:rsidR="005430ED" w:rsidRPr="00604E48">
        <w:rPr>
          <w:rFonts w:ascii="Lato" w:hAnsi="Lato"/>
          <w:b/>
          <w:bCs/>
          <w:color w:val="1F497D"/>
          <w:spacing w:val="-2"/>
          <w:sz w:val="20"/>
          <w:szCs w:val="20"/>
        </w:rPr>
        <w:noBreakHyphen/>
      </w:r>
      <w:r w:rsidR="004042AE" w:rsidRPr="00604E48">
        <w:rPr>
          <w:rFonts w:ascii="Lato" w:hAnsi="Lato"/>
          <w:b/>
          <w:bCs/>
          <w:color w:val="1F497D"/>
          <w:spacing w:val="-2"/>
          <w:sz w:val="20"/>
          <w:szCs w:val="20"/>
        </w:rPr>
        <w:fldChar w:fldCharType="begin"/>
      </w:r>
      <w:r w:rsidR="005430ED" w:rsidRPr="00604E48">
        <w:rPr>
          <w:rFonts w:ascii="Lato" w:hAnsi="Lato"/>
          <w:b/>
          <w:bCs/>
          <w:color w:val="1F497D"/>
          <w:spacing w:val="-2"/>
          <w:sz w:val="20"/>
          <w:szCs w:val="20"/>
        </w:rPr>
        <w:instrText xml:space="preserve"> SEQ Rysunek \* ARABIC \s 1 </w:instrText>
      </w:r>
      <w:r w:rsidR="004042AE" w:rsidRPr="00604E48">
        <w:rPr>
          <w:rFonts w:ascii="Lato" w:hAnsi="Lato"/>
          <w:b/>
          <w:bCs/>
          <w:color w:val="1F497D"/>
          <w:spacing w:val="-2"/>
          <w:sz w:val="20"/>
          <w:szCs w:val="20"/>
        </w:rPr>
        <w:fldChar w:fldCharType="separate"/>
      </w:r>
      <w:r w:rsidR="0040205B">
        <w:rPr>
          <w:rFonts w:ascii="Lato" w:hAnsi="Lato"/>
          <w:b/>
          <w:bCs/>
          <w:noProof/>
          <w:color w:val="1F497D"/>
          <w:spacing w:val="-2"/>
          <w:sz w:val="20"/>
          <w:szCs w:val="20"/>
        </w:rPr>
        <w:t>14</w:t>
      </w:r>
      <w:r w:rsidR="004042AE" w:rsidRPr="00604E48">
        <w:rPr>
          <w:rFonts w:ascii="Lato" w:hAnsi="Lato"/>
          <w:b/>
          <w:bCs/>
          <w:color w:val="1F497D"/>
          <w:spacing w:val="-2"/>
          <w:sz w:val="20"/>
          <w:szCs w:val="20"/>
        </w:rPr>
        <w:fldChar w:fldCharType="end"/>
      </w:r>
      <w:r w:rsidRPr="00604E48">
        <w:rPr>
          <w:rFonts w:ascii="Lato" w:hAnsi="Lato"/>
          <w:b/>
          <w:bCs/>
          <w:color w:val="1F497D"/>
          <w:spacing w:val="-2"/>
          <w:sz w:val="20"/>
          <w:szCs w:val="20"/>
        </w:rPr>
        <w:t xml:space="preserve"> Wykres skumulowanych przepływów pieniężnych – c.w.u. z gazu ziemnego</w:t>
      </w:r>
      <w:bookmarkEnd w:id="366"/>
      <w:r w:rsidRPr="00604E48">
        <w:rPr>
          <w:rFonts w:ascii="Lato" w:hAnsi="Lato"/>
          <w:b/>
          <w:bCs/>
          <w:color w:val="1F497D"/>
          <w:spacing w:val="-2"/>
          <w:sz w:val="20"/>
          <w:szCs w:val="20"/>
        </w:rPr>
        <w:t xml:space="preserve"> </w:t>
      </w:r>
      <w:bookmarkEnd w:id="367"/>
      <w:bookmarkEnd w:id="368"/>
      <w:bookmarkEnd w:id="369"/>
      <w:bookmarkEnd w:id="370"/>
    </w:p>
    <w:p w:rsidR="00604E48" w:rsidRPr="007F2E78" w:rsidRDefault="00604E48" w:rsidP="00604E48">
      <w:pPr>
        <w:suppressAutoHyphens/>
        <w:ind w:firstLine="0"/>
        <w:jc w:val="center"/>
        <w:rPr>
          <w:rFonts w:ascii="Lato" w:hAnsi="Lato"/>
          <w:bCs/>
          <w:i/>
          <w:sz w:val="20"/>
          <w:szCs w:val="22"/>
        </w:rPr>
      </w:pPr>
      <w:r w:rsidRPr="00604E48">
        <w:rPr>
          <w:rFonts w:ascii="Lato" w:hAnsi="Lato"/>
          <w:bCs/>
          <w:i/>
          <w:sz w:val="20"/>
          <w:szCs w:val="22"/>
        </w:rPr>
        <w:t xml:space="preserve">Źródło: </w:t>
      </w:r>
      <w:r w:rsidRPr="007F2E78">
        <w:rPr>
          <w:rFonts w:ascii="Lato" w:hAnsi="Lato"/>
          <w:bCs/>
          <w:i/>
          <w:sz w:val="20"/>
          <w:szCs w:val="22"/>
        </w:rPr>
        <w:t>Analizy własne</w:t>
      </w:r>
    </w:p>
    <w:p w:rsidR="006B024A" w:rsidRPr="007F2E78" w:rsidRDefault="006B024A" w:rsidP="006B024A">
      <w:pPr>
        <w:spacing w:before="100" w:beforeAutospacing="1" w:after="100" w:afterAutospacing="1"/>
        <w:rPr>
          <w:rFonts w:ascii="Lato" w:hAnsi="Lato"/>
          <w:iCs/>
          <w:szCs w:val="22"/>
        </w:rPr>
      </w:pPr>
    </w:p>
    <w:p w:rsidR="006B024A" w:rsidRPr="007F2E78" w:rsidRDefault="006B024A" w:rsidP="00907272">
      <w:pPr>
        <w:pStyle w:val="Nagwek2"/>
        <w:rPr>
          <w:rFonts w:ascii="Lato" w:hAnsi="Lato" w:cs="Times New Roman"/>
        </w:rPr>
      </w:pPr>
      <w:bookmarkStart w:id="371" w:name="_Toc303673571"/>
      <w:bookmarkStart w:id="372" w:name="_Toc328632940"/>
      <w:bookmarkStart w:id="373" w:name="_Toc336419322"/>
      <w:bookmarkStart w:id="374" w:name="_Toc336943576"/>
      <w:bookmarkStart w:id="375" w:name="_Toc20218522"/>
      <w:r w:rsidRPr="007F2E78">
        <w:rPr>
          <w:rFonts w:ascii="Lato" w:hAnsi="Lato" w:cs="Times New Roman"/>
        </w:rPr>
        <w:lastRenderedPageBreak/>
        <w:t>Energia z biomasy</w:t>
      </w:r>
      <w:bookmarkEnd w:id="371"/>
      <w:bookmarkEnd w:id="372"/>
      <w:bookmarkEnd w:id="373"/>
      <w:bookmarkEnd w:id="374"/>
      <w:bookmarkEnd w:id="375"/>
    </w:p>
    <w:p w:rsidR="006B024A" w:rsidRPr="007F2E78" w:rsidRDefault="006B024A" w:rsidP="0007616D">
      <w:pPr>
        <w:pStyle w:val="Tekstpodstawowy2"/>
        <w:spacing w:after="0" w:line="312" w:lineRule="auto"/>
        <w:ind w:firstLine="709"/>
        <w:jc w:val="both"/>
        <w:rPr>
          <w:rFonts w:ascii="Lato" w:hAnsi="Lato"/>
          <w:szCs w:val="22"/>
        </w:rPr>
      </w:pPr>
      <w:r w:rsidRPr="007F2E78">
        <w:rPr>
          <w:rFonts w:ascii="Lato" w:hAnsi="Lato"/>
          <w:szCs w:val="22"/>
        </w:rPr>
        <w:t xml:space="preserve">Biomasa to substancje pochodzenia roślinnego lub zwierzęcego, które ulegają biodegradacji, pochodzące z produktów, odpadów i pozostałości z produkcji rolnej oraz leśnej oraz przemysłu przetwarzającego ich produkty, a także inne części odpadów, które ulegają biodegradacji. Biomasa jest źródłem energii odnawialnej w największym stopniu wykorzystywanym w Polsce. </w:t>
      </w:r>
    </w:p>
    <w:p w:rsidR="006B024A" w:rsidRPr="00E4429B" w:rsidRDefault="006B024A" w:rsidP="00D153EC">
      <w:pPr>
        <w:autoSpaceDE w:val="0"/>
        <w:autoSpaceDN w:val="0"/>
        <w:adjustRightInd w:val="0"/>
        <w:ind w:firstLine="435"/>
        <w:jc w:val="both"/>
        <w:rPr>
          <w:rFonts w:ascii="Lato" w:hAnsi="Lato"/>
          <w:szCs w:val="22"/>
        </w:rPr>
      </w:pPr>
      <w:r w:rsidRPr="00E4429B">
        <w:rPr>
          <w:rFonts w:ascii="Lato" w:hAnsi="Lato"/>
          <w:szCs w:val="22"/>
        </w:rPr>
        <w:t xml:space="preserve">Podobnie sytuacja wygląda w województwie </w:t>
      </w:r>
      <w:r w:rsidR="00E4429B" w:rsidRPr="00E4429B">
        <w:rPr>
          <w:rFonts w:ascii="Lato" w:hAnsi="Lato"/>
          <w:szCs w:val="22"/>
        </w:rPr>
        <w:t>łódzkim</w:t>
      </w:r>
      <w:r w:rsidRPr="00E4429B">
        <w:rPr>
          <w:rFonts w:ascii="Lato" w:hAnsi="Lato"/>
          <w:szCs w:val="22"/>
        </w:rPr>
        <w:t xml:space="preserve">. Na terenie </w:t>
      </w:r>
      <w:r w:rsidR="00542AF0" w:rsidRPr="00E4429B">
        <w:rPr>
          <w:rFonts w:ascii="Lato" w:hAnsi="Lato"/>
          <w:szCs w:val="22"/>
        </w:rPr>
        <w:t xml:space="preserve">Gminy </w:t>
      </w:r>
      <w:r w:rsidR="00E4429B" w:rsidRPr="00E4429B">
        <w:rPr>
          <w:rFonts w:ascii="Lato" w:hAnsi="Lato"/>
          <w:szCs w:val="22"/>
        </w:rPr>
        <w:t>Pabianice</w:t>
      </w:r>
      <w:r w:rsidR="00D153EC" w:rsidRPr="00E4429B">
        <w:rPr>
          <w:rFonts w:ascii="Lato" w:hAnsi="Lato"/>
          <w:szCs w:val="22"/>
        </w:rPr>
        <w:t xml:space="preserve"> biomasa, głównie w </w:t>
      </w:r>
      <w:r w:rsidRPr="00E4429B">
        <w:rPr>
          <w:rFonts w:ascii="Lato" w:hAnsi="Lato"/>
          <w:szCs w:val="22"/>
        </w:rPr>
        <w:t xml:space="preserve">postaci drewna opałowego i odpadów drzewnych, poprodukcyjnych, jest wykorzystywana w mniejszym stopniu. Na potrzeby niniejszego opracowania oszacowano, że jej udział w bilansie paliwowym </w:t>
      </w:r>
      <w:r w:rsidR="00542AF0" w:rsidRPr="00E4429B">
        <w:rPr>
          <w:rFonts w:ascii="Lato" w:hAnsi="Lato"/>
          <w:szCs w:val="22"/>
        </w:rPr>
        <w:t xml:space="preserve">gminy </w:t>
      </w:r>
      <w:r w:rsidRPr="00E4429B">
        <w:rPr>
          <w:rFonts w:ascii="Lato" w:hAnsi="Lato"/>
          <w:szCs w:val="22"/>
        </w:rPr>
        <w:t xml:space="preserve">może kształtować się na poziomie </w:t>
      </w:r>
      <w:r w:rsidR="00E4429B" w:rsidRPr="00E4429B">
        <w:rPr>
          <w:rFonts w:ascii="Lato" w:hAnsi="Lato"/>
          <w:szCs w:val="22"/>
        </w:rPr>
        <w:t>7,9</w:t>
      </w:r>
      <w:r w:rsidR="00542AF0" w:rsidRPr="00E4429B">
        <w:rPr>
          <w:rFonts w:ascii="Lato" w:hAnsi="Lato"/>
          <w:szCs w:val="22"/>
        </w:rPr>
        <w:t>%</w:t>
      </w:r>
      <w:r w:rsidR="005208FC" w:rsidRPr="00E4429B">
        <w:rPr>
          <w:rFonts w:ascii="Lato" w:hAnsi="Lato"/>
          <w:szCs w:val="22"/>
        </w:rPr>
        <w:t>.</w:t>
      </w:r>
    </w:p>
    <w:p w:rsidR="006B024A" w:rsidRPr="00F9656B" w:rsidRDefault="006B024A" w:rsidP="00F9656B">
      <w:pPr>
        <w:pStyle w:val="Tekstpodstawowy2"/>
        <w:spacing w:after="0" w:line="312" w:lineRule="auto"/>
        <w:ind w:firstLine="709"/>
        <w:jc w:val="both"/>
        <w:rPr>
          <w:rFonts w:ascii="Lato" w:hAnsi="Lato"/>
          <w:szCs w:val="22"/>
        </w:rPr>
      </w:pPr>
      <w:r w:rsidRPr="00F9656B">
        <w:rPr>
          <w:rFonts w:ascii="Lato" w:hAnsi="Lato"/>
          <w:szCs w:val="22"/>
        </w:rPr>
        <w:t>W Polsce z 1 ha użytków rolnych zbiera się rocznie ok. 10 ton biomasy</w:t>
      </w:r>
      <w:r w:rsidR="005034DB" w:rsidRPr="00F9656B">
        <w:rPr>
          <w:rFonts w:ascii="Lato" w:hAnsi="Lato"/>
          <w:szCs w:val="22"/>
        </w:rPr>
        <w:t>, co stanowi równowartość ok.</w:t>
      </w:r>
      <w:r w:rsidR="00B83BEC">
        <w:rPr>
          <w:rFonts w:ascii="Lato" w:hAnsi="Lato"/>
          <w:szCs w:val="22"/>
        </w:rPr>
        <w:t xml:space="preserve"> </w:t>
      </w:r>
      <w:r w:rsidR="005B2357" w:rsidRPr="00F9656B">
        <w:rPr>
          <w:rFonts w:ascii="Lato" w:hAnsi="Lato"/>
          <w:szCs w:val="22"/>
        </w:rPr>
        <w:t>5</w:t>
      </w:r>
      <w:r w:rsidR="00B83BEC">
        <w:rPr>
          <w:rFonts w:ascii="Lato" w:hAnsi="Lato"/>
          <w:szCs w:val="22"/>
        </w:rPr>
        <w:t xml:space="preserve"> </w:t>
      </w:r>
      <w:r w:rsidRPr="00F9656B">
        <w:rPr>
          <w:rFonts w:ascii="Lato" w:hAnsi="Lato"/>
          <w:szCs w:val="22"/>
        </w:rPr>
        <w:t>ton węgla kamiennego. Podczas jej spalania wydzielają się niewielkie ilości związków siarki i azotu. Powstający gaz cieplarniany - dwutlenek węgla jest asymilowany przez rośliny wzrastające na polach, czyli jego ilość w atmosferze nie zwiększa się. Zawartość popiołów przy spalaniu wynosi ok. 1% spalanej masy, podczas gdy przy spalaniu gorszych gatunków węgla sięga nawet 20%.</w:t>
      </w:r>
    </w:p>
    <w:p w:rsidR="006B024A" w:rsidRPr="00F9656B" w:rsidRDefault="006B024A" w:rsidP="006B024A">
      <w:pPr>
        <w:pStyle w:val="Tekstpodstawowy2"/>
        <w:spacing w:after="0" w:line="312" w:lineRule="auto"/>
        <w:ind w:firstLine="0"/>
        <w:jc w:val="both"/>
        <w:rPr>
          <w:rFonts w:ascii="Lato" w:hAnsi="Lato"/>
          <w:szCs w:val="22"/>
        </w:rPr>
      </w:pPr>
      <w:r w:rsidRPr="00F9656B">
        <w:rPr>
          <w:rFonts w:ascii="Lato" w:hAnsi="Lato"/>
          <w:szCs w:val="22"/>
        </w:rPr>
        <w:t>Energię z biomasy można uzyskać poprzez:</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spalanie biomasy roślinnej (np. drewno, odpady drzewne z tartaków, zakładów meblarskich i in</w:t>
      </w:r>
      <w:r w:rsidR="005034DB" w:rsidRPr="006A496C">
        <w:rPr>
          <w:rFonts w:ascii="Lato" w:hAnsi="Lato" w:cs="Times New Roman"/>
        </w:rPr>
        <w:t>nych</w:t>
      </w:r>
      <w:r w:rsidRPr="006A496C">
        <w:rPr>
          <w:rFonts w:ascii="Lato" w:hAnsi="Lato" w:cs="Times New Roman"/>
        </w:rPr>
        <w:t>, słoma, specjalne uprawy roślin energetycznych),</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wytwarzanie oleju opałowego z roślin oleistych (np. rze</w:t>
      </w:r>
      <w:r w:rsidR="00D03562">
        <w:rPr>
          <w:rFonts w:ascii="Lato" w:hAnsi="Lato" w:cs="Times New Roman"/>
        </w:rPr>
        <w:t>pak) specjalnie uprawianych dla</w:t>
      </w:r>
      <w:r w:rsidR="00B83BEC">
        <w:rPr>
          <w:rFonts w:ascii="Lato" w:hAnsi="Lato" w:cs="Times New Roman"/>
        </w:rPr>
        <w:t xml:space="preserve"> </w:t>
      </w:r>
      <w:r w:rsidRPr="006A496C">
        <w:rPr>
          <w:rFonts w:ascii="Lato" w:hAnsi="Lato" w:cs="Times New Roman"/>
        </w:rPr>
        <w:t>celów energetycznych,</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fermentację alkoholową np. trzciny cukrowej, ziemniaków lub dowolnego materiału organicznego poddającego się takiej fermentacji, celem wytworzenia alkoholu etylowego do paliw silnikowych,</w:t>
      </w:r>
    </w:p>
    <w:p w:rsidR="006B024A" w:rsidRPr="00F9656B"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 xml:space="preserve">beztlenową fermentację metanową odpadowej masy organicznej (np. odpady z produkcji </w:t>
      </w:r>
      <w:r w:rsidRPr="00F9656B">
        <w:rPr>
          <w:rFonts w:ascii="Lato" w:hAnsi="Lato" w:cs="Times New Roman"/>
        </w:rPr>
        <w:t>rolnej lub przemysłu spożywczego).</w:t>
      </w:r>
    </w:p>
    <w:p w:rsidR="00B83BEC" w:rsidRDefault="00B83BEC" w:rsidP="0007616D">
      <w:pPr>
        <w:pStyle w:val="Tekstpodstawowy2"/>
        <w:spacing w:after="0" w:line="312" w:lineRule="auto"/>
        <w:ind w:firstLine="709"/>
        <w:jc w:val="both"/>
        <w:rPr>
          <w:rFonts w:ascii="Lato" w:hAnsi="Lato"/>
          <w:szCs w:val="22"/>
        </w:rPr>
      </w:pPr>
    </w:p>
    <w:p w:rsidR="006B024A" w:rsidRPr="00F9656B" w:rsidRDefault="006B024A" w:rsidP="0007616D">
      <w:pPr>
        <w:pStyle w:val="Tekstpodstawowy2"/>
        <w:spacing w:after="0" w:line="312" w:lineRule="auto"/>
        <w:ind w:firstLine="709"/>
        <w:jc w:val="both"/>
        <w:rPr>
          <w:rFonts w:ascii="Lato" w:hAnsi="Lato"/>
          <w:szCs w:val="22"/>
        </w:rPr>
      </w:pPr>
      <w:r w:rsidRPr="00F9656B">
        <w:rPr>
          <w:rFonts w:ascii="Lato" w:hAnsi="Lato"/>
          <w:szCs w:val="22"/>
        </w:rPr>
        <w:t>Obecnie w Polsce wykorzystywana w przemyśle energetycznym biomasa pochodzi z dwóch gałęzi gospodarki: rolnictwa i leśnictwa. Najpoważniejszym źródłem biomasy są odpady drzewne i słoma. Część odpadów drzewnych wykorzystuje się w miejscu ich powstawania (przemysł drzewny), głównie do produkcji ciepła lub pary użytkowanej w procesach technologicznych. W przypadku słomy, szczególnie cenne energetycznie, a zupełnie nieprzydatne w rolnictwie,</w:t>
      </w:r>
      <w:r w:rsidR="0007616D" w:rsidRPr="00F9656B">
        <w:rPr>
          <w:rFonts w:ascii="Lato" w:hAnsi="Lato"/>
          <w:szCs w:val="22"/>
        </w:rPr>
        <w:t xml:space="preserve"> są słomy rzepakowa, bobikowa i</w:t>
      </w:r>
      <w:r w:rsidR="00B83BEC">
        <w:rPr>
          <w:rFonts w:ascii="Lato" w:hAnsi="Lato"/>
          <w:szCs w:val="22"/>
        </w:rPr>
        <w:t xml:space="preserve"> </w:t>
      </w:r>
      <w:r w:rsidRPr="00F9656B">
        <w:rPr>
          <w:rFonts w:ascii="Lato" w:hAnsi="Lato"/>
          <w:szCs w:val="22"/>
        </w:rPr>
        <w:t>słonecznikowa. Rocznie polskie rolnictwo produkuje ok. 25 mln ton słomy.</w:t>
      </w:r>
    </w:p>
    <w:p w:rsidR="006B024A" w:rsidRPr="00F9656B" w:rsidRDefault="006B024A" w:rsidP="0007616D">
      <w:pPr>
        <w:pStyle w:val="Tekstpodstawowy2"/>
        <w:spacing w:after="0" w:line="312" w:lineRule="auto"/>
        <w:ind w:firstLine="709"/>
        <w:jc w:val="both"/>
        <w:rPr>
          <w:rFonts w:ascii="Lato" w:hAnsi="Lato"/>
          <w:szCs w:val="22"/>
        </w:rPr>
      </w:pPr>
      <w:r w:rsidRPr="00F9656B">
        <w:rPr>
          <w:rFonts w:ascii="Lato" w:hAnsi="Lato"/>
          <w:szCs w:val="22"/>
        </w:rPr>
        <w:t xml:space="preserve">Od kilku lat obserwuje się w Polsce zainteresowanie uprawą roślin energetycznych takich </w:t>
      </w:r>
      <w:r w:rsidR="0007616D" w:rsidRPr="00F9656B">
        <w:rPr>
          <w:rFonts w:ascii="Lato" w:hAnsi="Lato"/>
          <w:szCs w:val="22"/>
        </w:rPr>
        <w:t>jak np.</w:t>
      </w:r>
      <w:r w:rsidR="00B83BEC">
        <w:rPr>
          <w:rFonts w:ascii="Lato" w:hAnsi="Lato"/>
          <w:szCs w:val="22"/>
        </w:rPr>
        <w:t xml:space="preserve"> </w:t>
      </w:r>
      <w:r w:rsidRPr="00F9656B">
        <w:rPr>
          <w:rFonts w:ascii="Lato" w:hAnsi="Lato"/>
          <w:szCs w:val="22"/>
        </w:rPr>
        <w:t>wierzba energetyczna.</w:t>
      </w:r>
    </w:p>
    <w:p w:rsidR="006B024A" w:rsidRPr="00F9656B" w:rsidRDefault="006B024A" w:rsidP="00D153EC">
      <w:pPr>
        <w:pStyle w:val="Tekstpodstawowy2"/>
        <w:spacing w:after="0" w:line="312" w:lineRule="auto"/>
        <w:ind w:firstLine="360"/>
        <w:jc w:val="both"/>
        <w:rPr>
          <w:rFonts w:ascii="Lato" w:hAnsi="Lato"/>
          <w:szCs w:val="22"/>
        </w:rPr>
      </w:pPr>
      <w:r w:rsidRPr="00F9656B">
        <w:rPr>
          <w:rFonts w:ascii="Lato" w:hAnsi="Lato"/>
          <w:szCs w:val="22"/>
        </w:rPr>
        <w:t>Różnorodność materiału wyjściowego i konieczność dostosowania tec</w:t>
      </w:r>
      <w:r w:rsidR="005034DB" w:rsidRPr="00F9656B">
        <w:rPr>
          <w:rFonts w:ascii="Lato" w:hAnsi="Lato"/>
          <w:szCs w:val="22"/>
        </w:rPr>
        <w:t>hnologii oraz mocy powoduje, iż</w:t>
      </w:r>
      <w:r w:rsidR="00B83BEC">
        <w:rPr>
          <w:rFonts w:ascii="Lato" w:hAnsi="Lato"/>
          <w:szCs w:val="22"/>
        </w:rPr>
        <w:t xml:space="preserve"> </w:t>
      </w:r>
      <w:r w:rsidRPr="00F9656B">
        <w:rPr>
          <w:rFonts w:ascii="Lato" w:hAnsi="Lato"/>
          <w:szCs w:val="22"/>
        </w:rPr>
        <w:t>biopaliwa wykorzystywane są w rożnej postaci. Drewno w postaci kawałkowej, rozdrobnionej (zrębków, ścinków, wiórów, trocin, pyłu drzewnego) oraz skompaktowanej (bry</w:t>
      </w:r>
      <w:r w:rsidR="005034DB" w:rsidRPr="00F9656B">
        <w:rPr>
          <w:rFonts w:ascii="Lato" w:hAnsi="Lato"/>
          <w:szCs w:val="22"/>
        </w:rPr>
        <w:t>kietów, peletów). Słoma i</w:t>
      </w:r>
      <w:r w:rsidR="00B83BEC">
        <w:rPr>
          <w:rFonts w:ascii="Lato" w:hAnsi="Lato"/>
          <w:szCs w:val="22"/>
        </w:rPr>
        <w:t xml:space="preserve"> </w:t>
      </w:r>
      <w:r w:rsidRPr="00F9656B">
        <w:rPr>
          <w:rFonts w:ascii="Lato" w:hAnsi="Lato"/>
          <w:szCs w:val="22"/>
        </w:rPr>
        <w:t xml:space="preserve">pozostałe biopaliwa z roślin niezdrewniałych są wykorzystywane </w:t>
      </w:r>
      <w:r w:rsidR="005034DB" w:rsidRPr="00F9656B">
        <w:rPr>
          <w:rFonts w:ascii="Lato" w:hAnsi="Lato"/>
          <w:szCs w:val="22"/>
        </w:rPr>
        <w:t>w postaci sprasowanych kostek i</w:t>
      </w:r>
      <w:r w:rsidR="00B83BEC">
        <w:rPr>
          <w:rFonts w:ascii="Lato" w:hAnsi="Lato"/>
          <w:szCs w:val="22"/>
        </w:rPr>
        <w:t xml:space="preserve"> </w:t>
      </w:r>
      <w:r w:rsidRPr="00F9656B">
        <w:rPr>
          <w:rFonts w:ascii="Lato" w:hAnsi="Lato"/>
          <w:szCs w:val="22"/>
        </w:rPr>
        <w:t>balotów, sieczki jak też brykietów i peletów.</w:t>
      </w:r>
    </w:p>
    <w:p w:rsidR="006B024A" w:rsidRPr="00F9656B" w:rsidRDefault="006B024A" w:rsidP="0007616D">
      <w:pPr>
        <w:pStyle w:val="Tekstpodstawowy2"/>
        <w:spacing w:after="0" w:line="312" w:lineRule="auto"/>
        <w:ind w:firstLine="709"/>
        <w:jc w:val="both"/>
        <w:rPr>
          <w:rFonts w:ascii="Lato" w:hAnsi="Lato"/>
          <w:szCs w:val="22"/>
        </w:rPr>
      </w:pPr>
      <w:r w:rsidRPr="00F9656B">
        <w:rPr>
          <w:rFonts w:ascii="Lato" w:hAnsi="Lato"/>
          <w:szCs w:val="22"/>
        </w:rPr>
        <w:t xml:space="preserve">Obecnie potencjał biomasy stałej związany jest z wykorzystaniem nadwyżek słomy oraz odpadów drzewnych, dlatego też wykorzystanie ich skoncentrowane jest na obszarach intensywnej produkcji </w:t>
      </w:r>
      <w:r w:rsidRPr="00F9656B">
        <w:rPr>
          <w:rFonts w:ascii="Lato" w:hAnsi="Lato"/>
          <w:szCs w:val="22"/>
        </w:rPr>
        <w:lastRenderedPageBreak/>
        <w:t>rolnej i drzewnej. Jednak rozwój energetycznego wykorzystania biomasy powoduje wyczerpanie się potencjału biomasy odpadowej, a wówczas przewiduje się intensywny rozwój upraw szybko rosnących roślin na cele energetyczne. Aktualnie zakładane są</w:t>
      </w:r>
      <w:r w:rsidR="00B83BEC">
        <w:rPr>
          <w:rFonts w:ascii="Lato" w:hAnsi="Lato"/>
          <w:szCs w:val="22"/>
        </w:rPr>
        <w:t xml:space="preserve"> </w:t>
      </w:r>
      <w:r w:rsidRPr="00F9656B">
        <w:rPr>
          <w:rFonts w:ascii="Lato" w:hAnsi="Lato"/>
          <w:szCs w:val="22"/>
        </w:rPr>
        <w:t>plantacje roślin energetycznych (szybko</w:t>
      </w:r>
      <w:r w:rsidR="00B3500D" w:rsidRPr="00F9656B">
        <w:rPr>
          <w:rFonts w:ascii="Lato" w:hAnsi="Lato"/>
          <w:szCs w:val="22"/>
        </w:rPr>
        <w:t xml:space="preserve"> </w:t>
      </w:r>
      <w:r w:rsidRPr="00F9656B">
        <w:rPr>
          <w:rFonts w:ascii="Lato" w:hAnsi="Lato"/>
          <w:szCs w:val="22"/>
        </w:rPr>
        <w:t>rosnące uprawy drzew i</w:t>
      </w:r>
      <w:r w:rsidR="00B83BEC">
        <w:rPr>
          <w:rFonts w:ascii="Lato" w:hAnsi="Lato"/>
          <w:szCs w:val="22"/>
        </w:rPr>
        <w:t xml:space="preserve"> </w:t>
      </w:r>
      <w:r w:rsidRPr="00F9656B">
        <w:rPr>
          <w:rFonts w:ascii="Lato" w:hAnsi="Lato"/>
          <w:szCs w:val="22"/>
        </w:rPr>
        <w:t>traw).</w:t>
      </w:r>
    </w:p>
    <w:p w:rsidR="006B024A" w:rsidRPr="00F9656B" w:rsidRDefault="006B024A" w:rsidP="006B024A">
      <w:pPr>
        <w:pStyle w:val="Tekstpodstawowy2"/>
        <w:spacing w:after="0" w:line="312" w:lineRule="auto"/>
        <w:ind w:firstLine="0"/>
        <w:jc w:val="both"/>
        <w:rPr>
          <w:rFonts w:ascii="Lato" w:hAnsi="Lato"/>
          <w:szCs w:val="22"/>
        </w:rPr>
      </w:pPr>
      <w:r w:rsidRPr="00F9656B">
        <w:rPr>
          <w:rFonts w:ascii="Lato" w:hAnsi="Lato"/>
          <w:szCs w:val="22"/>
        </w:rPr>
        <w:t>Potencjał energetyczny biomasy można podzielić na dwie grupy:</w:t>
      </w:r>
    </w:p>
    <w:p w:rsidR="006B024A" w:rsidRPr="00F9656B" w:rsidRDefault="006B024A" w:rsidP="006A496C">
      <w:pPr>
        <w:pStyle w:val="Tekstpodstawowy"/>
        <w:numPr>
          <w:ilvl w:val="0"/>
          <w:numId w:val="83"/>
        </w:numPr>
        <w:tabs>
          <w:tab w:val="clear" w:pos="360"/>
        </w:tabs>
        <w:ind w:left="709" w:hanging="425"/>
        <w:rPr>
          <w:rFonts w:ascii="Lato" w:hAnsi="Lato" w:cs="Times New Roman"/>
        </w:rPr>
      </w:pPr>
      <w:r w:rsidRPr="00F9656B">
        <w:rPr>
          <w:rFonts w:ascii="Lato" w:hAnsi="Lato"/>
          <w:szCs w:val="22"/>
        </w:rPr>
        <w:t>plantacje roślin uprawnych z przeznaczeniem na cele energetyczne (np. kukurydza, rzepak, ziemniaki, wierzba krzewiasta, topinambur),</w:t>
      </w:r>
    </w:p>
    <w:p w:rsidR="006B024A" w:rsidRDefault="006B024A" w:rsidP="006A496C">
      <w:pPr>
        <w:pStyle w:val="Tekstpodstawowy"/>
        <w:numPr>
          <w:ilvl w:val="0"/>
          <w:numId w:val="83"/>
        </w:numPr>
        <w:tabs>
          <w:tab w:val="clear" w:pos="360"/>
        </w:tabs>
        <w:ind w:left="709" w:hanging="425"/>
        <w:rPr>
          <w:rFonts w:ascii="Lato" w:hAnsi="Lato"/>
          <w:szCs w:val="22"/>
        </w:rPr>
      </w:pPr>
      <w:r w:rsidRPr="00F9656B">
        <w:rPr>
          <w:rFonts w:ascii="Lato" w:hAnsi="Lato" w:cs="Times New Roman"/>
        </w:rPr>
        <w:t>organiczne pozostałości i odpady, a w tym pozostałości roślin uprawnyc</w:t>
      </w:r>
      <w:r w:rsidRPr="00F9656B">
        <w:rPr>
          <w:rFonts w:ascii="Lato" w:hAnsi="Lato"/>
          <w:szCs w:val="22"/>
        </w:rPr>
        <w:t>h.</w:t>
      </w:r>
    </w:p>
    <w:p w:rsidR="00DB35F5" w:rsidRPr="00F9656B" w:rsidRDefault="00DB35F5" w:rsidP="00DB35F5">
      <w:pPr>
        <w:pStyle w:val="Tekstpodstawowy"/>
        <w:ind w:left="709"/>
        <w:rPr>
          <w:rFonts w:ascii="Lato" w:hAnsi="Lato"/>
          <w:szCs w:val="22"/>
        </w:rPr>
      </w:pPr>
    </w:p>
    <w:p w:rsidR="006B024A" w:rsidRPr="00F9656B" w:rsidRDefault="006B024A" w:rsidP="006B024A">
      <w:pPr>
        <w:pStyle w:val="Tekstpodstawowy2"/>
        <w:spacing w:after="0" w:line="312" w:lineRule="auto"/>
        <w:ind w:firstLine="0"/>
        <w:jc w:val="both"/>
        <w:rPr>
          <w:rFonts w:ascii="Lato" w:hAnsi="Lato"/>
          <w:szCs w:val="22"/>
        </w:rPr>
      </w:pPr>
      <w:r w:rsidRPr="00F9656B">
        <w:rPr>
          <w:rFonts w:ascii="Lato" w:hAnsi="Lato"/>
          <w:szCs w:val="22"/>
        </w:rPr>
        <w:t>Potencjał teoretyczny jest to inaczej potencjał surowcowy, dotyczy oszacowania ilości biomasy, którą teoretycznie można by na danym terenie wykorzystać energetycznie. Przy obliczaniu potencjału teoretycznego biomasy należy kierować się również doświadczeniem eksperckim, które umożliwi oszacowanie tej wielkości z mniejszym błędem.</w:t>
      </w:r>
    </w:p>
    <w:p w:rsidR="006B024A" w:rsidRDefault="0063752B" w:rsidP="00D153EC">
      <w:pPr>
        <w:pStyle w:val="Tekstpodstawowy2"/>
        <w:spacing w:after="0" w:line="312" w:lineRule="auto"/>
        <w:ind w:firstLine="709"/>
        <w:jc w:val="both"/>
        <w:rPr>
          <w:rFonts w:ascii="Lato" w:hAnsi="Lato"/>
          <w:szCs w:val="22"/>
        </w:rPr>
      </w:pPr>
      <w:r w:rsidRPr="00F9656B">
        <w:rPr>
          <w:rFonts w:ascii="Lato" w:hAnsi="Lato"/>
          <w:szCs w:val="22"/>
        </w:rPr>
        <w:t xml:space="preserve">Do oszacowania potencjału biomasy na obszarze gminy </w:t>
      </w:r>
      <w:r w:rsidR="00F9656B" w:rsidRPr="00F9656B">
        <w:rPr>
          <w:rFonts w:ascii="Lato" w:hAnsi="Lato"/>
          <w:szCs w:val="22"/>
        </w:rPr>
        <w:t>Pabianice</w:t>
      </w:r>
      <w:r w:rsidRPr="00F9656B">
        <w:rPr>
          <w:rFonts w:ascii="Lato" w:hAnsi="Lato"/>
          <w:szCs w:val="22"/>
        </w:rPr>
        <w:t xml:space="preserve"> przyjęto, że pochodzić ona będzie z produkcji roślinnej; w tym słomy, upraw energetycznych, sadów, przecinki corocznej drzew przydrożnych, a także produkcji leśnej, łąk nie użytkowanych jako pastwisk i innych źródeł. Potencjał biomasy rolniczej możliwej do wykorzystania na cele energetyczne w postaci stałej zależny jest od areału i plonowania zbóż i rzepaku. Z rośl</w:t>
      </w:r>
      <w:r w:rsidR="00F9656B" w:rsidRPr="00F9656B">
        <w:rPr>
          <w:rFonts w:ascii="Lato" w:hAnsi="Lato"/>
          <w:szCs w:val="22"/>
        </w:rPr>
        <w:t>in możliwych do wykorzystania i </w:t>
      </w:r>
      <w:r w:rsidRPr="00F9656B">
        <w:rPr>
          <w:rFonts w:ascii="Lato" w:hAnsi="Lato"/>
          <w:szCs w:val="22"/>
        </w:rPr>
        <w:t>przetworzenia na paliwa płynne, na etanol i biodiesel upraw</w:t>
      </w:r>
      <w:r w:rsidR="00F9656B" w:rsidRPr="00F9656B">
        <w:rPr>
          <w:rFonts w:ascii="Lato" w:hAnsi="Lato"/>
          <w:szCs w:val="22"/>
        </w:rPr>
        <w:t>iane są odpowiednio ziemniaki i </w:t>
      </w:r>
      <w:r w:rsidRPr="00F9656B">
        <w:rPr>
          <w:rFonts w:ascii="Lato" w:hAnsi="Lato"/>
          <w:szCs w:val="22"/>
        </w:rPr>
        <w:t>rzepak.</w:t>
      </w:r>
    </w:p>
    <w:p w:rsidR="00DB35F5" w:rsidRPr="00F9656B" w:rsidRDefault="00DB35F5" w:rsidP="00D153EC">
      <w:pPr>
        <w:pStyle w:val="Tekstpodstawowy2"/>
        <w:spacing w:after="0" w:line="312" w:lineRule="auto"/>
        <w:ind w:firstLine="709"/>
        <w:jc w:val="both"/>
        <w:rPr>
          <w:rFonts w:ascii="Lato" w:hAnsi="Lato"/>
          <w:szCs w:val="22"/>
        </w:rPr>
      </w:pPr>
    </w:p>
    <w:p w:rsidR="006B024A" w:rsidRPr="000B0ACA" w:rsidRDefault="006B024A" w:rsidP="006B024A">
      <w:pPr>
        <w:pStyle w:val="Tekstpodstawowy2"/>
        <w:spacing w:after="0" w:line="312" w:lineRule="auto"/>
        <w:ind w:firstLine="0"/>
        <w:jc w:val="both"/>
        <w:rPr>
          <w:rFonts w:ascii="Lato" w:hAnsi="Lato"/>
          <w:szCs w:val="22"/>
        </w:rPr>
      </w:pPr>
      <w:r w:rsidRPr="000B0ACA">
        <w:rPr>
          <w:rFonts w:ascii="Lato" w:hAnsi="Lato"/>
          <w:szCs w:val="22"/>
        </w:rPr>
        <w:t>Do obliczenia potencjału surowcowego lub inaczej teoretycznego przyjęto podane niżej założenia:</w:t>
      </w:r>
    </w:p>
    <w:p w:rsidR="00351EDB" w:rsidRDefault="00351EDB" w:rsidP="006A496C">
      <w:pPr>
        <w:pStyle w:val="Tekstpodstawowy"/>
        <w:numPr>
          <w:ilvl w:val="0"/>
          <w:numId w:val="83"/>
        </w:numPr>
        <w:tabs>
          <w:tab w:val="clear" w:pos="360"/>
        </w:tabs>
        <w:ind w:left="709" w:hanging="425"/>
        <w:rPr>
          <w:rFonts w:ascii="Lato" w:hAnsi="Lato" w:cs="Times New Roman"/>
        </w:rPr>
      </w:pPr>
      <w:r w:rsidRPr="000B0ACA">
        <w:rPr>
          <w:rFonts w:ascii="Lato" w:hAnsi="Lato" w:cs="Times New Roman"/>
        </w:rPr>
        <w:t xml:space="preserve">Zasobność drzewa na pniu Nadleśnictwa </w:t>
      </w:r>
      <w:r w:rsidR="00CA1732">
        <w:rPr>
          <w:rFonts w:ascii="Lato" w:hAnsi="Lato" w:cs="Times New Roman"/>
        </w:rPr>
        <w:t>Poddębice</w:t>
      </w:r>
      <w:r w:rsidRPr="000B0ACA">
        <w:rPr>
          <w:rFonts w:ascii="Lato" w:hAnsi="Lato" w:cs="Times New Roman"/>
        </w:rPr>
        <w:t xml:space="preserve"> wynosi </w:t>
      </w:r>
      <w:r w:rsidRPr="00B83BEC">
        <w:rPr>
          <w:rFonts w:ascii="Lato" w:hAnsi="Lato" w:cs="Times New Roman"/>
        </w:rPr>
        <w:t xml:space="preserve">średnio </w:t>
      </w:r>
      <w:r w:rsidR="00CA1732">
        <w:rPr>
          <w:rFonts w:ascii="Lato" w:hAnsi="Lato"/>
        </w:rPr>
        <w:t>309,4</w:t>
      </w:r>
      <w:r w:rsidRPr="00B83BEC">
        <w:rPr>
          <w:rFonts w:ascii="Lato" w:hAnsi="Lato" w:cs="Times New Roman"/>
        </w:rPr>
        <w:t>m</w:t>
      </w:r>
      <w:r w:rsidRPr="00B83BEC">
        <w:rPr>
          <w:rFonts w:ascii="Lato" w:hAnsi="Lato" w:cs="Times New Roman"/>
          <w:vertAlign w:val="superscript"/>
        </w:rPr>
        <w:t>3</w:t>
      </w:r>
      <w:r w:rsidRPr="000B0ACA">
        <w:rPr>
          <w:rFonts w:ascii="Lato" w:hAnsi="Lato" w:cs="Times New Roman"/>
        </w:rPr>
        <w:t>/ha.</w:t>
      </w:r>
    </w:p>
    <w:p w:rsidR="00CA1732" w:rsidRPr="000B0ACA" w:rsidRDefault="00CA1732" w:rsidP="00CA1732">
      <w:pPr>
        <w:pStyle w:val="Tekstpodstawowy"/>
        <w:numPr>
          <w:ilvl w:val="0"/>
          <w:numId w:val="83"/>
        </w:numPr>
        <w:tabs>
          <w:tab w:val="clear" w:pos="360"/>
        </w:tabs>
        <w:ind w:left="709" w:hanging="425"/>
        <w:rPr>
          <w:rFonts w:ascii="Lato" w:hAnsi="Lato" w:cs="Times New Roman"/>
        </w:rPr>
      </w:pPr>
      <w:r w:rsidRPr="00CA1732">
        <w:rPr>
          <w:rFonts w:ascii="Lato" w:hAnsi="Lato" w:cs="Times New Roman"/>
        </w:rPr>
        <w:t>Zasobność drzewa na pniu Nadleśnictwa Kolumna wynosi średnio 277</w:t>
      </w:r>
      <w:r w:rsidR="00036A0B">
        <w:rPr>
          <w:rFonts w:ascii="Lato" w:hAnsi="Lato" w:cs="Times New Roman"/>
        </w:rPr>
        <w:t>,0</w:t>
      </w:r>
      <w:r w:rsidRPr="00CA1732">
        <w:rPr>
          <w:rFonts w:ascii="Lato" w:hAnsi="Lato" w:cs="Times New Roman"/>
        </w:rPr>
        <w:t xml:space="preserve"> m</w:t>
      </w:r>
      <w:r w:rsidRPr="00CA1732">
        <w:rPr>
          <w:rFonts w:ascii="Lato" w:hAnsi="Lato" w:cs="Times New Roman"/>
          <w:vertAlign w:val="superscript"/>
        </w:rPr>
        <w:t>3</w:t>
      </w:r>
      <w:r w:rsidRPr="00CA1732">
        <w:rPr>
          <w:rFonts w:ascii="Lato" w:hAnsi="Lato" w:cs="Times New Roman"/>
        </w:rPr>
        <w:t>/ha.</w:t>
      </w:r>
    </w:p>
    <w:p w:rsidR="00351EDB" w:rsidRPr="000B0ACA" w:rsidRDefault="00351EDB" w:rsidP="006A496C">
      <w:pPr>
        <w:pStyle w:val="Tekstpodstawowy"/>
        <w:numPr>
          <w:ilvl w:val="0"/>
          <w:numId w:val="83"/>
        </w:numPr>
        <w:tabs>
          <w:tab w:val="clear" w:pos="360"/>
        </w:tabs>
        <w:ind w:left="709" w:hanging="425"/>
        <w:rPr>
          <w:rFonts w:ascii="Lato" w:hAnsi="Lato" w:cs="Times New Roman"/>
        </w:rPr>
      </w:pPr>
      <w:r w:rsidRPr="000B0ACA">
        <w:rPr>
          <w:rFonts w:ascii="Lato" w:hAnsi="Lato" w:cs="Times New Roman"/>
        </w:rPr>
        <w:t>Wskaźniki przeliczeniowe do oszacowania potencjału słomy zależne są od rodzaju zboża, plonowania i sposobu zbioru. Dlatego też przyjęto pote</w:t>
      </w:r>
      <w:r w:rsidR="00B83BEC">
        <w:rPr>
          <w:rFonts w:ascii="Lato" w:hAnsi="Lato" w:cs="Times New Roman"/>
        </w:rPr>
        <w:t>ncjał na podstawie danych GUS z </w:t>
      </w:r>
      <w:r w:rsidRPr="000B0ACA">
        <w:rPr>
          <w:rFonts w:ascii="Lato" w:hAnsi="Lato" w:cs="Times New Roman"/>
        </w:rPr>
        <w:t>2002</w:t>
      </w:r>
      <w:r w:rsidR="00B83BEC">
        <w:rPr>
          <w:rFonts w:ascii="Lato" w:hAnsi="Lato" w:cs="Times New Roman"/>
        </w:rPr>
        <w:t xml:space="preserve"> </w:t>
      </w:r>
      <w:r w:rsidRPr="000B0ACA">
        <w:rPr>
          <w:rFonts w:ascii="Lato" w:hAnsi="Lato" w:cs="Times New Roman"/>
        </w:rPr>
        <w:t>r. Zastosowano średni wskaźnik wynoszą</w:t>
      </w:r>
      <w:bookmarkStart w:id="376" w:name="_GoBack"/>
      <w:bookmarkEnd w:id="376"/>
      <w:r w:rsidRPr="000B0ACA">
        <w:rPr>
          <w:rFonts w:ascii="Lato" w:hAnsi="Lato" w:cs="Times New Roman"/>
        </w:rPr>
        <w:t>cy 1 t/ha gruntów ornych pod zasiewami.</w:t>
      </w:r>
    </w:p>
    <w:p w:rsidR="00351EDB" w:rsidRPr="000B0ACA" w:rsidRDefault="00351EDB" w:rsidP="006A496C">
      <w:pPr>
        <w:pStyle w:val="Tekstpodstawowy"/>
        <w:numPr>
          <w:ilvl w:val="0"/>
          <w:numId w:val="83"/>
        </w:numPr>
        <w:tabs>
          <w:tab w:val="clear" w:pos="360"/>
        </w:tabs>
        <w:ind w:left="709" w:hanging="425"/>
        <w:rPr>
          <w:rFonts w:ascii="Lato" w:hAnsi="Lato" w:cs="Times New Roman"/>
        </w:rPr>
      </w:pPr>
      <w:r w:rsidRPr="000B0ACA">
        <w:rPr>
          <w:rFonts w:ascii="Lato" w:hAnsi="Lato" w:cs="Times New Roman"/>
        </w:rPr>
        <w:t>Potencjał teoretyczny dla siana obliczono przez pomnożenie powierzchni łąk i średniego plonu wynoszącego 5 t/ha.</w:t>
      </w:r>
    </w:p>
    <w:p w:rsidR="00351EDB" w:rsidRPr="000B0ACA" w:rsidRDefault="00351EDB" w:rsidP="006A496C">
      <w:pPr>
        <w:pStyle w:val="Tekstpodstawowy"/>
        <w:numPr>
          <w:ilvl w:val="0"/>
          <w:numId w:val="83"/>
        </w:numPr>
        <w:tabs>
          <w:tab w:val="clear" w:pos="360"/>
        </w:tabs>
        <w:ind w:left="709" w:hanging="425"/>
        <w:rPr>
          <w:rFonts w:ascii="Lato" w:hAnsi="Lato" w:cs="Times New Roman"/>
        </w:rPr>
      </w:pPr>
      <w:r w:rsidRPr="000B0ACA">
        <w:rPr>
          <w:rFonts w:ascii="Lato" w:hAnsi="Lato" w:cs="Times New Roman"/>
        </w:rPr>
        <w:t>Dla sadów przyjmuje się, że zakres możliwego do pozyskania drewna z rocznych cięć wynosi średnio 2,5 t/ha, przy możliwości uzyskania drewna w granicach 2,0-3,0 t/ha.</w:t>
      </w:r>
    </w:p>
    <w:p w:rsidR="00351EDB" w:rsidRPr="000B0ACA" w:rsidRDefault="00351EDB" w:rsidP="006A496C">
      <w:pPr>
        <w:pStyle w:val="Tekstpodstawowy"/>
        <w:numPr>
          <w:ilvl w:val="0"/>
          <w:numId w:val="83"/>
        </w:numPr>
        <w:tabs>
          <w:tab w:val="clear" w:pos="360"/>
        </w:tabs>
        <w:ind w:left="709" w:hanging="425"/>
        <w:rPr>
          <w:rFonts w:ascii="Lato" w:hAnsi="Lato" w:cs="Times New Roman"/>
        </w:rPr>
      </w:pPr>
      <w:r w:rsidRPr="000B0ACA">
        <w:rPr>
          <w:rFonts w:ascii="Lato" w:hAnsi="Lato" w:cs="Times New Roman"/>
        </w:rPr>
        <w:t>Potencjał teoretyczny równy technicznemu w zakresie przecinania drzew przydrożnych przyjęto na poziomie 1,5 t/km drogi na rok.</w:t>
      </w:r>
    </w:p>
    <w:p w:rsidR="00351EDB" w:rsidRPr="000B0ACA" w:rsidRDefault="00351EDB" w:rsidP="006A496C">
      <w:pPr>
        <w:pStyle w:val="Tekstpodstawowy"/>
        <w:numPr>
          <w:ilvl w:val="0"/>
          <w:numId w:val="83"/>
        </w:numPr>
        <w:tabs>
          <w:tab w:val="clear" w:pos="360"/>
        </w:tabs>
        <w:ind w:left="709" w:hanging="425"/>
        <w:rPr>
          <w:rFonts w:ascii="Lato" w:hAnsi="Lato" w:cs="Times New Roman"/>
        </w:rPr>
      </w:pPr>
      <w:r w:rsidRPr="000B0ACA">
        <w:rPr>
          <w:rFonts w:ascii="Lato" w:hAnsi="Lato" w:cs="Times New Roman"/>
        </w:rPr>
        <w:t>Potencjał teoretyczny wynikający z uprawy roślin energetycznych na wszystkich obszarach ugorów i odłogów.</w:t>
      </w:r>
    </w:p>
    <w:p w:rsidR="00B83BEC" w:rsidRDefault="00B83BEC" w:rsidP="00351EDB">
      <w:pPr>
        <w:pStyle w:val="Tekstpodstawowy2"/>
        <w:spacing w:after="0" w:line="312" w:lineRule="auto"/>
        <w:ind w:firstLine="709"/>
        <w:jc w:val="both"/>
        <w:rPr>
          <w:rFonts w:ascii="Lato" w:hAnsi="Lato"/>
          <w:szCs w:val="22"/>
        </w:rPr>
      </w:pPr>
    </w:p>
    <w:p w:rsidR="006B024A" w:rsidRPr="000B0ACA" w:rsidRDefault="006B024A" w:rsidP="00351EDB">
      <w:pPr>
        <w:pStyle w:val="Tekstpodstawowy2"/>
        <w:spacing w:after="0" w:line="312" w:lineRule="auto"/>
        <w:ind w:firstLine="709"/>
        <w:jc w:val="both"/>
        <w:rPr>
          <w:rFonts w:ascii="Lato" w:hAnsi="Lato"/>
          <w:szCs w:val="22"/>
        </w:rPr>
      </w:pPr>
      <w:r w:rsidRPr="000B0ACA">
        <w:rPr>
          <w:rFonts w:ascii="Lato" w:hAnsi="Lato"/>
          <w:szCs w:val="22"/>
        </w:rPr>
        <w:t>Potencjał techniczny stanowi tę ilość potencjału surowcowego, która może być przeznaczona na cele energetyczne po uwzględnieniu technicznyc</w:t>
      </w:r>
      <w:r w:rsidR="00F9656B" w:rsidRPr="000B0ACA">
        <w:rPr>
          <w:rFonts w:ascii="Lato" w:hAnsi="Lato"/>
          <w:szCs w:val="22"/>
        </w:rPr>
        <w:t>h możliwości jego pozyskania, a </w:t>
      </w:r>
      <w:r w:rsidRPr="000B0ACA">
        <w:rPr>
          <w:rFonts w:ascii="Lato" w:hAnsi="Lato"/>
          <w:szCs w:val="22"/>
        </w:rPr>
        <w:t>także uwzględniając inne aktualne uwarunkowania dla jego wykorzystania. Przy obliczeniu potencjału technicznego uwzględniono następujące założenia:</w:t>
      </w:r>
    </w:p>
    <w:p w:rsidR="006B024A" w:rsidRPr="000B0ACA" w:rsidRDefault="006B024A" w:rsidP="006A496C">
      <w:pPr>
        <w:pStyle w:val="Tekstpodstawowy"/>
        <w:numPr>
          <w:ilvl w:val="0"/>
          <w:numId w:val="83"/>
        </w:numPr>
        <w:tabs>
          <w:tab w:val="clear" w:pos="360"/>
        </w:tabs>
        <w:ind w:left="709" w:hanging="425"/>
        <w:rPr>
          <w:rFonts w:ascii="Lato" w:hAnsi="Lato" w:cs="Times New Roman"/>
        </w:rPr>
      </w:pPr>
      <w:r w:rsidRPr="000B0ACA">
        <w:rPr>
          <w:rFonts w:ascii="Lato" w:hAnsi="Lato" w:cs="Times New Roman"/>
        </w:rPr>
        <w:lastRenderedPageBreak/>
        <w:t>Z jednego drzewa w wieku rębnym uzyskać można 54 kg drobnicy gałęziowej, 59 kg chrustu oraz 166 kg drewna pniakowego z korzeniami. Przyjmując średnio liczbę 400 drzew na</w:t>
      </w:r>
      <w:r w:rsidR="00B83BEC">
        <w:rPr>
          <w:rFonts w:ascii="Lato" w:hAnsi="Lato" w:cs="Times New Roman"/>
        </w:rPr>
        <w:t xml:space="preserve"> </w:t>
      </w:r>
      <w:r w:rsidRPr="000B0ACA">
        <w:rPr>
          <w:rFonts w:ascii="Lato" w:hAnsi="Lato" w:cs="Times New Roman"/>
        </w:rPr>
        <w:t>1</w:t>
      </w:r>
      <w:r w:rsidR="00DB35F5">
        <w:rPr>
          <w:rFonts w:ascii="Lato" w:hAnsi="Lato" w:cs="Times New Roman"/>
        </w:rPr>
        <w:t> </w:t>
      </w:r>
      <w:r w:rsidRPr="000B0ACA">
        <w:rPr>
          <w:rFonts w:ascii="Lato" w:hAnsi="Lato" w:cs="Times New Roman"/>
        </w:rPr>
        <w:t>hektarze, daje to 111 t/ha drewna. Przyjęto, że z 1ha można pozyskać 50 t drewna, ilość tę przyjmuje się dla 5% powierzch</w:t>
      </w:r>
      <w:r w:rsidR="003C6188" w:rsidRPr="000B0ACA">
        <w:rPr>
          <w:rFonts w:ascii="Lato" w:hAnsi="Lato" w:cs="Times New Roman"/>
        </w:rPr>
        <w:t>ni lasów rosnących na obszarz</w:t>
      </w:r>
      <w:r w:rsidR="001D1506" w:rsidRPr="000B0ACA">
        <w:rPr>
          <w:rFonts w:ascii="Lato" w:hAnsi="Lato" w:cs="Times New Roman"/>
        </w:rPr>
        <w:t xml:space="preserve">e </w:t>
      </w:r>
      <w:r w:rsidR="00A32F52" w:rsidRPr="000B0ACA">
        <w:rPr>
          <w:rFonts w:ascii="Lato" w:hAnsi="Lato" w:cs="Times New Roman"/>
        </w:rPr>
        <w:t>gminy</w:t>
      </w:r>
      <w:r w:rsidRPr="000B0ACA">
        <w:rPr>
          <w:rFonts w:ascii="Lato" w:hAnsi="Lato" w:cs="Times New Roman"/>
        </w:rPr>
        <w:t xml:space="preserve">. </w:t>
      </w:r>
    </w:p>
    <w:p w:rsidR="006B024A" w:rsidRPr="000B0ACA" w:rsidRDefault="006B024A" w:rsidP="006A496C">
      <w:pPr>
        <w:pStyle w:val="Tekstpodstawowy"/>
        <w:numPr>
          <w:ilvl w:val="0"/>
          <w:numId w:val="83"/>
        </w:numPr>
        <w:tabs>
          <w:tab w:val="clear" w:pos="360"/>
        </w:tabs>
        <w:ind w:left="709" w:hanging="425"/>
        <w:rPr>
          <w:rFonts w:ascii="Lato" w:hAnsi="Lato" w:cs="Times New Roman"/>
        </w:rPr>
      </w:pPr>
      <w:r w:rsidRPr="000B0ACA">
        <w:rPr>
          <w:rFonts w:ascii="Lato" w:hAnsi="Lato" w:cs="Times New Roman"/>
        </w:rPr>
        <w:t>Ponadto w lasach stosowane są cięcia przedrębne i pielęgnacyjne. Przyjęto, że z cięć przedrębnych i pielęgnacyjnych uzyskuje się 12t/ha drewna i wielkość ta dotyczy 10% powierzchni lasów.</w:t>
      </w:r>
    </w:p>
    <w:p w:rsidR="006B024A" w:rsidRPr="000B0ACA" w:rsidRDefault="006B024A" w:rsidP="006A496C">
      <w:pPr>
        <w:pStyle w:val="Tekstpodstawowy"/>
        <w:numPr>
          <w:ilvl w:val="0"/>
          <w:numId w:val="83"/>
        </w:numPr>
        <w:tabs>
          <w:tab w:val="clear" w:pos="360"/>
        </w:tabs>
        <w:ind w:left="709" w:hanging="425"/>
        <w:rPr>
          <w:rFonts w:ascii="Lato" w:hAnsi="Lato" w:cs="Times New Roman"/>
        </w:rPr>
      </w:pPr>
      <w:r w:rsidRPr="000B0ACA">
        <w:rPr>
          <w:rFonts w:ascii="Lato" w:hAnsi="Lato" w:cs="Times New Roman"/>
        </w:rPr>
        <w:t>Opierając się na danych literaturowych przyjęto 30% potencjału słomy zebranej jako możliwej do przeznaczenia na cele energetyczne, stanowi to bezpieczny próg.</w:t>
      </w:r>
    </w:p>
    <w:p w:rsidR="006B024A" w:rsidRPr="000B0ACA" w:rsidRDefault="006B024A" w:rsidP="006A496C">
      <w:pPr>
        <w:pStyle w:val="Tekstpodstawowy"/>
        <w:numPr>
          <w:ilvl w:val="0"/>
          <w:numId w:val="83"/>
        </w:numPr>
        <w:tabs>
          <w:tab w:val="clear" w:pos="360"/>
        </w:tabs>
        <w:ind w:left="709" w:hanging="425"/>
        <w:rPr>
          <w:rFonts w:ascii="Lato" w:hAnsi="Lato" w:cs="Times New Roman"/>
        </w:rPr>
      </w:pPr>
      <w:r w:rsidRPr="000B0ACA">
        <w:rPr>
          <w:rFonts w:ascii="Lato" w:hAnsi="Lato" w:cs="Times New Roman"/>
        </w:rPr>
        <w:t>Z uwagi na wykorzystywanie siana w produkcji zwierzęcej założono, że jedynie 5% siana z łąk może być wykorzystane do celów energetycznych.</w:t>
      </w:r>
    </w:p>
    <w:p w:rsidR="006B024A" w:rsidRPr="000B0ACA" w:rsidRDefault="006B024A" w:rsidP="006A496C">
      <w:pPr>
        <w:pStyle w:val="Tekstpodstawowy"/>
        <w:numPr>
          <w:ilvl w:val="0"/>
          <w:numId w:val="83"/>
        </w:numPr>
        <w:tabs>
          <w:tab w:val="clear" w:pos="360"/>
        </w:tabs>
        <w:ind w:left="709" w:hanging="425"/>
        <w:rPr>
          <w:rFonts w:ascii="Lato" w:hAnsi="Lato" w:cs="Times New Roman"/>
        </w:rPr>
      </w:pPr>
      <w:r w:rsidRPr="000B0ACA">
        <w:rPr>
          <w:rFonts w:ascii="Lato" w:hAnsi="Lato" w:cs="Times New Roman"/>
        </w:rPr>
        <w:t>Całość teoretycznego potencjału pozyskiwania drewna z pielęgnacji sadów oraz przycinania drzew przydrożnych jest równa potencjałowi technicznemu.</w:t>
      </w:r>
    </w:p>
    <w:p w:rsidR="006B024A" w:rsidRPr="00F9656B" w:rsidRDefault="006B024A" w:rsidP="005E067E">
      <w:pPr>
        <w:pStyle w:val="Tekstpodstawowy2"/>
        <w:spacing w:after="0" w:line="312" w:lineRule="auto"/>
        <w:ind w:firstLine="709"/>
        <w:jc w:val="both"/>
        <w:rPr>
          <w:rFonts w:ascii="Lato" w:hAnsi="Lato"/>
          <w:szCs w:val="22"/>
        </w:rPr>
      </w:pPr>
      <w:r w:rsidRPr="00F9656B">
        <w:rPr>
          <w:rFonts w:ascii="Lato" w:hAnsi="Lato"/>
          <w:szCs w:val="22"/>
        </w:rPr>
        <w:t>Ponadto przyjęto na podstawie analiz własnych, że 1 MW mocy odpowiad</w:t>
      </w:r>
      <w:r w:rsidR="00A66240" w:rsidRPr="00F9656B">
        <w:rPr>
          <w:rFonts w:ascii="Lato" w:hAnsi="Lato"/>
          <w:szCs w:val="22"/>
        </w:rPr>
        <w:t>a produkcji ciepła wynoszącej 7</w:t>
      </w:r>
      <w:r w:rsidR="00B83BEC">
        <w:rPr>
          <w:rFonts w:ascii="Lato" w:hAnsi="Lato"/>
          <w:szCs w:val="22"/>
        </w:rPr>
        <w:t xml:space="preserve"> </w:t>
      </w:r>
      <w:r w:rsidRPr="00F9656B">
        <w:rPr>
          <w:rFonts w:ascii="Lato" w:hAnsi="Lato"/>
          <w:szCs w:val="22"/>
        </w:rPr>
        <w:t>000 GJ. Zakładając procesy bezpośredniego spalania, sprawność urządzeń kotłowych przyjęto na poziomie 80%.</w:t>
      </w:r>
    </w:p>
    <w:p w:rsidR="006B024A" w:rsidRPr="00F9656B" w:rsidRDefault="006B024A" w:rsidP="005E067E">
      <w:pPr>
        <w:pStyle w:val="Tekstpodstawowy"/>
        <w:ind w:firstLine="709"/>
        <w:rPr>
          <w:rFonts w:ascii="Lato" w:hAnsi="Lato" w:cs="Times New Roman"/>
          <w:szCs w:val="22"/>
        </w:rPr>
      </w:pPr>
      <w:r w:rsidRPr="00F9656B">
        <w:rPr>
          <w:rFonts w:ascii="Lato" w:hAnsi="Lato" w:cs="Times New Roman"/>
          <w:szCs w:val="22"/>
        </w:rPr>
        <w:t>W zakresie drewna opałowego i zrębków drzewnych proponuje się pełne wykorzystanie potencjału tego paliwa. Biomasę można użytkować w małych i średnich kotłowniach, z</w:t>
      </w:r>
      <w:r w:rsidR="00B83BEC">
        <w:rPr>
          <w:rFonts w:ascii="Lato" w:hAnsi="Lato" w:cs="Times New Roman"/>
          <w:szCs w:val="22"/>
        </w:rPr>
        <w:t xml:space="preserve"> </w:t>
      </w:r>
      <w:r w:rsidRPr="00F9656B">
        <w:rPr>
          <w:rFonts w:ascii="Lato" w:hAnsi="Lato" w:cs="Times New Roman"/>
          <w:szCs w:val="22"/>
        </w:rPr>
        <w:t xml:space="preserve">których zasilane mogą być obiekty mieszkalne, użyteczności publicznej lub produkcyjne. </w:t>
      </w:r>
    </w:p>
    <w:p w:rsidR="006B024A" w:rsidRPr="00F9656B" w:rsidRDefault="006B024A" w:rsidP="005E067E">
      <w:pPr>
        <w:pStyle w:val="Tekstpodstawowy"/>
        <w:ind w:firstLine="709"/>
        <w:rPr>
          <w:rFonts w:ascii="Lato" w:hAnsi="Lato" w:cs="Times New Roman"/>
          <w:szCs w:val="22"/>
        </w:rPr>
      </w:pPr>
      <w:r w:rsidRPr="00F9656B">
        <w:rPr>
          <w:rFonts w:ascii="Lato" w:hAnsi="Lato" w:cs="Times New Roman"/>
          <w:szCs w:val="22"/>
        </w:rPr>
        <w:t>W przypadku występowania w gospodarstwach rolnych niewykorzystanego potencjału słomy proponuje się jej użytkowanie lokalne do celów grzewczych poprzez spalanie w kotłach na</w:t>
      </w:r>
      <w:r w:rsidR="00B83BEC">
        <w:rPr>
          <w:rFonts w:ascii="Lato" w:hAnsi="Lato" w:cs="Times New Roman"/>
          <w:szCs w:val="22"/>
        </w:rPr>
        <w:t xml:space="preserve"> </w:t>
      </w:r>
      <w:r w:rsidRPr="00F9656B">
        <w:rPr>
          <w:rFonts w:ascii="Lato" w:hAnsi="Lato" w:cs="Times New Roman"/>
          <w:szCs w:val="22"/>
        </w:rPr>
        <w:t>słomę.</w:t>
      </w:r>
    </w:p>
    <w:p w:rsidR="00CD2E2B" w:rsidRPr="00F9656B" w:rsidRDefault="00CD2E2B" w:rsidP="00CD2E2B">
      <w:pPr>
        <w:spacing w:after="240" w:line="240" w:lineRule="auto"/>
        <w:ind w:firstLine="0"/>
        <w:rPr>
          <w:rFonts w:ascii="Lato" w:hAnsi="Lato"/>
          <w:b/>
          <w:bCs/>
          <w:spacing w:val="-2"/>
          <w:szCs w:val="22"/>
        </w:rPr>
      </w:pPr>
    </w:p>
    <w:p w:rsidR="006B024A" w:rsidRPr="00F9656B" w:rsidRDefault="006B024A" w:rsidP="006B024A">
      <w:pPr>
        <w:pStyle w:val="Tekstpodstawowy"/>
        <w:rPr>
          <w:rFonts w:ascii="Lato" w:hAnsi="Lato" w:cs="Times New Roman"/>
          <w:b/>
          <w:szCs w:val="22"/>
          <w:u w:val="single"/>
        </w:rPr>
      </w:pPr>
      <w:r w:rsidRPr="00F9656B">
        <w:rPr>
          <w:rFonts w:ascii="Lato" w:hAnsi="Lato" w:cs="Times New Roman"/>
          <w:b/>
          <w:szCs w:val="22"/>
          <w:u w:val="single"/>
        </w:rPr>
        <w:t>Uprawy energetyczne</w:t>
      </w:r>
    </w:p>
    <w:p w:rsidR="006B024A" w:rsidRPr="00F9656B" w:rsidRDefault="006B024A" w:rsidP="006B024A">
      <w:pPr>
        <w:pStyle w:val="Tekstpodstawowy"/>
        <w:ind w:left="1"/>
        <w:rPr>
          <w:rFonts w:ascii="Lato" w:hAnsi="Lato" w:cs="Times New Roman"/>
          <w:szCs w:val="22"/>
        </w:rPr>
      </w:pPr>
      <w:r w:rsidRPr="00F9656B">
        <w:rPr>
          <w:rFonts w:ascii="Lato" w:hAnsi="Lato" w:cs="Times New Roman"/>
          <w:szCs w:val="22"/>
        </w:rPr>
        <w:t>W Polsce można uprawiać następujące gatunki roślin energetycznych:</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F9656B">
        <w:rPr>
          <w:rFonts w:ascii="Lato" w:hAnsi="Lato" w:cs="Times New Roman"/>
        </w:rPr>
        <w:t>wierzba z rodzaju Salix</w:t>
      </w:r>
      <w:r w:rsidRPr="006A496C">
        <w:rPr>
          <w:rFonts w:ascii="Lato" w:hAnsi="Lato" w:cs="Times New Roman"/>
        </w:rPr>
        <w:t xml:space="preserve"> viminalis,</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ślazowiec pensylwański,</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róża wielokwiatowa,</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słonecznik bulwiasty (topinambur),</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topole,</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robinia akacjowa,</w:t>
      </w:r>
    </w:p>
    <w:p w:rsidR="006B024A" w:rsidRPr="006A496C" w:rsidRDefault="006B024A" w:rsidP="006A496C">
      <w:pPr>
        <w:pStyle w:val="Tekstpodstawowy"/>
        <w:numPr>
          <w:ilvl w:val="0"/>
          <w:numId w:val="83"/>
        </w:numPr>
        <w:tabs>
          <w:tab w:val="clear" w:pos="360"/>
        </w:tabs>
        <w:ind w:left="709" w:hanging="425"/>
        <w:rPr>
          <w:rFonts w:ascii="Lato" w:hAnsi="Lato" w:cs="Times New Roman"/>
        </w:rPr>
      </w:pPr>
      <w:r w:rsidRPr="006A496C">
        <w:rPr>
          <w:rFonts w:ascii="Lato" w:hAnsi="Lato" w:cs="Times New Roman"/>
        </w:rPr>
        <w:t>trawy energetyczne z rodzaju Miscanthus.</w:t>
      </w:r>
    </w:p>
    <w:p w:rsidR="006B024A" w:rsidRPr="00D352C4" w:rsidRDefault="006B024A" w:rsidP="006B024A">
      <w:pPr>
        <w:pStyle w:val="Tekstpodstawowy"/>
        <w:rPr>
          <w:rFonts w:ascii="Lato" w:hAnsi="Lato" w:cs="Times New Roman"/>
          <w:szCs w:val="22"/>
          <w:highlight w:val="yellow"/>
        </w:rPr>
      </w:pPr>
    </w:p>
    <w:p w:rsidR="006B024A" w:rsidRPr="00F9656B" w:rsidRDefault="006B024A" w:rsidP="005E067E">
      <w:pPr>
        <w:pStyle w:val="Tekstpodstawowy"/>
        <w:ind w:firstLine="709"/>
        <w:rPr>
          <w:rFonts w:ascii="Lato" w:hAnsi="Lato" w:cs="Times New Roman"/>
          <w:szCs w:val="22"/>
        </w:rPr>
      </w:pPr>
      <w:r w:rsidRPr="00F9656B">
        <w:rPr>
          <w:rFonts w:ascii="Lato" w:hAnsi="Lato" w:cs="Times New Roman"/>
          <w:szCs w:val="22"/>
        </w:rPr>
        <w:t>Spośród wymienionych gatunków tylko: wierzba, ślazowiec pensylwański i w niewielkim stopniu słonecznik bulwiasty są szerzej uprawiane na gruntach rolnych. Obecnie, najpopularniejszą rośliną uprawianą w Polsce do celów energetyc</w:t>
      </w:r>
      <w:r w:rsidR="00B83BEC">
        <w:rPr>
          <w:rFonts w:ascii="Lato" w:hAnsi="Lato" w:cs="Times New Roman"/>
          <w:szCs w:val="22"/>
        </w:rPr>
        <w:t>znych jest wierzba krzewiasta w r</w:t>
      </w:r>
      <w:r w:rsidRPr="00F9656B">
        <w:rPr>
          <w:rFonts w:ascii="Lato" w:hAnsi="Lato" w:cs="Times New Roman"/>
          <w:szCs w:val="22"/>
        </w:rPr>
        <w:t>óżnych odmianach.</w:t>
      </w:r>
      <w:r w:rsidR="00D153EC" w:rsidRPr="00F9656B">
        <w:rPr>
          <w:rFonts w:ascii="Lato" w:hAnsi="Lato" w:cs="Times New Roman"/>
          <w:szCs w:val="22"/>
        </w:rPr>
        <w:t xml:space="preserve"> Dlatego też w</w:t>
      </w:r>
      <w:r w:rsidR="00B83BEC">
        <w:rPr>
          <w:rFonts w:ascii="Lato" w:hAnsi="Lato" w:cs="Times New Roman"/>
          <w:szCs w:val="22"/>
        </w:rPr>
        <w:t xml:space="preserve"> </w:t>
      </w:r>
      <w:r w:rsidRPr="00F9656B">
        <w:rPr>
          <w:rFonts w:ascii="Lato" w:hAnsi="Lato" w:cs="Times New Roman"/>
          <w:szCs w:val="22"/>
        </w:rPr>
        <w:t>dalszych rozważaniach przyjęto określenie możliwości i</w:t>
      </w:r>
      <w:r w:rsidR="00B83BEC">
        <w:rPr>
          <w:rFonts w:ascii="Lato" w:hAnsi="Lato" w:cs="Times New Roman"/>
          <w:szCs w:val="22"/>
        </w:rPr>
        <w:t xml:space="preserve"> </w:t>
      </w:r>
      <w:r w:rsidRPr="00F9656B">
        <w:rPr>
          <w:rFonts w:ascii="Lato" w:hAnsi="Lato" w:cs="Times New Roman"/>
          <w:szCs w:val="22"/>
        </w:rPr>
        <w:t>ograniczenia produkcji biomasy na użytkach rolnych właśnie w odniesieniu do wierzby.</w:t>
      </w:r>
    </w:p>
    <w:p w:rsidR="006B024A" w:rsidRPr="00F9656B" w:rsidRDefault="006B024A" w:rsidP="005E067E">
      <w:pPr>
        <w:pStyle w:val="Tekstpodstawowy"/>
        <w:ind w:firstLine="709"/>
        <w:rPr>
          <w:rFonts w:ascii="Lato" w:hAnsi="Lato" w:cs="Times New Roman"/>
          <w:szCs w:val="22"/>
        </w:rPr>
      </w:pPr>
      <w:r w:rsidRPr="00F9656B">
        <w:rPr>
          <w:rFonts w:ascii="Lato" w:hAnsi="Lato" w:cs="Times New Roman"/>
          <w:szCs w:val="22"/>
        </w:rPr>
        <w:t xml:space="preserve">Wierzbę z rodzaju </w:t>
      </w:r>
      <w:r w:rsidRPr="00F9656B">
        <w:rPr>
          <w:rFonts w:ascii="Lato" w:hAnsi="Lato" w:cs="Times New Roman"/>
          <w:i/>
          <w:iCs/>
          <w:szCs w:val="22"/>
        </w:rPr>
        <w:t xml:space="preserve">Salix viminalis </w:t>
      </w:r>
      <w:r w:rsidRPr="00F9656B">
        <w:rPr>
          <w:rFonts w:ascii="Lato" w:hAnsi="Lato" w:cs="Times New Roman"/>
          <w:szCs w:val="22"/>
        </w:rPr>
        <w:t>można uprawiać na wielu rodzajach gleb, od bielicowych gleb piaszczystych do gleb organicznych. Ważnym przy tym jest, aby plantacje wierzby zakładane były na użytkach rolnych dobrze uwodnionych. Optymalny poziom wód gruntowych przeznaczonych pod uprawę wierzby energetycznej to:</w:t>
      </w:r>
    </w:p>
    <w:p w:rsidR="006B024A" w:rsidRPr="00F9656B" w:rsidRDefault="006B024A" w:rsidP="006A496C">
      <w:pPr>
        <w:pStyle w:val="Tekstpodstawowy"/>
        <w:numPr>
          <w:ilvl w:val="0"/>
          <w:numId w:val="83"/>
        </w:numPr>
        <w:tabs>
          <w:tab w:val="clear" w:pos="360"/>
        </w:tabs>
        <w:ind w:left="709" w:hanging="425"/>
        <w:rPr>
          <w:rFonts w:ascii="Lato" w:hAnsi="Lato" w:cs="Times New Roman"/>
        </w:rPr>
      </w:pPr>
      <w:r w:rsidRPr="00F9656B">
        <w:rPr>
          <w:rFonts w:ascii="Lato" w:hAnsi="Lato" w:cs="Times New Roman"/>
        </w:rPr>
        <w:lastRenderedPageBreak/>
        <w:t>100-130 cm dla gleb piaszczystych,</w:t>
      </w:r>
    </w:p>
    <w:p w:rsidR="006B024A" w:rsidRPr="00F9656B" w:rsidRDefault="006B024A" w:rsidP="006A496C">
      <w:pPr>
        <w:pStyle w:val="Tekstpodstawowy"/>
        <w:numPr>
          <w:ilvl w:val="0"/>
          <w:numId w:val="83"/>
        </w:numPr>
        <w:tabs>
          <w:tab w:val="clear" w:pos="360"/>
        </w:tabs>
        <w:ind w:left="709" w:hanging="425"/>
        <w:rPr>
          <w:rFonts w:ascii="Lato" w:hAnsi="Lato" w:cs="Times New Roman"/>
        </w:rPr>
      </w:pPr>
      <w:r w:rsidRPr="00F9656B">
        <w:rPr>
          <w:rFonts w:ascii="Lato" w:hAnsi="Lato" w:cs="Times New Roman"/>
        </w:rPr>
        <w:t>160-190 cm dla gleb gliniastych.</w:t>
      </w:r>
    </w:p>
    <w:p w:rsidR="006B024A" w:rsidRPr="00F9656B" w:rsidRDefault="006B024A" w:rsidP="006B024A">
      <w:pPr>
        <w:pStyle w:val="Tekstpodstawowy"/>
        <w:rPr>
          <w:rFonts w:ascii="Lato" w:hAnsi="Lato" w:cs="Times New Roman"/>
          <w:szCs w:val="22"/>
        </w:rPr>
      </w:pPr>
      <w:r w:rsidRPr="00F9656B">
        <w:rPr>
          <w:rFonts w:ascii="Lato" w:hAnsi="Lato" w:cs="Times New Roman"/>
          <w:szCs w:val="22"/>
        </w:rPr>
        <w:t>Możliwości produkcyjne z 1 ha uprawianej wierzby krzewiastej zależą głównie od:</w:t>
      </w:r>
    </w:p>
    <w:p w:rsidR="006B024A" w:rsidRPr="00F9656B" w:rsidRDefault="006B024A" w:rsidP="006A496C">
      <w:pPr>
        <w:pStyle w:val="Tekstpodstawowy"/>
        <w:numPr>
          <w:ilvl w:val="0"/>
          <w:numId w:val="83"/>
        </w:numPr>
        <w:tabs>
          <w:tab w:val="clear" w:pos="360"/>
        </w:tabs>
        <w:ind w:left="709" w:hanging="425"/>
        <w:rPr>
          <w:rFonts w:ascii="Lato" w:hAnsi="Lato" w:cs="Times New Roman"/>
        </w:rPr>
      </w:pPr>
      <w:r w:rsidRPr="00F9656B">
        <w:rPr>
          <w:rFonts w:ascii="Lato" w:hAnsi="Lato" w:cs="Times New Roman"/>
        </w:rPr>
        <w:t>stanowiska uprawowego (rodzaj gleby, poziom wód gruntowych, przygotowanie agrotechniczne, pH gleb, itp.)</w:t>
      </w:r>
    </w:p>
    <w:p w:rsidR="006B024A" w:rsidRPr="00F9656B" w:rsidRDefault="006B024A" w:rsidP="006A496C">
      <w:pPr>
        <w:pStyle w:val="Tekstpodstawowy"/>
        <w:numPr>
          <w:ilvl w:val="0"/>
          <w:numId w:val="83"/>
        </w:numPr>
        <w:tabs>
          <w:tab w:val="clear" w:pos="360"/>
        </w:tabs>
        <w:ind w:left="709" w:hanging="425"/>
        <w:rPr>
          <w:rFonts w:ascii="Lato" w:hAnsi="Lato" w:cs="Times New Roman"/>
        </w:rPr>
      </w:pPr>
      <w:r w:rsidRPr="00F9656B">
        <w:rPr>
          <w:rFonts w:ascii="Lato" w:hAnsi="Lato" w:cs="Times New Roman"/>
        </w:rPr>
        <w:t>rodzaju i odmiany sadzonek w konkretnych warunkach uprawy,</w:t>
      </w:r>
    </w:p>
    <w:p w:rsidR="006B024A" w:rsidRPr="00F9656B" w:rsidRDefault="006B024A" w:rsidP="006A496C">
      <w:pPr>
        <w:pStyle w:val="Tekstpodstawowy"/>
        <w:numPr>
          <w:ilvl w:val="0"/>
          <w:numId w:val="83"/>
        </w:numPr>
        <w:tabs>
          <w:tab w:val="clear" w:pos="360"/>
        </w:tabs>
        <w:ind w:left="709" w:hanging="425"/>
        <w:rPr>
          <w:rFonts w:ascii="Lato" w:hAnsi="Lato" w:cs="Times New Roman"/>
        </w:rPr>
      </w:pPr>
      <w:r w:rsidRPr="00F9656B">
        <w:rPr>
          <w:rFonts w:ascii="Lato" w:hAnsi="Lato" w:cs="Times New Roman"/>
        </w:rPr>
        <w:t>sposobu i ilości rozmieszczania karp na powierzchni uprawy.</w:t>
      </w:r>
    </w:p>
    <w:p w:rsidR="006B024A" w:rsidRPr="00C53ED4" w:rsidRDefault="006B024A" w:rsidP="006B024A">
      <w:pPr>
        <w:pStyle w:val="Tekstpodstawowy"/>
        <w:rPr>
          <w:rFonts w:ascii="Lato" w:hAnsi="Lato" w:cs="Times New Roman"/>
          <w:szCs w:val="22"/>
        </w:rPr>
      </w:pPr>
    </w:p>
    <w:p w:rsidR="006B024A" w:rsidRPr="00C53ED4" w:rsidRDefault="006B024A" w:rsidP="005E067E">
      <w:pPr>
        <w:pStyle w:val="Tekstpodstawowy"/>
        <w:ind w:firstLine="709"/>
        <w:rPr>
          <w:rFonts w:ascii="Lato" w:hAnsi="Lato" w:cs="Times New Roman"/>
          <w:szCs w:val="22"/>
        </w:rPr>
      </w:pPr>
      <w:r w:rsidRPr="00C53ED4">
        <w:rPr>
          <w:rFonts w:ascii="Lato" w:hAnsi="Lato" w:cs="Times New Roman"/>
          <w:szCs w:val="22"/>
        </w:rPr>
        <w:t>Według danych literaturowych z 1 hektara można otrzymać około 30 ton przyrostu suchej masy rocznie. W</w:t>
      </w:r>
      <w:r w:rsidR="0029506F" w:rsidRPr="00C53ED4">
        <w:rPr>
          <w:rFonts w:ascii="Lato" w:hAnsi="Lato" w:cs="Times New Roman"/>
          <w:szCs w:val="22"/>
        </w:rPr>
        <w:t> </w:t>
      </w:r>
      <w:r w:rsidRPr="00C53ED4">
        <w:rPr>
          <w:rFonts w:ascii="Lato" w:hAnsi="Lato" w:cs="Times New Roman"/>
          <w:szCs w:val="22"/>
        </w:rPr>
        <w:t>opracowaniach pojawiają się również mniej optymistyczne dane, które mówią o 15 tonach suchej masy. Oczywiście dane te podawane są przy różnych określonych warunkach, lecz można liczyć, że bezpieczna wielkość rocznego zbioru suchej masy wierzby z 1 hektara to 20 ton.</w:t>
      </w:r>
    </w:p>
    <w:p w:rsidR="006B024A" w:rsidRPr="00C53ED4" w:rsidRDefault="006B024A" w:rsidP="005E067E">
      <w:pPr>
        <w:pStyle w:val="Tekstpodstawowy"/>
        <w:ind w:firstLine="709"/>
        <w:rPr>
          <w:rFonts w:ascii="Lato" w:hAnsi="Lato" w:cs="Times New Roman"/>
          <w:szCs w:val="22"/>
        </w:rPr>
      </w:pPr>
      <w:r w:rsidRPr="00C53ED4">
        <w:rPr>
          <w:rFonts w:ascii="Lato" w:hAnsi="Lato" w:cs="Times New Roman"/>
          <w:szCs w:val="22"/>
        </w:rPr>
        <w:t>Dla określonej wartości opałowej przyjętej na poziomie 18 GJ/t suchej masy (wartość opałowa drastycznie się zmienia w zależności od zawartości wilgoci w biomasie, od 6,5 G</w:t>
      </w:r>
      <w:r w:rsidR="0029506F" w:rsidRPr="00C53ED4">
        <w:rPr>
          <w:rFonts w:ascii="Lato" w:hAnsi="Lato" w:cs="Times New Roman"/>
          <w:szCs w:val="22"/>
        </w:rPr>
        <w:t>J/t przy wilgotności 60% do ok.</w:t>
      </w:r>
      <w:r w:rsidR="00B83BEC">
        <w:rPr>
          <w:rFonts w:ascii="Lato" w:hAnsi="Lato" w:cs="Times New Roman"/>
          <w:szCs w:val="22"/>
        </w:rPr>
        <w:t xml:space="preserve"> </w:t>
      </w:r>
      <w:r w:rsidRPr="00C53ED4">
        <w:rPr>
          <w:rFonts w:ascii="Lato" w:hAnsi="Lato" w:cs="Times New Roman"/>
          <w:szCs w:val="22"/>
        </w:rPr>
        <w:t>18</w:t>
      </w:r>
      <w:r w:rsidR="00B83BEC">
        <w:rPr>
          <w:rFonts w:ascii="Lato" w:hAnsi="Lato" w:cs="Times New Roman"/>
          <w:szCs w:val="22"/>
        </w:rPr>
        <w:t xml:space="preserve"> </w:t>
      </w:r>
      <w:r w:rsidRPr="00C53ED4">
        <w:rPr>
          <w:rFonts w:ascii="Lato" w:hAnsi="Lato" w:cs="Times New Roman"/>
          <w:szCs w:val="22"/>
        </w:rPr>
        <w:t>GJ/t przy wilgotności 10% masy całkowitej). Przy takich założeniach można przyjąć, że z 1 ha upraw wierzby krzewiastej można otrzymać ok. 360 GJ energii paliwa na rok.</w:t>
      </w:r>
    </w:p>
    <w:p w:rsidR="000A1465" w:rsidRPr="00C53ED4" w:rsidRDefault="000A1465" w:rsidP="00D153EC">
      <w:pPr>
        <w:pStyle w:val="Tekstpodstawowy"/>
        <w:ind w:firstLine="360"/>
        <w:rPr>
          <w:rFonts w:ascii="Lato" w:hAnsi="Lato" w:cs="Times New Roman"/>
          <w:szCs w:val="22"/>
        </w:rPr>
      </w:pPr>
    </w:p>
    <w:p w:rsidR="006B024A" w:rsidRPr="000B0ACA" w:rsidRDefault="006B024A" w:rsidP="000A1465">
      <w:pPr>
        <w:spacing w:line="240" w:lineRule="auto"/>
        <w:ind w:firstLine="0"/>
        <w:jc w:val="both"/>
        <w:rPr>
          <w:rFonts w:ascii="Lato" w:hAnsi="Lato"/>
          <w:bCs/>
          <w:iCs/>
        </w:rPr>
      </w:pPr>
      <w:bookmarkStart w:id="377" w:name="_Toc273702820"/>
      <w:bookmarkStart w:id="378" w:name="_Toc328633039"/>
      <w:bookmarkStart w:id="379" w:name="_Toc336419482"/>
      <w:bookmarkStart w:id="380" w:name="_Toc336943649"/>
      <w:bookmarkStart w:id="381" w:name="_Toc20219189"/>
      <w:r w:rsidRPr="000B0ACA">
        <w:rPr>
          <w:rFonts w:ascii="Lato" w:hAnsi="Lato"/>
          <w:b/>
          <w:bCs/>
          <w:color w:val="1F497D"/>
          <w:spacing w:val="-2"/>
          <w:sz w:val="20"/>
          <w:szCs w:val="20"/>
        </w:rPr>
        <w:t xml:space="preserve">Tabela </w:t>
      </w:r>
      <w:r w:rsidR="004042AE" w:rsidRPr="000B0ACA">
        <w:rPr>
          <w:rFonts w:ascii="Lato" w:hAnsi="Lato"/>
          <w:b/>
          <w:bCs/>
          <w:color w:val="1F497D"/>
          <w:spacing w:val="-2"/>
          <w:sz w:val="20"/>
          <w:szCs w:val="20"/>
        </w:rPr>
        <w:fldChar w:fldCharType="begin"/>
      </w:r>
      <w:r w:rsidR="005430ED" w:rsidRPr="000B0ACA">
        <w:rPr>
          <w:rFonts w:ascii="Lato" w:hAnsi="Lato"/>
          <w:b/>
          <w:bCs/>
          <w:color w:val="1F497D"/>
          <w:spacing w:val="-2"/>
          <w:sz w:val="20"/>
          <w:szCs w:val="20"/>
        </w:rPr>
        <w:instrText xml:space="preserve"> STYLEREF 1 \s </w:instrText>
      </w:r>
      <w:r w:rsidR="004042AE" w:rsidRPr="000B0ACA">
        <w:rPr>
          <w:rFonts w:ascii="Lato" w:hAnsi="Lato"/>
          <w:b/>
          <w:bCs/>
          <w:color w:val="1F497D"/>
          <w:spacing w:val="-2"/>
          <w:sz w:val="20"/>
          <w:szCs w:val="20"/>
        </w:rPr>
        <w:fldChar w:fldCharType="separate"/>
      </w:r>
      <w:r w:rsidR="0040205B">
        <w:rPr>
          <w:rFonts w:ascii="Lato" w:hAnsi="Lato"/>
          <w:b/>
          <w:bCs/>
          <w:noProof/>
          <w:color w:val="1F497D"/>
          <w:spacing w:val="-2"/>
          <w:sz w:val="20"/>
          <w:szCs w:val="20"/>
        </w:rPr>
        <w:t>3</w:t>
      </w:r>
      <w:r w:rsidR="004042AE" w:rsidRPr="000B0ACA">
        <w:rPr>
          <w:rFonts w:ascii="Lato" w:hAnsi="Lato"/>
          <w:b/>
          <w:bCs/>
          <w:color w:val="1F497D"/>
          <w:spacing w:val="-2"/>
          <w:sz w:val="20"/>
          <w:szCs w:val="20"/>
        </w:rPr>
        <w:fldChar w:fldCharType="end"/>
      </w:r>
      <w:r w:rsidR="005430ED" w:rsidRPr="000B0ACA">
        <w:rPr>
          <w:rFonts w:ascii="Lato" w:hAnsi="Lato"/>
          <w:b/>
          <w:bCs/>
          <w:color w:val="1F497D"/>
          <w:spacing w:val="-2"/>
          <w:sz w:val="20"/>
          <w:szCs w:val="20"/>
        </w:rPr>
        <w:noBreakHyphen/>
      </w:r>
      <w:r w:rsidR="004042AE" w:rsidRPr="000B0ACA">
        <w:rPr>
          <w:rFonts w:ascii="Lato" w:hAnsi="Lato"/>
          <w:b/>
          <w:bCs/>
          <w:color w:val="1F497D"/>
          <w:spacing w:val="-2"/>
          <w:sz w:val="20"/>
          <w:szCs w:val="20"/>
        </w:rPr>
        <w:fldChar w:fldCharType="begin"/>
      </w:r>
      <w:r w:rsidR="005430ED" w:rsidRPr="000B0ACA">
        <w:rPr>
          <w:rFonts w:ascii="Lato" w:hAnsi="Lato"/>
          <w:b/>
          <w:bCs/>
          <w:color w:val="1F497D"/>
          <w:spacing w:val="-2"/>
          <w:sz w:val="20"/>
          <w:szCs w:val="20"/>
        </w:rPr>
        <w:instrText xml:space="preserve"> SEQ Tabela \* ARABIC \s 1 </w:instrText>
      </w:r>
      <w:r w:rsidR="004042AE" w:rsidRPr="000B0ACA">
        <w:rPr>
          <w:rFonts w:ascii="Lato" w:hAnsi="Lato"/>
          <w:b/>
          <w:bCs/>
          <w:color w:val="1F497D"/>
          <w:spacing w:val="-2"/>
          <w:sz w:val="20"/>
          <w:szCs w:val="20"/>
        </w:rPr>
        <w:fldChar w:fldCharType="separate"/>
      </w:r>
      <w:r w:rsidR="0040205B">
        <w:rPr>
          <w:rFonts w:ascii="Lato" w:hAnsi="Lato"/>
          <w:b/>
          <w:bCs/>
          <w:noProof/>
          <w:color w:val="1F497D"/>
          <w:spacing w:val="-2"/>
          <w:sz w:val="20"/>
          <w:szCs w:val="20"/>
        </w:rPr>
        <w:t>2</w:t>
      </w:r>
      <w:r w:rsidR="004042AE" w:rsidRPr="000B0ACA">
        <w:rPr>
          <w:rFonts w:ascii="Lato" w:hAnsi="Lato"/>
          <w:b/>
          <w:bCs/>
          <w:color w:val="1F497D"/>
          <w:spacing w:val="-2"/>
          <w:sz w:val="20"/>
          <w:szCs w:val="20"/>
        </w:rPr>
        <w:fldChar w:fldCharType="end"/>
      </w:r>
      <w:r w:rsidRPr="000B0ACA">
        <w:rPr>
          <w:rFonts w:ascii="Lato" w:hAnsi="Lato"/>
          <w:b/>
          <w:bCs/>
          <w:color w:val="1F497D"/>
          <w:spacing w:val="-2"/>
          <w:sz w:val="20"/>
          <w:szCs w:val="20"/>
        </w:rPr>
        <w:t xml:space="preserve"> Potencjał teoretyczny i techniczny energii zawartej w biomasie na terenie </w:t>
      </w:r>
      <w:bookmarkEnd w:id="377"/>
      <w:bookmarkEnd w:id="378"/>
      <w:bookmarkEnd w:id="379"/>
      <w:bookmarkEnd w:id="380"/>
      <w:r w:rsidR="00681E4D" w:rsidRPr="000B0ACA">
        <w:rPr>
          <w:rFonts w:ascii="Lato" w:hAnsi="Lato"/>
          <w:b/>
          <w:bCs/>
          <w:color w:val="1F497D"/>
          <w:spacing w:val="-2"/>
          <w:sz w:val="20"/>
          <w:szCs w:val="20"/>
        </w:rPr>
        <w:t xml:space="preserve">Gminy </w:t>
      </w:r>
      <w:r w:rsidR="00E32DC2">
        <w:rPr>
          <w:rFonts w:ascii="Lato" w:hAnsi="Lato"/>
          <w:b/>
          <w:bCs/>
          <w:color w:val="1F497D"/>
          <w:spacing w:val="-2"/>
          <w:sz w:val="20"/>
          <w:szCs w:val="20"/>
        </w:rPr>
        <w:t>Pabianice</w:t>
      </w:r>
      <w:bookmarkEnd w:id="381"/>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70" w:type="dxa"/>
          <w:right w:w="70" w:type="dxa"/>
        </w:tblCellMar>
        <w:tblLook w:val="0000" w:firstRow="0" w:lastRow="0" w:firstColumn="0" w:lastColumn="0" w:noHBand="0" w:noVBand="0"/>
      </w:tblPr>
      <w:tblGrid>
        <w:gridCol w:w="2405"/>
        <w:gridCol w:w="1200"/>
        <w:gridCol w:w="1198"/>
        <w:gridCol w:w="1156"/>
        <w:gridCol w:w="1198"/>
        <w:gridCol w:w="1198"/>
        <w:gridCol w:w="1198"/>
      </w:tblGrid>
      <w:tr w:rsidR="00120868" w:rsidRPr="000B0ACA" w:rsidTr="0075789D">
        <w:trPr>
          <w:trHeight w:val="405"/>
        </w:trPr>
        <w:tc>
          <w:tcPr>
            <w:tcW w:w="1259" w:type="pct"/>
            <w:vMerge w:val="restart"/>
            <w:shd w:val="clear" w:color="auto" w:fill="DBE5F1"/>
            <w:vAlign w:val="center"/>
          </w:tcPr>
          <w:p w:rsidR="006B024A" w:rsidRPr="000B0ACA" w:rsidRDefault="006B024A" w:rsidP="006B024A">
            <w:pPr>
              <w:spacing w:line="240" w:lineRule="auto"/>
              <w:ind w:firstLine="0"/>
              <w:jc w:val="center"/>
              <w:rPr>
                <w:rFonts w:ascii="Lato" w:hAnsi="Lato"/>
                <w:b/>
                <w:bCs/>
                <w:color w:val="1F497D"/>
                <w:sz w:val="20"/>
                <w:szCs w:val="20"/>
              </w:rPr>
            </w:pPr>
            <w:r w:rsidRPr="000B0ACA">
              <w:rPr>
                <w:rFonts w:ascii="Lato" w:hAnsi="Lato"/>
                <w:b/>
                <w:bCs/>
                <w:color w:val="1F497D"/>
                <w:sz w:val="20"/>
                <w:szCs w:val="20"/>
              </w:rPr>
              <w:t>Rodzaj paliwa</w:t>
            </w:r>
          </w:p>
        </w:tc>
        <w:tc>
          <w:tcPr>
            <w:tcW w:w="1860" w:type="pct"/>
            <w:gridSpan w:val="3"/>
            <w:shd w:val="clear" w:color="auto" w:fill="DBE5F1"/>
            <w:vAlign w:val="center"/>
          </w:tcPr>
          <w:p w:rsidR="006B024A" w:rsidRPr="000B0ACA" w:rsidRDefault="006B024A" w:rsidP="006B024A">
            <w:pPr>
              <w:spacing w:line="240" w:lineRule="auto"/>
              <w:jc w:val="center"/>
              <w:rPr>
                <w:rFonts w:ascii="Lato" w:hAnsi="Lato"/>
                <w:b/>
                <w:bCs/>
                <w:color w:val="1F497D"/>
                <w:sz w:val="20"/>
                <w:szCs w:val="20"/>
              </w:rPr>
            </w:pPr>
            <w:r w:rsidRPr="000B0ACA">
              <w:rPr>
                <w:rFonts w:ascii="Lato" w:hAnsi="Lato"/>
                <w:b/>
                <w:bCs/>
                <w:color w:val="1F497D"/>
                <w:sz w:val="20"/>
                <w:szCs w:val="20"/>
              </w:rPr>
              <w:t>Potencjał teoretyczny</w:t>
            </w:r>
          </w:p>
        </w:tc>
        <w:tc>
          <w:tcPr>
            <w:tcW w:w="1881" w:type="pct"/>
            <w:gridSpan w:val="3"/>
            <w:shd w:val="clear" w:color="auto" w:fill="DBE5F1"/>
            <w:vAlign w:val="center"/>
          </w:tcPr>
          <w:p w:rsidR="006B024A" w:rsidRPr="000B0ACA" w:rsidRDefault="006B024A" w:rsidP="006B024A">
            <w:pPr>
              <w:spacing w:line="240" w:lineRule="auto"/>
              <w:jc w:val="center"/>
              <w:rPr>
                <w:rFonts w:ascii="Lato" w:hAnsi="Lato"/>
                <w:b/>
                <w:bCs/>
                <w:color w:val="1F497D"/>
                <w:sz w:val="20"/>
                <w:szCs w:val="20"/>
              </w:rPr>
            </w:pPr>
            <w:r w:rsidRPr="000B0ACA">
              <w:rPr>
                <w:rFonts w:ascii="Lato" w:hAnsi="Lato"/>
                <w:b/>
                <w:bCs/>
                <w:color w:val="1F497D"/>
                <w:sz w:val="20"/>
                <w:szCs w:val="20"/>
              </w:rPr>
              <w:t>Potencjał techniczny</w:t>
            </w:r>
          </w:p>
        </w:tc>
      </w:tr>
      <w:tr w:rsidR="00120868" w:rsidRPr="000B0ACA" w:rsidTr="0075789D">
        <w:trPr>
          <w:trHeight w:val="900"/>
        </w:trPr>
        <w:tc>
          <w:tcPr>
            <w:tcW w:w="1259" w:type="pct"/>
            <w:vMerge/>
            <w:shd w:val="clear" w:color="auto" w:fill="DBE5F1"/>
            <w:vAlign w:val="center"/>
          </w:tcPr>
          <w:p w:rsidR="006B024A" w:rsidRPr="000B0ACA" w:rsidRDefault="006B024A" w:rsidP="006B024A">
            <w:pPr>
              <w:spacing w:line="240" w:lineRule="auto"/>
              <w:ind w:firstLine="0"/>
              <w:jc w:val="center"/>
              <w:rPr>
                <w:rFonts w:ascii="Lato" w:hAnsi="Lato"/>
                <w:b/>
                <w:bCs/>
                <w:color w:val="1F497D"/>
                <w:sz w:val="20"/>
                <w:szCs w:val="20"/>
              </w:rPr>
            </w:pPr>
          </w:p>
        </w:tc>
        <w:tc>
          <w:tcPr>
            <w:tcW w:w="628" w:type="pct"/>
            <w:shd w:val="clear" w:color="auto" w:fill="DBE5F1"/>
            <w:vAlign w:val="center"/>
          </w:tcPr>
          <w:p w:rsidR="006B024A" w:rsidRPr="000B0ACA" w:rsidRDefault="00D577AA" w:rsidP="006B024A">
            <w:pPr>
              <w:spacing w:line="240" w:lineRule="auto"/>
              <w:ind w:firstLine="0"/>
              <w:jc w:val="center"/>
              <w:rPr>
                <w:rFonts w:ascii="Lato" w:hAnsi="Lato"/>
                <w:b/>
                <w:bCs/>
                <w:color w:val="1F497D"/>
                <w:sz w:val="20"/>
                <w:szCs w:val="20"/>
              </w:rPr>
            </w:pPr>
            <w:r w:rsidRPr="000B0ACA">
              <w:rPr>
                <w:rFonts w:ascii="Lato" w:hAnsi="Lato"/>
                <w:b/>
                <w:bCs/>
                <w:color w:val="1F497D"/>
                <w:sz w:val="20"/>
                <w:szCs w:val="20"/>
              </w:rPr>
              <w:t>Ilość masowa, Mg/rok</w:t>
            </w:r>
          </w:p>
        </w:tc>
        <w:tc>
          <w:tcPr>
            <w:tcW w:w="627" w:type="pct"/>
            <w:shd w:val="clear" w:color="auto" w:fill="DBE5F1"/>
            <w:vAlign w:val="center"/>
          </w:tcPr>
          <w:p w:rsidR="006B024A" w:rsidRPr="000B0ACA" w:rsidRDefault="00D577AA" w:rsidP="006B024A">
            <w:pPr>
              <w:spacing w:line="240" w:lineRule="auto"/>
              <w:ind w:hanging="22"/>
              <w:jc w:val="center"/>
              <w:rPr>
                <w:rFonts w:ascii="Lato" w:hAnsi="Lato"/>
                <w:b/>
                <w:bCs/>
                <w:color w:val="1F497D"/>
                <w:sz w:val="20"/>
                <w:szCs w:val="20"/>
              </w:rPr>
            </w:pPr>
            <w:r w:rsidRPr="000B0ACA">
              <w:rPr>
                <w:rFonts w:ascii="Lato" w:hAnsi="Lato"/>
                <w:b/>
                <w:bCs/>
                <w:color w:val="1F497D"/>
                <w:sz w:val="20"/>
                <w:szCs w:val="20"/>
              </w:rPr>
              <w:t>Ilość energii, GJ/rok</w:t>
            </w:r>
          </w:p>
        </w:tc>
        <w:tc>
          <w:tcPr>
            <w:tcW w:w="605" w:type="pct"/>
            <w:shd w:val="clear" w:color="auto" w:fill="DBE5F1"/>
            <w:vAlign w:val="center"/>
          </w:tcPr>
          <w:p w:rsidR="006B024A" w:rsidRPr="000B0ACA" w:rsidRDefault="006B024A" w:rsidP="00D577AA">
            <w:pPr>
              <w:spacing w:line="240" w:lineRule="auto"/>
              <w:ind w:firstLine="0"/>
              <w:jc w:val="center"/>
              <w:rPr>
                <w:rFonts w:ascii="Lato" w:hAnsi="Lato"/>
                <w:b/>
                <w:bCs/>
                <w:color w:val="1F497D"/>
                <w:sz w:val="20"/>
                <w:szCs w:val="20"/>
              </w:rPr>
            </w:pPr>
            <w:r w:rsidRPr="000B0ACA">
              <w:rPr>
                <w:rFonts w:ascii="Lato" w:hAnsi="Lato"/>
                <w:b/>
                <w:bCs/>
                <w:color w:val="1F497D"/>
                <w:sz w:val="20"/>
                <w:szCs w:val="20"/>
              </w:rPr>
              <w:t>Moc</w:t>
            </w:r>
            <w:r w:rsidR="00D577AA" w:rsidRPr="000B0ACA">
              <w:rPr>
                <w:rFonts w:ascii="Lato" w:hAnsi="Lato"/>
                <w:b/>
                <w:bCs/>
                <w:color w:val="1F497D"/>
                <w:sz w:val="20"/>
                <w:szCs w:val="20"/>
              </w:rPr>
              <w:t>, MW</w:t>
            </w:r>
          </w:p>
        </w:tc>
        <w:tc>
          <w:tcPr>
            <w:tcW w:w="627" w:type="pct"/>
            <w:shd w:val="clear" w:color="auto" w:fill="DBE5F1"/>
            <w:vAlign w:val="center"/>
          </w:tcPr>
          <w:p w:rsidR="006B024A" w:rsidRPr="000B0ACA" w:rsidRDefault="00D577AA" w:rsidP="006B024A">
            <w:pPr>
              <w:spacing w:line="240" w:lineRule="auto"/>
              <w:ind w:firstLine="0"/>
              <w:jc w:val="center"/>
              <w:rPr>
                <w:rFonts w:ascii="Lato" w:hAnsi="Lato"/>
                <w:b/>
                <w:bCs/>
                <w:color w:val="1F497D"/>
                <w:sz w:val="20"/>
                <w:szCs w:val="20"/>
              </w:rPr>
            </w:pPr>
            <w:r w:rsidRPr="000B0ACA">
              <w:rPr>
                <w:rFonts w:ascii="Lato" w:hAnsi="Lato"/>
                <w:b/>
                <w:bCs/>
                <w:color w:val="1F497D"/>
                <w:sz w:val="20"/>
                <w:szCs w:val="20"/>
              </w:rPr>
              <w:t>Ilość masowa, Mg/rok</w:t>
            </w:r>
          </w:p>
        </w:tc>
        <w:tc>
          <w:tcPr>
            <w:tcW w:w="627" w:type="pct"/>
            <w:shd w:val="clear" w:color="auto" w:fill="DBE5F1"/>
            <w:vAlign w:val="center"/>
          </w:tcPr>
          <w:p w:rsidR="006B024A" w:rsidRPr="000B0ACA" w:rsidRDefault="00D577AA" w:rsidP="006B024A">
            <w:pPr>
              <w:spacing w:line="240" w:lineRule="auto"/>
              <w:ind w:firstLine="0"/>
              <w:jc w:val="center"/>
              <w:rPr>
                <w:rFonts w:ascii="Lato" w:hAnsi="Lato"/>
                <w:b/>
                <w:bCs/>
                <w:color w:val="1F497D"/>
                <w:sz w:val="20"/>
                <w:szCs w:val="20"/>
              </w:rPr>
            </w:pPr>
            <w:r w:rsidRPr="000B0ACA">
              <w:rPr>
                <w:rFonts w:ascii="Lato" w:hAnsi="Lato"/>
                <w:b/>
                <w:bCs/>
                <w:color w:val="1F497D"/>
                <w:sz w:val="20"/>
                <w:szCs w:val="20"/>
              </w:rPr>
              <w:t>Ilość energii, GJ/rok</w:t>
            </w:r>
          </w:p>
        </w:tc>
        <w:tc>
          <w:tcPr>
            <w:tcW w:w="627" w:type="pct"/>
            <w:shd w:val="clear" w:color="auto" w:fill="DBE5F1"/>
            <w:vAlign w:val="center"/>
          </w:tcPr>
          <w:p w:rsidR="006B024A" w:rsidRPr="000B0ACA" w:rsidRDefault="006B024A" w:rsidP="00D577AA">
            <w:pPr>
              <w:spacing w:line="240" w:lineRule="auto"/>
              <w:ind w:hanging="57"/>
              <w:jc w:val="center"/>
              <w:rPr>
                <w:rFonts w:ascii="Lato" w:hAnsi="Lato"/>
                <w:b/>
                <w:bCs/>
                <w:color w:val="1F497D"/>
                <w:sz w:val="20"/>
                <w:szCs w:val="20"/>
              </w:rPr>
            </w:pPr>
            <w:r w:rsidRPr="000B0ACA">
              <w:rPr>
                <w:rFonts w:ascii="Lato" w:hAnsi="Lato"/>
                <w:b/>
                <w:bCs/>
                <w:color w:val="1F497D"/>
                <w:sz w:val="20"/>
                <w:szCs w:val="20"/>
              </w:rPr>
              <w:t>Moc</w:t>
            </w:r>
            <w:r w:rsidR="00D577AA" w:rsidRPr="000B0ACA">
              <w:rPr>
                <w:rFonts w:ascii="Lato" w:hAnsi="Lato"/>
                <w:b/>
                <w:bCs/>
                <w:color w:val="1F497D"/>
                <w:sz w:val="20"/>
                <w:szCs w:val="20"/>
              </w:rPr>
              <w:t>, MW</w:t>
            </w:r>
          </w:p>
        </w:tc>
      </w:tr>
      <w:tr w:rsidR="000B0ACA" w:rsidRPr="000B0ACA" w:rsidTr="0075789D">
        <w:trPr>
          <w:trHeight w:val="345"/>
        </w:trPr>
        <w:tc>
          <w:tcPr>
            <w:tcW w:w="1259" w:type="pct"/>
            <w:shd w:val="clear" w:color="auto" w:fill="FFFFFF"/>
            <w:vAlign w:val="center"/>
          </w:tcPr>
          <w:p w:rsidR="000B0ACA" w:rsidRPr="000B0ACA" w:rsidRDefault="000B0ACA" w:rsidP="00A87F41">
            <w:pPr>
              <w:ind w:firstLine="0"/>
              <w:rPr>
                <w:rFonts w:ascii="Lato" w:hAnsi="Lato"/>
                <w:color w:val="1F497D"/>
                <w:sz w:val="20"/>
                <w:szCs w:val="20"/>
              </w:rPr>
            </w:pPr>
            <w:r w:rsidRPr="000B0ACA">
              <w:rPr>
                <w:rFonts w:ascii="Lato" w:hAnsi="Lato"/>
                <w:color w:val="1F497D"/>
                <w:sz w:val="20"/>
                <w:szCs w:val="20"/>
              </w:rPr>
              <w:t>Drewno z gospodarki leśnej</w:t>
            </w:r>
          </w:p>
        </w:tc>
        <w:tc>
          <w:tcPr>
            <w:tcW w:w="628"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35 316</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353 157</w:t>
            </w:r>
          </w:p>
        </w:tc>
        <w:tc>
          <w:tcPr>
            <w:tcW w:w="605"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37,84</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907</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9 435</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1,01</w:t>
            </w:r>
          </w:p>
        </w:tc>
      </w:tr>
      <w:tr w:rsidR="000B0ACA" w:rsidRPr="000B0ACA" w:rsidTr="0075789D">
        <w:trPr>
          <w:trHeight w:val="345"/>
        </w:trPr>
        <w:tc>
          <w:tcPr>
            <w:tcW w:w="1259" w:type="pct"/>
            <w:shd w:val="clear" w:color="auto" w:fill="FFFFFF"/>
            <w:noWrap/>
            <w:vAlign w:val="center"/>
          </w:tcPr>
          <w:p w:rsidR="000B0ACA" w:rsidRPr="000B0ACA" w:rsidRDefault="000B0ACA" w:rsidP="00A87F41">
            <w:pPr>
              <w:ind w:firstLine="0"/>
              <w:rPr>
                <w:rFonts w:ascii="Lato" w:hAnsi="Lato"/>
                <w:color w:val="1F497D"/>
                <w:sz w:val="20"/>
                <w:szCs w:val="20"/>
              </w:rPr>
            </w:pPr>
            <w:r w:rsidRPr="000B0ACA">
              <w:rPr>
                <w:rFonts w:ascii="Lato" w:hAnsi="Lato"/>
                <w:color w:val="1F497D"/>
                <w:sz w:val="20"/>
                <w:szCs w:val="20"/>
              </w:rPr>
              <w:t>Drewno z sadów</w:t>
            </w:r>
          </w:p>
        </w:tc>
        <w:tc>
          <w:tcPr>
            <w:tcW w:w="628"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58</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605</w:t>
            </w:r>
          </w:p>
        </w:tc>
        <w:tc>
          <w:tcPr>
            <w:tcW w:w="605"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0,06</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58</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605</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0,06</w:t>
            </w:r>
          </w:p>
        </w:tc>
      </w:tr>
      <w:tr w:rsidR="000B0ACA" w:rsidRPr="000B0ACA" w:rsidTr="0075789D">
        <w:trPr>
          <w:trHeight w:val="345"/>
        </w:trPr>
        <w:tc>
          <w:tcPr>
            <w:tcW w:w="1259" w:type="pct"/>
            <w:shd w:val="clear" w:color="auto" w:fill="FFFFFF"/>
            <w:vAlign w:val="center"/>
          </w:tcPr>
          <w:p w:rsidR="000B0ACA" w:rsidRPr="000B0ACA" w:rsidRDefault="000B0ACA" w:rsidP="00A87F41">
            <w:pPr>
              <w:ind w:firstLine="0"/>
              <w:rPr>
                <w:rFonts w:ascii="Lato" w:hAnsi="Lato"/>
                <w:color w:val="1F497D"/>
                <w:sz w:val="20"/>
                <w:szCs w:val="20"/>
              </w:rPr>
            </w:pPr>
            <w:r w:rsidRPr="000B0ACA">
              <w:rPr>
                <w:rFonts w:ascii="Lato" w:hAnsi="Lato"/>
                <w:color w:val="1F497D"/>
                <w:sz w:val="20"/>
                <w:szCs w:val="20"/>
              </w:rPr>
              <w:t>Drewno z przycinki przydrożnej</w:t>
            </w:r>
          </w:p>
        </w:tc>
        <w:tc>
          <w:tcPr>
            <w:tcW w:w="628"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196</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2 039</w:t>
            </w:r>
          </w:p>
        </w:tc>
        <w:tc>
          <w:tcPr>
            <w:tcW w:w="605"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0,22</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196</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2 039</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0,22</w:t>
            </w:r>
          </w:p>
        </w:tc>
      </w:tr>
      <w:tr w:rsidR="000B0ACA" w:rsidRPr="000B0ACA" w:rsidTr="0075789D">
        <w:trPr>
          <w:trHeight w:val="345"/>
        </w:trPr>
        <w:tc>
          <w:tcPr>
            <w:tcW w:w="1259" w:type="pct"/>
            <w:shd w:val="clear" w:color="auto" w:fill="FFFFFF"/>
            <w:vAlign w:val="center"/>
          </w:tcPr>
          <w:p w:rsidR="000B0ACA" w:rsidRPr="000B0ACA" w:rsidRDefault="000B0ACA" w:rsidP="00A87F41">
            <w:pPr>
              <w:ind w:firstLine="0"/>
              <w:rPr>
                <w:rFonts w:ascii="Lato" w:hAnsi="Lato"/>
                <w:color w:val="1F497D"/>
                <w:sz w:val="20"/>
                <w:szCs w:val="20"/>
              </w:rPr>
            </w:pPr>
            <w:r w:rsidRPr="000B0ACA">
              <w:rPr>
                <w:rFonts w:ascii="Lato" w:hAnsi="Lato"/>
                <w:color w:val="1F497D"/>
                <w:sz w:val="20"/>
                <w:szCs w:val="20"/>
              </w:rPr>
              <w:t>Słoma</w:t>
            </w:r>
          </w:p>
        </w:tc>
        <w:tc>
          <w:tcPr>
            <w:tcW w:w="628"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3 316</w:t>
            </w:r>
          </w:p>
        </w:tc>
        <w:tc>
          <w:tcPr>
            <w:tcW w:w="627"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38 131</w:t>
            </w:r>
          </w:p>
        </w:tc>
        <w:tc>
          <w:tcPr>
            <w:tcW w:w="605"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4,09</w:t>
            </w:r>
          </w:p>
        </w:tc>
        <w:tc>
          <w:tcPr>
            <w:tcW w:w="627"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995</w:t>
            </w:r>
          </w:p>
        </w:tc>
        <w:tc>
          <w:tcPr>
            <w:tcW w:w="627"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11 439</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1,23</w:t>
            </w:r>
          </w:p>
        </w:tc>
      </w:tr>
      <w:tr w:rsidR="000B0ACA" w:rsidRPr="000B0ACA" w:rsidTr="0075789D">
        <w:trPr>
          <w:trHeight w:val="345"/>
        </w:trPr>
        <w:tc>
          <w:tcPr>
            <w:tcW w:w="1259" w:type="pct"/>
            <w:shd w:val="clear" w:color="auto" w:fill="FFFFFF"/>
            <w:vAlign w:val="center"/>
          </w:tcPr>
          <w:p w:rsidR="000B0ACA" w:rsidRPr="000B0ACA" w:rsidRDefault="000B0ACA" w:rsidP="00A87F41">
            <w:pPr>
              <w:ind w:firstLine="0"/>
              <w:rPr>
                <w:rFonts w:ascii="Lato" w:hAnsi="Lato"/>
                <w:color w:val="1F497D"/>
                <w:sz w:val="20"/>
                <w:szCs w:val="20"/>
              </w:rPr>
            </w:pPr>
            <w:r w:rsidRPr="000B0ACA">
              <w:rPr>
                <w:rFonts w:ascii="Lato" w:hAnsi="Lato"/>
                <w:color w:val="1F497D"/>
                <w:sz w:val="20"/>
                <w:szCs w:val="20"/>
              </w:rPr>
              <w:t>Siano</w:t>
            </w:r>
          </w:p>
        </w:tc>
        <w:tc>
          <w:tcPr>
            <w:tcW w:w="628"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4 647</w:t>
            </w:r>
          </w:p>
        </w:tc>
        <w:tc>
          <w:tcPr>
            <w:tcW w:w="627"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53 438</w:t>
            </w:r>
          </w:p>
        </w:tc>
        <w:tc>
          <w:tcPr>
            <w:tcW w:w="605"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5,73</w:t>
            </w:r>
          </w:p>
        </w:tc>
        <w:tc>
          <w:tcPr>
            <w:tcW w:w="627"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232</w:t>
            </w:r>
          </w:p>
        </w:tc>
        <w:tc>
          <w:tcPr>
            <w:tcW w:w="627"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2 672</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0,29</w:t>
            </w:r>
          </w:p>
        </w:tc>
      </w:tr>
      <w:tr w:rsidR="000B0ACA" w:rsidRPr="000B0ACA" w:rsidTr="0075789D">
        <w:trPr>
          <w:trHeight w:val="345"/>
        </w:trPr>
        <w:tc>
          <w:tcPr>
            <w:tcW w:w="1259" w:type="pct"/>
            <w:shd w:val="clear" w:color="auto" w:fill="FFFFFF"/>
            <w:vAlign w:val="center"/>
          </w:tcPr>
          <w:p w:rsidR="000B0ACA" w:rsidRPr="000B0ACA" w:rsidRDefault="000B0ACA" w:rsidP="00A87F41">
            <w:pPr>
              <w:ind w:firstLine="0"/>
              <w:rPr>
                <w:rFonts w:ascii="Lato" w:hAnsi="Lato"/>
                <w:color w:val="1F497D"/>
                <w:sz w:val="20"/>
                <w:szCs w:val="20"/>
              </w:rPr>
            </w:pPr>
            <w:r w:rsidRPr="000B0ACA">
              <w:rPr>
                <w:rFonts w:ascii="Lato" w:hAnsi="Lato"/>
                <w:color w:val="1F497D"/>
                <w:sz w:val="20"/>
                <w:szCs w:val="20"/>
              </w:rPr>
              <w:t>Uprawy energetyczne</w:t>
            </w:r>
          </w:p>
        </w:tc>
        <w:tc>
          <w:tcPr>
            <w:tcW w:w="628"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3 011</w:t>
            </w:r>
          </w:p>
        </w:tc>
        <w:tc>
          <w:tcPr>
            <w:tcW w:w="627"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54 191</w:t>
            </w:r>
          </w:p>
        </w:tc>
        <w:tc>
          <w:tcPr>
            <w:tcW w:w="605"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5,81</w:t>
            </w:r>
          </w:p>
        </w:tc>
        <w:tc>
          <w:tcPr>
            <w:tcW w:w="627"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903</w:t>
            </w:r>
          </w:p>
        </w:tc>
        <w:tc>
          <w:tcPr>
            <w:tcW w:w="627" w:type="pct"/>
            <w:shd w:val="clear" w:color="auto" w:fill="FFFFFF"/>
            <w:noWrap/>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16 257</w:t>
            </w:r>
          </w:p>
        </w:tc>
        <w:tc>
          <w:tcPr>
            <w:tcW w:w="627" w:type="pct"/>
            <w:shd w:val="clear" w:color="auto" w:fill="FFFFFF"/>
            <w:vAlign w:val="center"/>
          </w:tcPr>
          <w:p w:rsidR="000B0ACA" w:rsidRPr="00CB25D0" w:rsidRDefault="000B0ACA" w:rsidP="00CB25D0">
            <w:pPr>
              <w:ind w:firstLine="0"/>
              <w:jc w:val="center"/>
              <w:rPr>
                <w:rFonts w:ascii="Lato" w:hAnsi="Lato"/>
                <w:color w:val="1F497D"/>
                <w:sz w:val="20"/>
                <w:szCs w:val="20"/>
              </w:rPr>
            </w:pPr>
            <w:r w:rsidRPr="00CB25D0">
              <w:rPr>
                <w:rFonts w:ascii="Lato" w:hAnsi="Lato"/>
                <w:color w:val="1F497D"/>
                <w:sz w:val="20"/>
                <w:szCs w:val="20"/>
              </w:rPr>
              <w:t>1,74</w:t>
            </w:r>
          </w:p>
        </w:tc>
      </w:tr>
      <w:tr w:rsidR="000B0ACA" w:rsidRPr="00D352C4" w:rsidTr="0075789D">
        <w:trPr>
          <w:trHeight w:val="345"/>
        </w:trPr>
        <w:tc>
          <w:tcPr>
            <w:tcW w:w="1259" w:type="pct"/>
            <w:shd w:val="clear" w:color="auto" w:fill="FFFFFF"/>
            <w:noWrap/>
            <w:vAlign w:val="center"/>
          </w:tcPr>
          <w:p w:rsidR="000B0ACA" w:rsidRPr="00CB25D0" w:rsidRDefault="000B0ACA" w:rsidP="00A87F41">
            <w:pPr>
              <w:rPr>
                <w:rFonts w:ascii="Lato" w:hAnsi="Lato"/>
                <w:b/>
                <w:bCs/>
                <w:color w:val="1F497D"/>
                <w:sz w:val="20"/>
                <w:szCs w:val="20"/>
              </w:rPr>
            </w:pPr>
            <w:r w:rsidRPr="00CB25D0">
              <w:rPr>
                <w:rFonts w:ascii="Lato" w:hAnsi="Lato"/>
                <w:b/>
                <w:bCs/>
                <w:color w:val="1F497D"/>
                <w:sz w:val="20"/>
                <w:szCs w:val="20"/>
              </w:rPr>
              <w:t>SUMA</w:t>
            </w:r>
          </w:p>
        </w:tc>
        <w:tc>
          <w:tcPr>
            <w:tcW w:w="628" w:type="pct"/>
            <w:shd w:val="clear" w:color="auto" w:fill="FFFFFF"/>
            <w:noWrap/>
            <w:vAlign w:val="center"/>
          </w:tcPr>
          <w:p w:rsidR="000B0ACA" w:rsidRPr="00CB25D0" w:rsidRDefault="000B0ACA" w:rsidP="00CB25D0">
            <w:pPr>
              <w:ind w:firstLine="0"/>
              <w:jc w:val="center"/>
              <w:rPr>
                <w:rFonts w:ascii="Lato" w:hAnsi="Lato"/>
                <w:b/>
                <w:color w:val="1F497D"/>
                <w:sz w:val="20"/>
                <w:szCs w:val="20"/>
              </w:rPr>
            </w:pPr>
            <w:r w:rsidRPr="00CB25D0">
              <w:rPr>
                <w:rFonts w:ascii="Lato" w:hAnsi="Lato"/>
                <w:b/>
                <w:color w:val="1F497D"/>
                <w:sz w:val="20"/>
                <w:szCs w:val="20"/>
              </w:rPr>
              <w:t>46 543</w:t>
            </w:r>
          </w:p>
        </w:tc>
        <w:tc>
          <w:tcPr>
            <w:tcW w:w="627" w:type="pct"/>
            <w:shd w:val="clear" w:color="auto" w:fill="FFFFFF"/>
            <w:noWrap/>
            <w:vAlign w:val="center"/>
          </w:tcPr>
          <w:p w:rsidR="000B0ACA" w:rsidRPr="00CB25D0" w:rsidRDefault="000B0ACA" w:rsidP="00CB25D0">
            <w:pPr>
              <w:ind w:firstLine="0"/>
              <w:jc w:val="center"/>
              <w:rPr>
                <w:rFonts w:ascii="Lato" w:hAnsi="Lato"/>
                <w:b/>
                <w:color w:val="1F497D"/>
                <w:sz w:val="20"/>
                <w:szCs w:val="20"/>
              </w:rPr>
            </w:pPr>
            <w:r w:rsidRPr="00CB25D0">
              <w:rPr>
                <w:rFonts w:ascii="Lato" w:hAnsi="Lato"/>
                <w:b/>
                <w:color w:val="1F497D"/>
                <w:sz w:val="20"/>
                <w:szCs w:val="20"/>
              </w:rPr>
              <w:t>501 561</w:t>
            </w:r>
          </w:p>
        </w:tc>
        <w:tc>
          <w:tcPr>
            <w:tcW w:w="605" w:type="pct"/>
            <w:shd w:val="clear" w:color="auto" w:fill="FFFFFF"/>
            <w:noWrap/>
            <w:vAlign w:val="center"/>
          </w:tcPr>
          <w:p w:rsidR="000B0ACA" w:rsidRPr="00CB25D0" w:rsidRDefault="000B0ACA" w:rsidP="00CB25D0">
            <w:pPr>
              <w:ind w:firstLine="0"/>
              <w:jc w:val="center"/>
              <w:rPr>
                <w:rFonts w:ascii="Lato" w:hAnsi="Lato"/>
                <w:b/>
                <w:color w:val="1F497D"/>
                <w:sz w:val="20"/>
                <w:szCs w:val="20"/>
              </w:rPr>
            </w:pPr>
            <w:r w:rsidRPr="00CB25D0">
              <w:rPr>
                <w:rFonts w:ascii="Lato" w:hAnsi="Lato"/>
                <w:b/>
                <w:color w:val="1F497D"/>
                <w:sz w:val="20"/>
                <w:szCs w:val="20"/>
              </w:rPr>
              <w:t>53,7</w:t>
            </w:r>
          </w:p>
        </w:tc>
        <w:tc>
          <w:tcPr>
            <w:tcW w:w="627" w:type="pct"/>
            <w:shd w:val="clear" w:color="auto" w:fill="FFFFFF"/>
            <w:noWrap/>
            <w:vAlign w:val="center"/>
          </w:tcPr>
          <w:p w:rsidR="000B0ACA" w:rsidRPr="00CB25D0" w:rsidRDefault="000B0ACA" w:rsidP="00CB25D0">
            <w:pPr>
              <w:ind w:firstLine="0"/>
              <w:jc w:val="center"/>
              <w:rPr>
                <w:rFonts w:ascii="Lato" w:hAnsi="Lato"/>
                <w:b/>
                <w:color w:val="1F497D"/>
                <w:sz w:val="20"/>
                <w:szCs w:val="20"/>
              </w:rPr>
            </w:pPr>
            <w:r w:rsidRPr="00CB25D0">
              <w:rPr>
                <w:rFonts w:ascii="Lato" w:hAnsi="Lato"/>
                <w:b/>
                <w:color w:val="1F497D"/>
                <w:sz w:val="20"/>
                <w:szCs w:val="20"/>
              </w:rPr>
              <w:t>3 292</w:t>
            </w:r>
          </w:p>
        </w:tc>
        <w:tc>
          <w:tcPr>
            <w:tcW w:w="627" w:type="pct"/>
            <w:shd w:val="clear" w:color="auto" w:fill="FFFFFF"/>
            <w:noWrap/>
            <w:vAlign w:val="center"/>
          </w:tcPr>
          <w:p w:rsidR="000B0ACA" w:rsidRPr="00CB25D0" w:rsidRDefault="000B0ACA" w:rsidP="00CB25D0">
            <w:pPr>
              <w:ind w:firstLine="0"/>
              <w:jc w:val="center"/>
              <w:rPr>
                <w:rFonts w:ascii="Lato" w:hAnsi="Lato"/>
                <w:b/>
                <w:color w:val="1F497D"/>
                <w:sz w:val="20"/>
                <w:szCs w:val="20"/>
              </w:rPr>
            </w:pPr>
            <w:r w:rsidRPr="00CB25D0">
              <w:rPr>
                <w:rFonts w:ascii="Lato" w:hAnsi="Lato"/>
                <w:b/>
                <w:color w:val="1F497D"/>
                <w:sz w:val="20"/>
                <w:szCs w:val="20"/>
              </w:rPr>
              <w:t>42 446</w:t>
            </w:r>
          </w:p>
        </w:tc>
        <w:tc>
          <w:tcPr>
            <w:tcW w:w="627" w:type="pct"/>
            <w:shd w:val="clear" w:color="auto" w:fill="FFFFFF"/>
            <w:noWrap/>
            <w:vAlign w:val="center"/>
          </w:tcPr>
          <w:p w:rsidR="000B0ACA" w:rsidRPr="00CB25D0" w:rsidRDefault="000B0ACA" w:rsidP="00CB25D0">
            <w:pPr>
              <w:ind w:firstLine="0"/>
              <w:jc w:val="center"/>
              <w:rPr>
                <w:rFonts w:ascii="Lato" w:hAnsi="Lato"/>
                <w:b/>
                <w:color w:val="1F497D"/>
                <w:sz w:val="20"/>
                <w:szCs w:val="20"/>
              </w:rPr>
            </w:pPr>
            <w:r w:rsidRPr="00CB25D0">
              <w:rPr>
                <w:rFonts w:ascii="Lato" w:hAnsi="Lato"/>
                <w:b/>
                <w:color w:val="1F497D"/>
                <w:sz w:val="20"/>
                <w:szCs w:val="20"/>
              </w:rPr>
              <w:t>4,5</w:t>
            </w:r>
          </w:p>
        </w:tc>
      </w:tr>
    </w:tbl>
    <w:p w:rsidR="00DB35F5" w:rsidRPr="007F2E78" w:rsidRDefault="00DB35F5" w:rsidP="00DB35F5">
      <w:pPr>
        <w:suppressAutoHyphens/>
        <w:ind w:firstLine="0"/>
        <w:jc w:val="center"/>
        <w:rPr>
          <w:rFonts w:ascii="Lato" w:hAnsi="Lato"/>
          <w:bCs/>
          <w:i/>
          <w:sz w:val="20"/>
          <w:szCs w:val="22"/>
        </w:rPr>
      </w:pPr>
      <w:bookmarkStart w:id="382" w:name="_Toc303673572"/>
      <w:bookmarkStart w:id="383" w:name="_Toc328632941"/>
      <w:bookmarkStart w:id="384" w:name="_Toc336419323"/>
      <w:bookmarkStart w:id="385" w:name="_Toc336943577"/>
      <w:r w:rsidRPr="00604E48">
        <w:rPr>
          <w:rFonts w:ascii="Lato" w:hAnsi="Lato"/>
          <w:bCs/>
          <w:i/>
          <w:sz w:val="20"/>
          <w:szCs w:val="22"/>
        </w:rPr>
        <w:t xml:space="preserve">Źródło: </w:t>
      </w:r>
      <w:r w:rsidRPr="007F2E78">
        <w:rPr>
          <w:rFonts w:ascii="Lato" w:hAnsi="Lato"/>
          <w:bCs/>
          <w:i/>
          <w:sz w:val="20"/>
          <w:szCs w:val="22"/>
        </w:rPr>
        <w:t>Analizy własne</w:t>
      </w:r>
    </w:p>
    <w:p w:rsidR="00E05AD8" w:rsidRPr="00C53ED4" w:rsidRDefault="00E05AD8" w:rsidP="00E05AD8">
      <w:pPr>
        <w:pStyle w:val="NormalnyNEDE"/>
        <w:rPr>
          <w:rFonts w:ascii="Lato" w:hAnsi="Lato"/>
        </w:rPr>
      </w:pPr>
    </w:p>
    <w:p w:rsidR="006B024A" w:rsidRPr="00C53ED4" w:rsidRDefault="006B024A" w:rsidP="00907272">
      <w:pPr>
        <w:pStyle w:val="Nagwek2"/>
        <w:rPr>
          <w:rFonts w:ascii="Lato" w:hAnsi="Lato" w:cs="Times New Roman"/>
        </w:rPr>
      </w:pPr>
      <w:bookmarkStart w:id="386" w:name="_Toc20218523"/>
      <w:r w:rsidRPr="00C53ED4">
        <w:rPr>
          <w:rFonts w:ascii="Lato" w:hAnsi="Lato" w:cs="Times New Roman"/>
        </w:rPr>
        <w:t>Energia z biogazu</w:t>
      </w:r>
      <w:bookmarkEnd w:id="382"/>
      <w:bookmarkEnd w:id="383"/>
      <w:bookmarkEnd w:id="384"/>
      <w:bookmarkEnd w:id="385"/>
      <w:bookmarkEnd w:id="386"/>
    </w:p>
    <w:p w:rsidR="006B024A" w:rsidRPr="007C2818" w:rsidRDefault="006B024A" w:rsidP="007C2818">
      <w:pPr>
        <w:pStyle w:val="Tekstpodstawowy"/>
        <w:ind w:firstLine="709"/>
        <w:rPr>
          <w:rFonts w:ascii="Lato" w:hAnsi="Lato" w:cs="Times New Roman"/>
          <w:szCs w:val="22"/>
        </w:rPr>
      </w:pPr>
      <w:r w:rsidRPr="007C2818">
        <w:rPr>
          <w:rFonts w:ascii="Lato" w:hAnsi="Lato" w:cs="Times New Roman"/>
          <w:szCs w:val="22"/>
        </w:rPr>
        <w:t>We wszelkich odpadach organicznych lub odchodach zawierających węglowodany, a w szczególności celulozę i cukry, w określonych warunkach zachodzą procesy biochemiczne nazywane fermentacją. Fermentację wywołują należące do różnych gatunków bakterie, których działanie i znaczenie w tym procesie jest bardzo zróżnicowane, a nawet przeciwstawne.</w:t>
      </w:r>
      <w:r w:rsidR="007C2818" w:rsidRPr="007C2818">
        <w:rPr>
          <w:rFonts w:ascii="Lato" w:hAnsi="Lato" w:cs="Times New Roman"/>
          <w:szCs w:val="22"/>
        </w:rPr>
        <w:t xml:space="preserve"> </w:t>
      </w:r>
      <w:r w:rsidRPr="007C2818">
        <w:rPr>
          <w:rFonts w:ascii="Lato" w:hAnsi="Lato" w:cs="Times New Roman"/>
          <w:szCs w:val="22"/>
        </w:rPr>
        <w:t>Teoretycznie w wyniku fermentacji 162 g celulozy otrzymuje się 135 dm</w:t>
      </w:r>
      <w:r w:rsidRPr="007C2818">
        <w:rPr>
          <w:rFonts w:ascii="Lato" w:hAnsi="Lato" w:cs="Times New Roman"/>
          <w:szCs w:val="22"/>
          <w:vertAlign w:val="superscript"/>
        </w:rPr>
        <w:t>3</w:t>
      </w:r>
      <w:r w:rsidRPr="007C2818">
        <w:rPr>
          <w:rFonts w:ascii="Lato" w:hAnsi="Lato" w:cs="Times New Roman"/>
          <w:szCs w:val="22"/>
        </w:rPr>
        <w:t xml:space="preserve"> gazu zawierającego 50% palnego metanu. </w:t>
      </w:r>
    </w:p>
    <w:p w:rsidR="006B024A" w:rsidRPr="007C2818" w:rsidRDefault="006B024A" w:rsidP="007C2818">
      <w:pPr>
        <w:pStyle w:val="Tekstpodstawowy"/>
        <w:ind w:firstLine="709"/>
        <w:rPr>
          <w:rFonts w:ascii="Lato" w:hAnsi="Lato" w:cs="Times New Roman"/>
          <w:szCs w:val="22"/>
        </w:rPr>
      </w:pPr>
      <w:r w:rsidRPr="007C2818">
        <w:rPr>
          <w:rFonts w:ascii="Lato" w:hAnsi="Lato" w:cs="Times New Roman"/>
          <w:szCs w:val="22"/>
        </w:rPr>
        <w:lastRenderedPageBreak/>
        <w:t xml:space="preserve">Proces, w skutek którego wytwarzany jest biogaz, polega na fermentacji beztlenowej wywoływanej dzięki obecności tzw. bakterii metanogennych, które w sprzyjających </w:t>
      </w:r>
      <w:r w:rsidR="00B83BEC">
        <w:rPr>
          <w:rFonts w:ascii="Lato" w:hAnsi="Lato" w:cs="Times New Roman"/>
          <w:szCs w:val="22"/>
        </w:rPr>
        <w:t>warunkach: temperatura rzędu 30-</w:t>
      </w:r>
      <w:r w:rsidRPr="007C2818">
        <w:rPr>
          <w:rFonts w:ascii="Lato" w:hAnsi="Lato" w:cs="Times New Roman"/>
          <w:szCs w:val="22"/>
        </w:rPr>
        <w:t>35°C (fermentacja mezofilna) lub 52</w:t>
      </w:r>
      <w:r w:rsidR="00B83BEC">
        <w:rPr>
          <w:rFonts w:ascii="Lato" w:hAnsi="Lato" w:cs="Times New Roman"/>
          <w:szCs w:val="22"/>
        </w:rPr>
        <w:t>-</w:t>
      </w:r>
      <w:r w:rsidRPr="007C2818">
        <w:rPr>
          <w:rFonts w:ascii="Lato" w:hAnsi="Lato" w:cs="Times New Roman"/>
          <w:szCs w:val="22"/>
        </w:rPr>
        <w:t>55°C (fermentacja termofilna), odczyn obojętny lub lekko zasadowy (pH 7</w:t>
      </w:r>
      <w:r w:rsidR="00B83BEC">
        <w:rPr>
          <w:rFonts w:ascii="Lato" w:hAnsi="Lato" w:cs="Times New Roman"/>
          <w:szCs w:val="22"/>
        </w:rPr>
        <w:t>-</w:t>
      </w:r>
      <w:r w:rsidRPr="007C2818">
        <w:rPr>
          <w:rFonts w:ascii="Lato" w:hAnsi="Lato" w:cs="Times New Roman"/>
          <w:szCs w:val="22"/>
        </w:rPr>
        <w:t>7,5), czas retencji (przetrzymania substratu) wynoszący 12-36 dni dla fermentacji mezofilnej oraz 12-14 dni dla fermentacji term</w:t>
      </w:r>
      <w:r w:rsidR="00B83BEC">
        <w:rPr>
          <w:rFonts w:ascii="Lato" w:hAnsi="Lato" w:cs="Times New Roman"/>
          <w:szCs w:val="22"/>
        </w:rPr>
        <w:t>ofilnej, brak obecności tlenu i </w:t>
      </w:r>
      <w:r w:rsidRPr="007C2818">
        <w:rPr>
          <w:rFonts w:ascii="Lato" w:hAnsi="Lato" w:cs="Times New Roman"/>
          <w:szCs w:val="22"/>
        </w:rPr>
        <w:t>światła zamieniają związki pochodzenia organicznego w biogaz oraz substancje nieorganiczne.</w:t>
      </w:r>
      <w:r w:rsidR="007C2818" w:rsidRPr="007C2818">
        <w:rPr>
          <w:rFonts w:ascii="Lato" w:hAnsi="Lato" w:cs="Times New Roman"/>
          <w:szCs w:val="22"/>
        </w:rPr>
        <w:t xml:space="preserve"> </w:t>
      </w:r>
      <w:r w:rsidRPr="007C2818">
        <w:rPr>
          <w:rFonts w:ascii="Lato" w:hAnsi="Lato" w:cs="Times New Roman"/>
          <w:szCs w:val="22"/>
        </w:rPr>
        <w:t>Głównymi składnikami tak powstającego biogaz</w:t>
      </w:r>
      <w:r w:rsidR="00D03562">
        <w:rPr>
          <w:rFonts w:ascii="Lato" w:hAnsi="Lato" w:cs="Times New Roman"/>
          <w:szCs w:val="22"/>
        </w:rPr>
        <w:t>u są metan, którego zawartość w </w:t>
      </w:r>
      <w:r w:rsidRPr="007C2818">
        <w:rPr>
          <w:rFonts w:ascii="Lato" w:hAnsi="Lato" w:cs="Times New Roman"/>
          <w:szCs w:val="22"/>
        </w:rPr>
        <w:t>zależności od technologii jego wytwarzania oraz rodzaju fermentowanych s</w:t>
      </w:r>
      <w:r w:rsidR="007C2818" w:rsidRPr="007C2818">
        <w:rPr>
          <w:rFonts w:ascii="Lato" w:hAnsi="Lato" w:cs="Times New Roman"/>
          <w:szCs w:val="22"/>
        </w:rPr>
        <w:t>ubstancji może zmieniać się w </w:t>
      </w:r>
      <w:r w:rsidRPr="007C2818">
        <w:rPr>
          <w:rFonts w:ascii="Lato" w:hAnsi="Lato" w:cs="Times New Roman"/>
          <w:szCs w:val="22"/>
        </w:rPr>
        <w:t>szerokim zakresie od 40 do 85% (przeważnie 55 – 65%), pozostałą część stanowi dwutlenek węgla oraz inne składniki w ilościach śladowych. Dzięki tak wysokiej zawartości metanu w biogazie, jest on cennym paliwem z energetycznego punktu widzenia, które pozwala zaspokoić lokalne potrzeby związane m.in. z jego wytwarzaniem. Wartość opałowa</w:t>
      </w:r>
      <w:r w:rsidR="00B83BEC">
        <w:rPr>
          <w:rFonts w:ascii="Lato" w:hAnsi="Lato" w:cs="Times New Roman"/>
          <w:szCs w:val="22"/>
        </w:rPr>
        <w:t xml:space="preserve"> biogazu najczęściej waha się w </w:t>
      </w:r>
      <w:r w:rsidRPr="007C2818">
        <w:rPr>
          <w:rFonts w:ascii="Lato" w:hAnsi="Lato" w:cs="Times New Roman"/>
          <w:szCs w:val="22"/>
        </w:rPr>
        <w:t>przedziale 19,8</w:t>
      </w:r>
      <w:r w:rsidR="00B83BEC">
        <w:rPr>
          <w:rFonts w:ascii="Lato" w:hAnsi="Lato" w:cs="Times New Roman"/>
          <w:szCs w:val="22"/>
        </w:rPr>
        <w:t>-</w:t>
      </w:r>
      <w:r w:rsidRPr="007C2818">
        <w:rPr>
          <w:rFonts w:ascii="Lato" w:hAnsi="Lato" w:cs="Times New Roman"/>
          <w:szCs w:val="22"/>
        </w:rPr>
        <w:t>23,4 MJ/m</w:t>
      </w:r>
      <w:r w:rsidRPr="007C2818">
        <w:rPr>
          <w:rFonts w:ascii="Lato" w:hAnsi="Lato" w:cs="Times New Roman"/>
          <w:szCs w:val="22"/>
          <w:vertAlign w:val="superscript"/>
        </w:rPr>
        <w:t>3</w:t>
      </w:r>
      <w:r w:rsidRPr="007C2818">
        <w:rPr>
          <w:rFonts w:ascii="Lato" w:hAnsi="Lato" w:cs="Times New Roman"/>
          <w:szCs w:val="22"/>
        </w:rPr>
        <w:t>, a p</w:t>
      </w:r>
      <w:r w:rsidR="00907272" w:rsidRPr="007C2818">
        <w:rPr>
          <w:rFonts w:ascii="Lato" w:hAnsi="Lato" w:cs="Times New Roman"/>
          <w:szCs w:val="22"/>
        </w:rPr>
        <w:t>rzy separacji dwutlenku węgla z </w:t>
      </w:r>
      <w:r w:rsidRPr="007C2818">
        <w:rPr>
          <w:rFonts w:ascii="Lato" w:hAnsi="Lato" w:cs="Times New Roman"/>
          <w:szCs w:val="22"/>
        </w:rPr>
        <w:t>biogazu jego wartość opałowa może wzrosnąć nawet do wartości porównywalnej z sieciowym gazem ziemnym typu E (dawniej GZ-50). Należy tu zaznaczyć, że produkcja biogazu jest często</w:t>
      </w:r>
      <w:r w:rsidR="007C2818" w:rsidRPr="007C2818">
        <w:rPr>
          <w:rFonts w:ascii="Lato" w:hAnsi="Lato" w:cs="Times New Roman"/>
          <w:szCs w:val="22"/>
        </w:rPr>
        <w:t xml:space="preserve"> efektem ubocznym wynikającym z </w:t>
      </w:r>
      <w:r w:rsidRPr="007C2818">
        <w:rPr>
          <w:rFonts w:ascii="Lato" w:hAnsi="Lato" w:cs="Times New Roman"/>
          <w:szCs w:val="22"/>
        </w:rPr>
        <w:t>konieczności utylizacji odpadów w sposób możliwie nieszko</w:t>
      </w:r>
      <w:r w:rsidR="007C2818" w:rsidRPr="007C2818">
        <w:rPr>
          <w:rFonts w:ascii="Lato" w:hAnsi="Lato" w:cs="Times New Roman"/>
          <w:szCs w:val="22"/>
        </w:rPr>
        <w:t>dliwy dla środowiska. Jedynie w </w:t>
      </w:r>
      <w:r w:rsidRPr="007C2818">
        <w:rPr>
          <w:rFonts w:ascii="Lato" w:hAnsi="Lato" w:cs="Times New Roman"/>
          <w:szCs w:val="22"/>
        </w:rPr>
        <w:t>przypadku wysypisk odpadów fermentacja beztle</w:t>
      </w:r>
      <w:r w:rsidR="00907272" w:rsidRPr="007C2818">
        <w:rPr>
          <w:rFonts w:ascii="Lato" w:hAnsi="Lato" w:cs="Times New Roman"/>
          <w:szCs w:val="22"/>
        </w:rPr>
        <w:t>nowa jest procesem samoistnym i </w:t>
      </w:r>
      <w:r w:rsidRPr="007C2818">
        <w:rPr>
          <w:rFonts w:ascii="Lato" w:hAnsi="Lato" w:cs="Times New Roman"/>
          <w:szCs w:val="22"/>
        </w:rPr>
        <w:t>niekontrolowanym.</w:t>
      </w:r>
    </w:p>
    <w:p w:rsidR="006B024A" w:rsidRPr="00D352C4" w:rsidRDefault="006B024A" w:rsidP="006B024A">
      <w:pPr>
        <w:pStyle w:val="Tekstpodstawowy"/>
        <w:rPr>
          <w:rFonts w:ascii="Lato" w:hAnsi="Lato" w:cs="Times New Roman"/>
          <w:szCs w:val="22"/>
          <w:highlight w:val="yellow"/>
        </w:rPr>
      </w:pPr>
    </w:p>
    <w:p w:rsidR="006B024A" w:rsidRPr="00391912" w:rsidRDefault="006B024A" w:rsidP="006B024A">
      <w:pPr>
        <w:ind w:firstLine="0"/>
        <w:rPr>
          <w:rFonts w:ascii="Lato" w:hAnsi="Lato"/>
          <w:b/>
          <w:bCs/>
          <w:iCs/>
          <w:szCs w:val="22"/>
          <w:u w:val="single"/>
        </w:rPr>
      </w:pPr>
      <w:r w:rsidRPr="00391912">
        <w:rPr>
          <w:rFonts w:ascii="Lato" w:hAnsi="Lato"/>
          <w:b/>
          <w:bCs/>
          <w:iCs/>
          <w:szCs w:val="22"/>
          <w:u w:val="single"/>
        </w:rPr>
        <w:t>Biogaz z biogazowni rolniczych</w:t>
      </w:r>
    </w:p>
    <w:p w:rsidR="00A77449" w:rsidRPr="00391912" w:rsidRDefault="00A77449" w:rsidP="00D153EC">
      <w:pPr>
        <w:pStyle w:val="Tekstpodstawowy"/>
        <w:ind w:firstLine="709"/>
        <w:rPr>
          <w:rFonts w:ascii="Lato" w:hAnsi="Lato" w:cs="Times New Roman"/>
          <w:szCs w:val="22"/>
        </w:rPr>
      </w:pPr>
      <w:bookmarkStart w:id="387" w:name="_Toc303673573"/>
      <w:bookmarkStart w:id="388" w:name="_Toc328632942"/>
      <w:bookmarkStart w:id="389" w:name="_Toc336419324"/>
      <w:bookmarkStart w:id="390" w:name="_Toc336943578"/>
      <w:r w:rsidRPr="00391912">
        <w:rPr>
          <w:rFonts w:ascii="Lato" w:hAnsi="Lato" w:cs="Times New Roman"/>
          <w:szCs w:val="22"/>
        </w:rPr>
        <w:t>Biogazownie rolnicze to obiekty o stosunkowo małej mocy</w:t>
      </w:r>
      <w:r w:rsidR="00391912" w:rsidRPr="00391912">
        <w:rPr>
          <w:rFonts w:ascii="Lato" w:hAnsi="Lato" w:cs="Times New Roman"/>
          <w:szCs w:val="22"/>
        </w:rPr>
        <w:t xml:space="preserve"> jednakże produkujące energię w </w:t>
      </w:r>
      <w:r w:rsidRPr="00391912">
        <w:rPr>
          <w:rFonts w:ascii="Lato" w:hAnsi="Lato" w:cs="Times New Roman"/>
          <w:szCs w:val="22"/>
        </w:rPr>
        <w:t>sposób efektywny. Mogą one funkcjonować przy gospodarstwach rolnych, jako ich cześć składowa i z nich pobierać surowce do biogazu lub stanowić niezależny podmiot obsługujący konkretny teren. Biogazownia jest instalacją umożliwiającą łatwą i szybką fermentację odpadów organicznych, w wyniku której powstaje biogaz</w:t>
      </w:r>
      <w:r w:rsidR="00F86ACD" w:rsidRPr="00391912">
        <w:rPr>
          <w:rFonts w:ascii="Lato" w:hAnsi="Lato" w:cs="Times New Roman"/>
          <w:szCs w:val="22"/>
        </w:rPr>
        <w:t>,</w:t>
      </w:r>
      <w:r w:rsidRPr="00391912">
        <w:rPr>
          <w:rFonts w:ascii="Lato" w:hAnsi="Lato" w:cs="Times New Roman"/>
          <w:szCs w:val="22"/>
        </w:rPr>
        <w:t xml:space="preserve"> stanowiący odnawialne źródło energii. Proces produkcyjny w biogazowniach rolniczych jest niezależny od warunków atmosferycznych i jest realizowany jako produkcja ciągła. Nowo budowane biogazowni</w:t>
      </w:r>
      <w:r w:rsidR="00D03562">
        <w:rPr>
          <w:rFonts w:ascii="Lato" w:hAnsi="Lato" w:cs="Times New Roman"/>
          <w:szCs w:val="22"/>
        </w:rPr>
        <w:t>e są w pełni zautomatyzowane, a </w:t>
      </w:r>
      <w:r w:rsidRPr="00391912">
        <w:rPr>
          <w:rFonts w:ascii="Lato" w:hAnsi="Lato" w:cs="Times New Roman"/>
          <w:szCs w:val="22"/>
        </w:rPr>
        <w:t>do jej obsługi wystarczy minimalna ilość personelu.</w:t>
      </w:r>
    </w:p>
    <w:p w:rsidR="00A77449" w:rsidRPr="00391912" w:rsidRDefault="00A77449" w:rsidP="00D153EC">
      <w:pPr>
        <w:pStyle w:val="Tekstpodstawowy"/>
        <w:ind w:firstLine="709"/>
        <w:rPr>
          <w:rFonts w:ascii="Lato" w:hAnsi="Lato" w:cs="Times New Roman"/>
          <w:szCs w:val="22"/>
        </w:rPr>
      </w:pPr>
      <w:r w:rsidRPr="00391912">
        <w:rPr>
          <w:rFonts w:ascii="Lato" w:hAnsi="Lato" w:cs="Times New Roman"/>
          <w:szCs w:val="22"/>
        </w:rPr>
        <w:t>W szczelnych i hermetycznych instalacjach biogaz</w:t>
      </w:r>
      <w:r w:rsidR="00391912" w:rsidRPr="00391912">
        <w:rPr>
          <w:rFonts w:ascii="Lato" w:hAnsi="Lato" w:cs="Times New Roman"/>
          <w:szCs w:val="22"/>
        </w:rPr>
        <w:t>ow</w:t>
      </w:r>
      <w:r w:rsidR="00A342D0">
        <w:rPr>
          <w:rFonts w:ascii="Lato" w:hAnsi="Lato" w:cs="Times New Roman"/>
          <w:szCs w:val="22"/>
        </w:rPr>
        <w:t>ych, wytwarzany jest metan, a z </w:t>
      </w:r>
      <w:r w:rsidRPr="00391912">
        <w:rPr>
          <w:rFonts w:ascii="Lato" w:hAnsi="Lato" w:cs="Times New Roman"/>
          <w:szCs w:val="22"/>
        </w:rPr>
        <w:t>produktów pofermentacyjnych powstaje wysoko wydajny nawóz. Metan znajduje zastosowanie w produkcji energii elektrycznej i cieplnej. Nawóz produkowany w biogazowniach w postaci granulatu doskonale użyźnia glebę.</w:t>
      </w:r>
    </w:p>
    <w:p w:rsidR="00391912" w:rsidRPr="00391912" w:rsidRDefault="00A77449" w:rsidP="005C1291">
      <w:pPr>
        <w:pStyle w:val="Tekstpodstawowy"/>
        <w:ind w:firstLine="709"/>
        <w:rPr>
          <w:rFonts w:ascii="Lato" w:hAnsi="Lato" w:cs="Times New Roman"/>
          <w:szCs w:val="22"/>
        </w:rPr>
      </w:pPr>
      <w:r w:rsidRPr="00391912">
        <w:rPr>
          <w:rFonts w:ascii="Lato" w:hAnsi="Lato" w:cs="Times New Roman"/>
          <w:szCs w:val="22"/>
        </w:rPr>
        <w:t xml:space="preserve">Proponuje się, aby potencjał biogazu na terenie </w:t>
      </w:r>
      <w:r w:rsidR="0075789D" w:rsidRPr="00391912">
        <w:rPr>
          <w:rFonts w:ascii="Lato" w:hAnsi="Lato" w:cs="Times New Roman"/>
          <w:szCs w:val="22"/>
        </w:rPr>
        <w:t xml:space="preserve">Gminy </w:t>
      </w:r>
      <w:r w:rsidR="00391912" w:rsidRPr="00391912">
        <w:rPr>
          <w:rFonts w:ascii="Lato" w:hAnsi="Lato" w:cs="Times New Roman"/>
          <w:szCs w:val="22"/>
        </w:rPr>
        <w:t>Pabianice</w:t>
      </w:r>
      <w:r w:rsidRPr="00391912">
        <w:rPr>
          <w:rFonts w:ascii="Lato" w:hAnsi="Lato" w:cs="Times New Roman"/>
          <w:szCs w:val="22"/>
        </w:rPr>
        <w:t xml:space="preserve"> był wykorzystywany lokaln</w:t>
      </w:r>
      <w:r w:rsidR="00F86ACD" w:rsidRPr="00391912">
        <w:rPr>
          <w:rFonts w:ascii="Lato" w:hAnsi="Lato" w:cs="Times New Roman"/>
          <w:szCs w:val="22"/>
        </w:rPr>
        <w:t>i</w:t>
      </w:r>
      <w:r w:rsidRPr="00391912">
        <w:rPr>
          <w:rFonts w:ascii="Lato" w:hAnsi="Lato" w:cs="Times New Roman"/>
          <w:szCs w:val="22"/>
        </w:rPr>
        <w:t>e</w:t>
      </w:r>
      <w:r w:rsidR="00F86ACD" w:rsidRPr="00391912">
        <w:rPr>
          <w:rFonts w:ascii="Lato" w:hAnsi="Lato" w:cs="Times New Roman"/>
          <w:szCs w:val="22"/>
        </w:rPr>
        <w:t>,</w:t>
      </w:r>
      <w:r w:rsidR="005C1291" w:rsidRPr="00391912">
        <w:rPr>
          <w:rFonts w:ascii="Lato" w:hAnsi="Lato" w:cs="Times New Roman"/>
          <w:szCs w:val="22"/>
        </w:rPr>
        <w:t xml:space="preserve"> w</w:t>
      </w:r>
      <w:r w:rsidR="00A342D0">
        <w:rPr>
          <w:rFonts w:ascii="Lato" w:hAnsi="Lato" w:cs="Times New Roman"/>
          <w:szCs w:val="22"/>
        </w:rPr>
        <w:t xml:space="preserve"> </w:t>
      </w:r>
      <w:r w:rsidRPr="00391912">
        <w:rPr>
          <w:rFonts w:ascii="Lato" w:hAnsi="Lato" w:cs="Times New Roman"/>
          <w:szCs w:val="22"/>
        </w:rPr>
        <w:t>miejscu jego występowania</w:t>
      </w:r>
      <w:r w:rsidR="00F86ACD" w:rsidRPr="00391912">
        <w:rPr>
          <w:rFonts w:ascii="Lato" w:hAnsi="Lato" w:cs="Times New Roman"/>
          <w:szCs w:val="22"/>
        </w:rPr>
        <w:t>,</w:t>
      </w:r>
      <w:r w:rsidRPr="00391912">
        <w:rPr>
          <w:rFonts w:ascii="Lato" w:hAnsi="Lato" w:cs="Times New Roman"/>
          <w:szCs w:val="22"/>
        </w:rPr>
        <w:t xml:space="preserve"> tzn. w gospodarstwach rolnych.</w:t>
      </w:r>
    </w:p>
    <w:p w:rsidR="006B024A" w:rsidRPr="00A739A8" w:rsidRDefault="006B024A" w:rsidP="00907272">
      <w:pPr>
        <w:pStyle w:val="Nagwek2"/>
        <w:rPr>
          <w:rFonts w:ascii="Lato" w:hAnsi="Lato" w:cs="Times New Roman"/>
        </w:rPr>
      </w:pPr>
      <w:bookmarkStart w:id="391" w:name="_Toc328632943"/>
      <w:bookmarkStart w:id="392" w:name="_Toc336419325"/>
      <w:bookmarkStart w:id="393" w:name="_Toc336943579"/>
      <w:bookmarkStart w:id="394" w:name="_Toc20218524"/>
      <w:bookmarkEnd w:id="387"/>
      <w:bookmarkEnd w:id="388"/>
      <w:bookmarkEnd w:id="389"/>
      <w:bookmarkEnd w:id="390"/>
      <w:r w:rsidRPr="00A739A8">
        <w:rPr>
          <w:rFonts w:ascii="Lato" w:hAnsi="Lato" w:cs="Times New Roman"/>
        </w:rPr>
        <w:t>Możliwości zagospodarowania ciepła odpadowego z instalacji przemysłowych</w:t>
      </w:r>
      <w:bookmarkEnd w:id="391"/>
      <w:bookmarkEnd w:id="392"/>
      <w:bookmarkEnd w:id="393"/>
      <w:bookmarkEnd w:id="394"/>
    </w:p>
    <w:p w:rsidR="00A77449" w:rsidRPr="00A739A8" w:rsidRDefault="005E597E" w:rsidP="00293F5A">
      <w:pPr>
        <w:ind w:firstLine="709"/>
        <w:jc w:val="both"/>
        <w:rPr>
          <w:rFonts w:ascii="Lato" w:hAnsi="Lato"/>
          <w:iCs/>
          <w:szCs w:val="22"/>
        </w:rPr>
      </w:pPr>
      <w:r w:rsidRPr="00A739A8">
        <w:rPr>
          <w:rFonts w:ascii="Lato" w:hAnsi="Lato"/>
          <w:iCs/>
          <w:szCs w:val="22"/>
        </w:rPr>
        <w:t xml:space="preserve">Na podstawie zebranych ankiet z zakładów przemysłowych nie stwierdzono możliwości zagospodarowania </w:t>
      </w:r>
      <w:r w:rsidR="00F86ACD" w:rsidRPr="00A739A8">
        <w:rPr>
          <w:rFonts w:ascii="Lato" w:hAnsi="Lato"/>
          <w:iCs/>
          <w:szCs w:val="22"/>
        </w:rPr>
        <w:t>ciepła odpadowego z instalacji przemysłowych</w:t>
      </w:r>
      <w:r w:rsidRPr="00A739A8">
        <w:rPr>
          <w:rFonts w:ascii="Lato" w:hAnsi="Lato"/>
          <w:iCs/>
          <w:szCs w:val="22"/>
        </w:rPr>
        <w:t>. Zagospodarowanie</w:t>
      </w:r>
      <w:r w:rsidR="00A77449" w:rsidRPr="00A739A8">
        <w:rPr>
          <w:rFonts w:ascii="Lato" w:hAnsi="Lato"/>
          <w:iCs/>
          <w:szCs w:val="22"/>
        </w:rPr>
        <w:t xml:space="preserve"> ciepła odpadowego </w:t>
      </w:r>
      <w:r w:rsidRPr="00A739A8">
        <w:rPr>
          <w:rFonts w:ascii="Lato" w:hAnsi="Lato"/>
          <w:iCs/>
          <w:szCs w:val="22"/>
        </w:rPr>
        <w:t>oraz poprawa efektywnoś</w:t>
      </w:r>
      <w:r w:rsidR="00D95472" w:rsidRPr="00A739A8">
        <w:rPr>
          <w:rFonts w:ascii="Lato" w:hAnsi="Lato"/>
          <w:iCs/>
          <w:szCs w:val="22"/>
        </w:rPr>
        <w:t xml:space="preserve">ci wykorzystania tego ciepła w </w:t>
      </w:r>
      <w:r w:rsidRPr="00A739A8">
        <w:rPr>
          <w:rFonts w:ascii="Lato" w:hAnsi="Lato"/>
          <w:iCs/>
          <w:szCs w:val="22"/>
        </w:rPr>
        <w:t>z</w:t>
      </w:r>
      <w:r w:rsidR="00A77449" w:rsidRPr="00A739A8">
        <w:rPr>
          <w:rFonts w:ascii="Lato" w:hAnsi="Lato"/>
          <w:iCs/>
          <w:szCs w:val="22"/>
        </w:rPr>
        <w:t>akład</w:t>
      </w:r>
      <w:r w:rsidRPr="00A739A8">
        <w:rPr>
          <w:rFonts w:ascii="Lato" w:hAnsi="Lato"/>
          <w:iCs/>
          <w:szCs w:val="22"/>
        </w:rPr>
        <w:t>ach przemysłowych</w:t>
      </w:r>
      <w:r w:rsidR="00167F53" w:rsidRPr="00A739A8">
        <w:rPr>
          <w:rFonts w:ascii="Lato" w:hAnsi="Lato"/>
          <w:iCs/>
          <w:szCs w:val="22"/>
        </w:rPr>
        <w:t xml:space="preserve"> </w:t>
      </w:r>
      <w:r w:rsidRPr="00A739A8">
        <w:rPr>
          <w:rFonts w:ascii="Lato" w:hAnsi="Lato"/>
          <w:iCs/>
          <w:szCs w:val="22"/>
        </w:rPr>
        <w:t>leży</w:t>
      </w:r>
      <w:r w:rsidR="00A77449" w:rsidRPr="00A739A8">
        <w:rPr>
          <w:rFonts w:ascii="Lato" w:hAnsi="Lato"/>
          <w:iCs/>
          <w:szCs w:val="22"/>
        </w:rPr>
        <w:t xml:space="preserve"> </w:t>
      </w:r>
      <w:r w:rsidR="00347CD2" w:rsidRPr="00A739A8">
        <w:rPr>
          <w:rFonts w:ascii="Lato" w:hAnsi="Lato"/>
          <w:iCs/>
          <w:szCs w:val="22"/>
        </w:rPr>
        <w:t>w gestii</w:t>
      </w:r>
      <w:r w:rsidR="00A77449" w:rsidRPr="00A739A8">
        <w:rPr>
          <w:rFonts w:ascii="Lato" w:hAnsi="Lato"/>
          <w:iCs/>
          <w:szCs w:val="22"/>
        </w:rPr>
        <w:t xml:space="preserve"> p</w:t>
      </w:r>
      <w:r w:rsidRPr="00A739A8">
        <w:rPr>
          <w:rFonts w:ascii="Lato" w:hAnsi="Lato"/>
          <w:iCs/>
          <w:szCs w:val="22"/>
        </w:rPr>
        <w:t>rzedsiębiorców.</w:t>
      </w:r>
    </w:p>
    <w:p w:rsidR="00A77449" w:rsidRPr="00A739A8" w:rsidRDefault="00A77449" w:rsidP="00A77449">
      <w:pPr>
        <w:ind w:firstLine="0"/>
        <w:jc w:val="both"/>
        <w:rPr>
          <w:rFonts w:ascii="Lato" w:hAnsi="Lato"/>
          <w:iCs/>
          <w:szCs w:val="22"/>
        </w:rPr>
      </w:pPr>
    </w:p>
    <w:p w:rsidR="006B024A" w:rsidRPr="00A739A8" w:rsidRDefault="006B024A" w:rsidP="00907272">
      <w:pPr>
        <w:pStyle w:val="Nagwek2"/>
        <w:rPr>
          <w:rFonts w:ascii="Lato" w:hAnsi="Lato" w:cs="Times New Roman"/>
        </w:rPr>
      </w:pPr>
      <w:bookmarkStart w:id="395" w:name="_Toc328632944"/>
      <w:bookmarkStart w:id="396" w:name="_Toc336419328"/>
      <w:bookmarkStart w:id="397" w:name="_Toc336943580"/>
      <w:bookmarkStart w:id="398" w:name="_Toc20218525"/>
      <w:r w:rsidRPr="00A739A8">
        <w:rPr>
          <w:rFonts w:ascii="Lato" w:hAnsi="Lato" w:cs="Times New Roman"/>
        </w:rPr>
        <w:lastRenderedPageBreak/>
        <w:t>Możliwości wytwarzania energii ele</w:t>
      </w:r>
      <w:r w:rsidR="00907272" w:rsidRPr="00A739A8">
        <w:rPr>
          <w:rFonts w:ascii="Lato" w:hAnsi="Lato" w:cs="Times New Roman"/>
        </w:rPr>
        <w:t>ktrycznej i ciepła użytkowego w </w:t>
      </w:r>
      <w:r w:rsidRPr="00A739A8">
        <w:rPr>
          <w:rFonts w:ascii="Lato" w:hAnsi="Lato" w:cs="Times New Roman"/>
        </w:rPr>
        <w:t>kogeneracji</w:t>
      </w:r>
      <w:bookmarkEnd w:id="395"/>
      <w:bookmarkEnd w:id="396"/>
      <w:bookmarkEnd w:id="397"/>
      <w:bookmarkEnd w:id="398"/>
    </w:p>
    <w:p w:rsidR="00A77449" w:rsidRPr="00A739A8" w:rsidRDefault="00D95472" w:rsidP="00A77449">
      <w:pPr>
        <w:suppressAutoHyphens/>
        <w:ind w:firstLine="0"/>
        <w:jc w:val="both"/>
        <w:rPr>
          <w:rFonts w:ascii="Lato" w:hAnsi="Lato"/>
          <w:spacing w:val="-2"/>
          <w:szCs w:val="22"/>
        </w:rPr>
      </w:pPr>
      <w:bookmarkStart w:id="399" w:name="_Toc336419329"/>
      <w:bookmarkStart w:id="400" w:name="_Toc336943581"/>
      <w:r w:rsidRPr="00A739A8">
        <w:rPr>
          <w:rFonts w:ascii="Lato" w:hAnsi="Lato"/>
          <w:spacing w:val="-2"/>
          <w:szCs w:val="22"/>
        </w:rPr>
        <w:t xml:space="preserve">W chwili obecnej nie przewiduje się na terenie Gminy </w:t>
      </w:r>
      <w:r w:rsidR="00A739A8" w:rsidRPr="00A739A8">
        <w:rPr>
          <w:rFonts w:ascii="Lato" w:hAnsi="Lato"/>
          <w:spacing w:val="-2"/>
          <w:szCs w:val="22"/>
        </w:rPr>
        <w:t>Pabianice</w:t>
      </w:r>
      <w:r w:rsidRPr="00A739A8">
        <w:rPr>
          <w:rFonts w:ascii="Lato" w:hAnsi="Lato"/>
          <w:spacing w:val="-2"/>
          <w:szCs w:val="22"/>
        </w:rPr>
        <w:t xml:space="preserve"> lokalizacji instalacji kogeneracyjnych.</w:t>
      </w:r>
    </w:p>
    <w:p w:rsidR="00D95472" w:rsidRPr="00A739A8" w:rsidRDefault="00D95472" w:rsidP="00A77449">
      <w:pPr>
        <w:suppressAutoHyphens/>
        <w:ind w:firstLine="0"/>
        <w:jc w:val="both"/>
        <w:rPr>
          <w:rFonts w:ascii="Lato" w:hAnsi="Lato"/>
          <w:spacing w:val="-2"/>
          <w:szCs w:val="22"/>
        </w:rPr>
      </w:pPr>
    </w:p>
    <w:p w:rsidR="00A325B9" w:rsidRPr="00A739A8" w:rsidRDefault="00A325B9" w:rsidP="00AB431C">
      <w:pPr>
        <w:pStyle w:val="Nagwek1"/>
        <w:numPr>
          <w:ilvl w:val="0"/>
          <w:numId w:val="38"/>
        </w:numPr>
        <w:spacing w:after="480" w:line="276" w:lineRule="auto"/>
        <w:ind w:left="425" w:hanging="425"/>
        <w:jc w:val="both"/>
        <w:rPr>
          <w:rFonts w:ascii="Lato" w:hAnsi="Lato"/>
          <w:b w:val="0"/>
          <w:i w:val="0"/>
          <w:color w:val="365F91"/>
        </w:rPr>
      </w:pPr>
      <w:bookmarkStart w:id="401" w:name="_Toc20218526"/>
      <w:r w:rsidRPr="00A739A8">
        <w:rPr>
          <w:rFonts w:ascii="Lato" w:hAnsi="Lato"/>
          <w:b w:val="0"/>
          <w:i w:val="0"/>
          <w:color w:val="365F91"/>
        </w:rPr>
        <w:t>Zakres współpracy między gminami</w:t>
      </w:r>
      <w:bookmarkEnd w:id="401"/>
    </w:p>
    <w:p w:rsidR="00053A2A" w:rsidRPr="003A35AA" w:rsidRDefault="00053A2A" w:rsidP="00053A2A">
      <w:pPr>
        <w:ind w:firstLine="0"/>
        <w:jc w:val="both"/>
        <w:rPr>
          <w:rFonts w:ascii="Lato" w:hAnsi="Lato"/>
          <w:bCs/>
          <w:spacing w:val="-2"/>
          <w:szCs w:val="22"/>
        </w:rPr>
      </w:pPr>
      <w:bookmarkStart w:id="402" w:name="_Toc272527110"/>
      <w:bookmarkStart w:id="403" w:name="_Toc336419330"/>
      <w:bookmarkStart w:id="404" w:name="_Toc336943582"/>
      <w:bookmarkStart w:id="405" w:name="_Toc272527120"/>
      <w:bookmarkEnd w:id="399"/>
      <w:bookmarkEnd w:id="400"/>
      <w:r w:rsidRPr="003A35AA">
        <w:rPr>
          <w:rFonts w:ascii="Lato" w:hAnsi="Lato"/>
          <w:bCs/>
          <w:spacing w:val="-2"/>
          <w:szCs w:val="22"/>
        </w:rPr>
        <w:t>Gmina Pabianice sąsiaduje z następującymi gminami:</w:t>
      </w:r>
    </w:p>
    <w:p w:rsidR="00053A2A" w:rsidRPr="00043957" w:rsidRDefault="00053A2A" w:rsidP="00053A2A">
      <w:pPr>
        <w:pStyle w:val="Tekstpodstawowy"/>
        <w:numPr>
          <w:ilvl w:val="0"/>
          <w:numId w:val="83"/>
        </w:numPr>
        <w:tabs>
          <w:tab w:val="clear" w:pos="360"/>
        </w:tabs>
        <w:ind w:left="709" w:hanging="425"/>
        <w:rPr>
          <w:rFonts w:ascii="Lato" w:hAnsi="Lato" w:cs="Times New Roman"/>
        </w:rPr>
      </w:pPr>
      <w:r w:rsidRPr="00043957">
        <w:rPr>
          <w:rFonts w:ascii="Lato" w:hAnsi="Lato" w:cs="Times New Roman"/>
        </w:rPr>
        <w:t>Miastem Pabianice,</w:t>
      </w:r>
    </w:p>
    <w:p w:rsidR="00053A2A" w:rsidRDefault="00053A2A" w:rsidP="00053A2A">
      <w:pPr>
        <w:pStyle w:val="Tekstpodstawowy"/>
        <w:numPr>
          <w:ilvl w:val="0"/>
          <w:numId w:val="83"/>
        </w:numPr>
        <w:tabs>
          <w:tab w:val="clear" w:pos="360"/>
        </w:tabs>
        <w:ind w:left="709" w:hanging="425"/>
        <w:rPr>
          <w:rFonts w:ascii="Lato" w:hAnsi="Lato" w:cs="Times New Roman"/>
        </w:rPr>
      </w:pPr>
      <w:r w:rsidRPr="00043957">
        <w:rPr>
          <w:rFonts w:ascii="Lato" w:hAnsi="Lato" w:cs="Times New Roman"/>
        </w:rPr>
        <w:t>Gminą i Miastem Rzgów,</w:t>
      </w:r>
    </w:p>
    <w:p w:rsidR="00053A2A" w:rsidRPr="00043957" w:rsidRDefault="00053A2A" w:rsidP="00053A2A">
      <w:pPr>
        <w:pStyle w:val="Tekstpodstawowy"/>
        <w:numPr>
          <w:ilvl w:val="0"/>
          <w:numId w:val="83"/>
        </w:numPr>
        <w:tabs>
          <w:tab w:val="clear" w:pos="360"/>
        </w:tabs>
        <w:ind w:left="709" w:hanging="425"/>
        <w:rPr>
          <w:rFonts w:ascii="Lato" w:hAnsi="Lato" w:cs="Times New Roman"/>
        </w:rPr>
      </w:pPr>
      <w:r w:rsidRPr="00043957">
        <w:rPr>
          <w:rFonts w:ascii="Lato" w:hAnsi="Lato" w:cs="Times New Roman"/>
        </w:rPr>
        <w:t>Miastem Łódź,</w:t>
      </w:r>
    </w:p>
    <w:p w:rsidR="00053A2A" w:rsidRPr="00043957" w:rsidRDefault="00053A2A" w:rsidP="00053A2A">
      <w:pPr>
        <w:pStyle w:val="Tekstpodstawowy"/>
        <w:numPr>
          <w:ilvl w:val="0"/>
          <w:numId w:val="83"/>
        </w:numPr>
        <w:tabs>
          <w:tab w:val="clear" w:pos="360"/>
        </w:tabs>
        <w:ind w:left="709" w:hanging="425"/>
        <w:rPr>
          <w:rFonts w:ascii="Lato" w:hAnsi="Lato" w:cs="Times New Roman"/>
        </w:rPr>
      </w:pPr>
      <w:r w:rsidRPr="00043957">
        <w:rPr>
          <w:rFonts w:ascii="Lato" w:hAnsi="Lato" w:cs="Times New Roman"/>
        </w:rPr>
        <w:t>Gminą Dłutów,</w:t>
      </w:r>
    </w:p>
    <w:p w:rsidR="00053A2A" w:rsidRPr="00043957" w:rsidRDefault="00053A2A" w:rsidP="00053A2A">
      <w:pPr>
        <w:pStyle w:val="Tekstpodstawowy"/>
        <w:numPr>
          <w:ilvl w:val="0"/>
          <w:numId w:val="83"/>
        </w:numPr>
        <w:tabs>
          <w:tab w:val="clear" w:pos="360"/>
        </w:tabs>
        <w:ind w:left="709" w:hanging="425"/>
        <w:rPr>
          <w:rFonts w:ascii="Lato" w:hAnsi="Lato" w:cs="Times New Roman"/>
        </w:rPr>
      </w:pPr>
      <w:r w:rsidRPr="00043957">
        <w:rPr>
          <w:rFonts w:ascii="Lato" w:hAnsi="Lato" w:cs="Times New Roman"/>
        </w:rPr>
        <w:t>Miastem Konstantynów Łódzki,</w:t>
      </w:r>
    </w:p>
    <w:p w:rsidR="00053A2A" w:rsidRPr="00043957" w:rsidRDefault="00053A2A" w:rsidP="00053A2A">
      <w:pPr>
        <w:pStyle w:val="Tekstpodstawowy"/>
        <w:numPr>
          <w:ilvl w:val="0"/>
          <w:numId w:val="83"/>
        </w:numPr>
        <w:tabs>
          <w:tab w:val="clear" w:pos="360"/>
        </w:tabs>
        <w:ind w:left="709" w:hanging="425"/>
        <w:rPr>
          <w:rFonts w:ascii="Lato" w:hAnsi="Lato" w:cs="Times New Roman"/>
        </w:rPr>
      </w:pPr>
      <w:r w:rsidRPr="00043957">
        <w:rPr>
          <w:rFonts w:ascii="Lato" w:hAnsi="Lato" w:cs="Times New Roman"/>
        </w:rPr>
        <w:t>Gminą i Miastem Tuszyn,</w:t>
      </w:r>
    </w:p>
    <w:p w:rsidR="00053A2A" w:rsidRPr="00043957" w:rsidRDefault="00053A2A" w:rsidP="00053A2A">
      <w:pPr>
        <w:pStyle w:val="Tekstpodstawowy"/>
        <w:numPr>
          <w:ilvl w:val="0"/>
          <w:numId w:val="83"/>
        </w:numPr>
        <w:tabs>
          <w:tab w:val="clear" w:pos="360"/>
        </w:tabs>
        <w:ind w:left="709" w:hanging="425"/>
        <w:rPr>
          <w:rFonts w:ascii="Lato" w:hAnsi="Lato" w:cs="Times New Roman"/>
        </w:rPr>
      </w:pPr>
      <w:r w:rsidRPr="00043957">
        <w:rPr>
          <w:rFonts w:ascii="Lato" w:hAnsi="Lato" w:cs="Times New Roman"/>
        </w:rPr>
        <w:t>Gminą Wodzierady,</w:t>
      </w:r>
    </w:p>
    <w:p w:rsidR="00053A2A" w:rsidRPr="00043957" w:rsidRDefault="00053A2A" w:rsidP="00053A2A">
      <w:pPr>
        <w:pStyle w:val="Tekstpodstawowy"/>
        <w:numPr>
          <w:ilvl w:val="0"/>
          <w:numId w:val="83"/>
        </w:numPr>
        <w:tabs>
          <w:tab w:val="clear" w:pos="360"/>
        </w:tabs>
        <w:ind w:left="709" w:hanging="425"/>
        <w:rPr>
          <w:rFonts w:ascii="Lato" w:hAnsi="Lato" w:cs="Times New Roman"/>
        </w:rPr>
      </w:pPr>
      <w:r w:rsidRPr="00043957">
        <w:rPr>
          <w:rFonts w:ascii="Lato" w:hAnsi="Lato" w:cs="Times New Roman"/>
        </w:rPr>
        <w:t>Gminą Lutomiersk,</w:t>
      </w:r>
    </w:p>
    <w:p w:rsidR="00053A2A" w:rsidRPr="00043957" w:rsidRDefault="00053A2A" w:rsidP="00053A2A">
      <w:pPr>
        <w:pStyle w:val="Tekstpodstawowy"/>
        <w:numPr>
          <w:ilvl w:val="0"/>
          <w:numId w:val="83"/>
        </w:numPr>
        <w:tabs>
          <w:tab w:val="clear" w:pos="360"/>
        </w:tabs>
        <w:ind w:left="709" w:hanging="425"/>
        <w:rPr>
          <w:rFonts w:ascii="Lato" w:hAnsi="Lato" w:cs="Times New Roman"/>
        </w:rPr>
      </w:pPr>
      <w:r w:rsidRPr="00043957">
        <w:rPr>
          <w:rFonts w:ascii="Lato" w:hAnsi="Lato" w:cs="Times New Roman"/>
        </w:rPr>
        <w:t>Gminą Dobroń.</w:t>
      </w:r>
    </w:p>
    <w:p w:rsidR="00053A2A" w:rsidRPr="00D352C4" w:rsidRDefault="00053A2A" w:rsidP="00053A2A">
      <w:pPr>
        <w:jc w:val="both"/>
        <w:rPr>
          <w:rFonts w:ascii="Lato" w:hAnsi="Lato"/>
          <w:bCs/>
          <w:spacing w:val="-2"/>
          <w:szCs w:val="22"/>
          <w:highlight w:val="yellow"/>
        </w:rPr>
      </w:pPr>
    </w:p>
    <w:p w:rsidR="00053A2A" w:rsidRPr="003A35AA" w:rsidRDefault="00053A2A" w:rsidP="00053A2A">
      <w:pPr>
        <w:ind w:firstLine="709"/>
        <w:jc w:val="both"/>
        <w:rPr>
          <w:rFonts w:ascii="Lato" w:hAnsi="Lato"/>
          <w:szCs w:val="22"/>
        </w:rPr>
      </w:pPr>
      <w:r w:rsidRPr="003A35AA">
        <w:rPr>
          <w:rFonts w:ascii="Lato" w:hAnsi="Lato"/>
          <w:szCs w:val="22"/>
        </w:rPr>
        <w:t xml:space="preserve">Na wysłane zapytania dotyczące zakresu współpracy między gminami odpowiedziały gminy: </w:t>
      </w:r>
      <w:r>
        <w:rPr>
          <w:rFonts w:ascii="Lato" w:hAnsi="Lato"/>
          <w:szCs w:val="22"/>
        </w:rPr>
        <w:t xml:space="preserve">Miasto </w:t>
      </w:r>
      <w:r w:rsidRPr="003A35AA">
        <w:rPr>
          <w:rFonts w:ascii="Lato" w:hAnsi="Lato"/>
          <w:bCs/>
          <w:spacing w:val="-2"/>
        </w:rPr>
        <w:t xml:space="preserve">Pabianice, </w:t>
      </w:r>
      <w:r>
        <w:rPr>
          <w:rFonts w:ascii="Lato" w:hAnsi="Lato"/>
          <w:bCs/>
          <w:spacing w:val="-2"/>
        </w:rPr>
        <w:t xml:space="preserve">Gmina i Miasto </w:t>
      </w:r>
      <w:r w:rsidRPr="003A35AA">
        <w:rPr>
          <w:rFonts w:ascii="Lato" w:hAnsi="Lato"/>
          <w:bCs/>
          <w:spacing w:val="-2"/>
        </w:rPr>
        <w:t xml:space="preserve">Rzgów, </w:t>
      </w:r>
      <w:r>
        <w:rPr>
          <w:rFonts w:ascii="Lato" w:hAnsi="Lato"/>
          <w:bCs/>
          <w:spacing w:val="-2"/>
        </w:rPr>
        <w:t xml:space="preserve">Miasto </w:t>
      </w:r>
      <w:r w:rsidRPr="003A35AA">
        <w:rPr>
          <w:rFonts w:ascii="Lato" w:hAnsi="Lato"/>
          <w:bCs/>
          <w:spacing w:val="-2"/>
        </w:rPr>
        <w:t xml:space="preserve">Łódź, </w:t>
      </w:r>
      <w:r>
        <w:rPr>
          <w:rFonts w:ascii="Lato" w:hAnsi="Lato"/>
          <w:bCs/>
          <w:spacing w:val="-2"/>
        </w:rPr>
        <w:t xml:space="preserve">Gmina </w:t>
      </w:r>
      <w:r w:rsidRPr="003A35AA">
        <w:rPr>
          <w:rFonts w:ascii="Lato" w:hAnsi="Lato"/>
          <w:bCs/>
          <w:spacing w:val="-2"/>
        </w:rPr>
        <w:t xml:space="preserve">Dłutów, </w:t>
      </w:r>
      <w:r>
        <w:rPr>
          <w:rFonts w:ascii="Lato" w:hAnsi="Lato"/>
          <w:bCs/>
          <w:spacing w:val="-2"/>
        </w:rPr>
        <w:t xml:space="preserve">Miasto </w:t>
      </w:r>
      <w:r w:rsidRPr="003A35AA">
        <w:rPr>
          <w:rFonts w:ascii="Lato" w:hAnsi="Lato"/>
          <w:bCs/>
          <w:spacing w:val="-2"/>
        </w:rPr>
        <w:t>Konstantynów Łódzki</w:t>
      </w:r>
      <w:r w:rsidRPr="003A35AA">
        <w:rPr>
          <w:rFonts w:ascii="Lato" w:hAnsi="Lato"/>
          <w:szCs w:val="22"/>
        </w:rPr>
        <w:t>.</w:t>
      </w:r>
    </w:p>
    <w:p w:rsidR="00053A2A" w:rsidRPr="003A35AA" w:rsidRDefault="00053A2A" w:rsidP="00053A2A">
      <w:pPr>
        <w:ind w:firstLine="709"/>
        <w:jc w:val="both"/>
        <w:rPr>
          <w:rFonts w:ascii="Lato" w:hAnsi="Lato"/>
          <w:szCs w:val="22"/>
        </w:rPr>
      </w:pPr>
      <w:r w:rsidRPr="003A35AA">
        <w:rPr>
          <w:rFonts w:ascii="Lato" w:hAnsi="Lato"/>
          <w:szCs w:val="22"/>
        </w:rPr>
        <w:t>Poniżej dokonano opisu powiązań systemów energetycznych na podstawie otrzymanych odpowiedzi na pisma skierowane do sąsiednich gmin, jak również informacji uzyskanych od przedsiębiorstw energetycznych.</w:t>
      </w:r>
    </w:p>
    <w:p w:rsidR="00053A2A" w:rsidRPr="00D352C4" w:rsidRDefault="00053A2A" w:rsidP="00053A2A">
      <w:pPr>
        <w:ind w:firstLine="709"/>
        <w:jc w:val="both"/>
        <w:rPr>
          <w:rFonts w:ascii="Lato" w:hAnsi="Lato"/>
          <w:szCs w:val="22"/>
          <w:highlight w:val="yellow"/>
        </w:rPr>
      </w:pPr>
    </w:p>
    <w:p w:rsidR="002F538E" w:rsidRDefault="002F538E">
      <w:pPr>
        <w:spacing w:line="240" w:lineRule="auto"/>
        <w:ind w:firstLine="0"/>
        <w:rPr>
          <w:rFonts w:ascii="Lato" w:hAnsi="Lato"/>
          <w:b/>
          <w:szCs w:val="22"/>
        </w:rPr>
      </w:pPr>
      <w:r>
        <w:rPr>
          <w:rFonts w:ascii="Lato" w:hAnsi="Lato"/>
          <w:b/>
          <w:szCs w:val="22"/>
        </w:rPr>
        <w:br w:type="page"/>
      </w:r>
    </w:p>
    <w:p w:rsidR="00053A2A" w:rsidRPr="00D352C4" w:rsidRDefault="00053A2A" w:rsidP="00053A2A">
      <w:pPr>
        <w:ind w:firstLine="709"/>
        <w:jc w:val="both"/>
        <w:rPr>
          <w:rFonts w:ascii="Lato" w:hAnsi="Lato"/>
          <w:b/>
          <w:szCs w:val="22"/>
          <w:highlight w:val="yellow"/>
        </w:rPr>
      </w:pPr>
      <w:r w:rsidRPr="00D035BD">
        <w:rPr>
          <w:rFonts w:ascii="Lato" w:hAnsi="Lato"/>
          <w:b/>
          <w:szCs w:val="22"/>
        </w:rPr>
        <w:lastRenderedPageBreak/>
        <w:t xml:space="preserve">Miasto </w:t>
      </w:r>
      <w:r w:rsidRPr="00757B48">
        <w:rPr>
          <w:rFonts w:ascii="Lato" w:hAnsi="Lato"/>
          <w:b/>
          <w:szCs w:val="22"/>
        </w:rPr>
        <w:t>Pabianice</w:t>
      </w:r>
    </w:p>
    <w:p w:rsidR="00053A2A" w:rsidRPr="001346D3" w:rsidRDefault="00053A2A" w:rsidP="00053A2A">
      <w:pPr>
        <w:ind w:firstLine="709"/>
        <w:jc w:val="both"/>
        <w:rPr>
          <w:rFonts w:ascii="Lato" w:hAnsi="Lato"/>
          <w:szCs w:val="22"/>
        </w:rPr>
      </w:pPr>
      <w:r w:rsidRPr="00CA02D8">
        <w:rPr>
          <w:rFonts w:ascii="Lato" w:hAnsi="Lato"/>
          <w:szCs w:val="22"/>
        </w:rPr>
        <w:t xml:space="preserve">Na podstawie informacji PSG Sp. z o. o. gazociągi rozdzielcze średniego ciśnienia na terenach Miasta i Gminy Pabianice są połączone i stanowią jedną sieć zasilaną przez stacje wysokiego </w:t>
      </w:r>
      <w:r w:rsidR="00A342D0">
        <w:rPr>
          <w:rFonts w:ascii="Lato" w:hAnsi="Lato"/>
          <w:szCs w:val="22"/>
        </w:rPr>
        <w:t>ciśnienia w Pabianicach przy ul</w:t>
      </w:r>
      <w:r w:rsidRPr="00CA02D8">
        <w:rPr>
          <w:rFonts w:ascii="Lato" w:hAnsi="Lato"/>
          <w:szCs w:val="22"/>
        </w:rPr>
        <w:t xml:space="preserve">. Widzewskiej (miasto) oraz w Szynkielewie (gmina). Przewidywana jest także współpraca pomiędzy miastem i gminą w zakresie modernizacji gazociągów wysokiego ciśnienia oraz budowy nowych gazociągów średniego i niskiego ciśnienia, </w:t>
      </w:r>
      <w:r w:rsidRPr="001346D3">
        <w:rPr>
          <w:rFonts w:ascii="Lato" w:hAnsi="Lato"/>
          <w:szCs w:val="22"/>
        </w:rPr>
        <w:t xml:space="preserve">które mogą przechodzić przez ich obszary. </w:t>
      </w:r>
    </w:p>
    <w:p w:rsidR="00053A2A" w:rsidRPr="001346D3" w:rsidRDefault="00053A2A" w:rsidP="00053A2A">
      <w:pPr>
        <w:ind w:firstLine="709"/>
        <w:jc w:val="both"/>
        <w:rPr>
          <w:rFonts w:ascii="Lato" w:hAnsi="Lato"/>
          <w:szCs w:val="22"/>
        </w:rPr>
      </w:pPr>
      <w:r w:rsidRPr="001346D3">
        <w:rPr>
          <w:rFonts w:ascii="Lato" w:hAnsi="Lato"/>
          <w:szCs w:val="22"/>
        </w:rPr>
        <w:t>Na podstawie informacji PGE Dystrybucja S. A. Oddział Łódź Miasto Pabianice posiada powiązania sieci elektroenergetycznych z Gminą Pabianice poprzez cztery linie 15 kV, z których trzy są wyprowadzone z GPZ Pabianice, a jedna z RPZ PZPB.</w:t>
      </w:r>
    </w:p>
    <w:p w:rsidR="00053A2A" w:rsidRPr="0032363B" w:rsidRDefault="00053A2A" w:rsidP="00053A2A">
      <w:pPr>
        <w:ind w:firstLine="709"/>
        <w:jc w:val="both"/>
        <w:rPr>
          <w:rFonts w:ascii="Lato" w:hAnsi="Lato"/>
          <w:szCs w:val="22"/>
        </w:rPr>
      </w:pPr>
      <w:r w:rsidRPr="0032363B">
        <w:rPr>
          <w:rFonts w:ascii="Lato" w:hAnsi="Lato"/>
          <w:szCs w:val="22"/>
        </w:rPr>
        <w:t xml:space="preserve">Na podstawie informacji Zakładu Energetyki Cieplnej Sp. z o. o. w Pabianicach: Spółce nie są znane żadne scentralizowane elementy infrastruktury ciepłowniczej na terenie Gminy Pabianice związane z zaopatrzeniem w ciepło, których rozbudowa lub modernizacja warunkowałaby zaopatrzenie w ciepło Miasta Pabianice. Instalacja ciepła systemowego na terenie Miasta Pabianice w żaden sposób nie jest połączona z podobnego rodzaju infrastrukturą na terenie ww. gminy. Spółka nie planuje żadnej rozbudowy lub modernizacji istniejącego uzbrojenia ciepłowniczego, które umożliwiałoby dostawę ciepła do nieruchomości zlokalizowanych na terenie Gminy Pabianice. </w:t>
      </w:r>
    </w:p>
    <w:p w:rsidR="00053A2A" w:rsidRPr="00A12109" w:rsidRDefault="00053A2A" w:rsidP="00053A2A">
      <w:pPr>
        <w:ind w:firstLine="709"/>
        <w:jc w:val="both"/>
        <w:rPr>
          <w:rFonts w:ascii="Lato" w:hAnsi="Lato"/>
          <w:szCs w:val="22"/>
        </w:rPr>
      </w:pPr>
      <w:r w:rsidRPr="00A12109">
        <w:rPr>
          <w:rFonts w:ascii="Lato" w:hAnsi="Lato"/>
          <w:szCs w:val="22"/>
        </w:rPr>
        <w:t xml:space="preserve">Powiązania sieciowe systemów energetycznych z Gminą Pabianice zostały ujęte w Projekcie założeń do plano zaopatrzenia w ciepło energię elektryczną i paliwa gazowe. </w:t>
      </w:r>
    </w:p>
    <w:p w:rsidR="00053A2A" w:rsidRPr="00DB35F5" w:rsidRDefault="00053A2A" w:rsidP="00053A2A">
      <w:pPr>
        <w:ind w:firstLine="709"/>
        <w:jc w:val="both"/>
        <w:rPr>
          <w:rFonts w:ascii="Lato" w:hAnsi="Lato"/>
          <w:szCs w:val="22"/>
          <w:highlight w:val="yellow"/>
        </w:rPr>
      </w:pPr>
    </w:p>
    <w:p w:rsidR="00053A2A" w:rsidRPr="00D352C4" w:rsidRDefault="00053A2A" w:rsidP="00053A2A">
      <w:pPr>
        <w:ind w:firstLine="709"/>
        <w:jc w:val="both"/>
        <w:rPr>
          <w:rFonts w:ascii="Lato" w:hAnsi="Lato"/>
          <w:b/>
          <w:szCs w:val="22"/>
          <w:highlight w:val="yellow"/>
        </w:rPr>
      </w:pPr>
      <w:r w:rsidRPr="00D30AE4">
        <w:rPr>
          <w:rFonts w:ascii="Lato" w:hAnsi="Lato"/>
          <w:b/>
          <w:szCs w:val="22"/>
        </w:rPr>
        <w:t>Gmin</w:t>
      </w:r>
      <w:r>
        <w:rPr>
          <w:rFonts w:ascii="Lato" w:hAnsi="Lato"/>
          <w:b/>
          <w:szCs w:val="22"/>
        </w:rPr>
        <w:t>a</w:t>
      </w:r>
      <w:r w:rsidRPr="00D30AE4">
        <w:rPr>
          <w:rFonts w:ascii="Lato" w:hAnsi="Lato"/>
          <w:b/>
          <w:szCs w:val="22"/>
        </w:rPr>
        <w:t xml:space="preserve"> i Miast</w:t>
      </w:r>
      <w:r>
        <w:rPr>
          <w:rFonts w:ascii="Lato" w:hAnsi="Lato"/>
          <w:b/>
          <w:szCs w:val="22"/>
        </w:rPr>
        <w:t>o</w:t>
      </w:r>
      <w:r w:rsidRPr="00D30AE4">
        <w:rPr>
          <w:rFonts w:ascii="Lato" w:hAnsi="Lato"/>
          <w:b/>
          <w:szCs w:val="22"/>
        </w:rPr>
        <w:t xml:space="preserve"> Rzgów</w:t>
      </w:r>
    </w:p>
    <w:p w:rsidR="00053A2A" w:rsidRPr="00D30AE4" w:rsidRDefault="00053A2A" w:rsidP="00053A2A">
      <w:pPr>
        <w:ind w:firstLine="709"/>
        <w:jc w:val="both"/>
        <w:rPr>
          <w:rFonts w:ascii="Lato" w:hAnsi="Lato"/>
          <w:szCs w:val="22"/>
        </w:rPr>
      </w:pPr>
      <w:r w:rsidRPr="00D30AE4">
        <w:rPr>
          <w:rFonts w:ascii="Lato" w:hAnsi="Lato"/>
          <w:szCs w:val="22"/>
        </w:rPr>
        <w:t xml:space="preserve">Gmina Rzgów nie </w:t>
      </w:r>
      <w:r>
        <w:rPr>
          <w:rFonts w:ascii="Lato" w:hAnsi="Lato"/>
          <w:szCs w:val="22"/>
        </w:rPr>
        <w:t>ma</w:t>
      </w:r>
      <w:r w:rsidRPr="00D30AE4">
        <w:rPr>
          <w:rFonts w:ascii="Lato" w:hAnsi="Lato"/>
          <w:szCs w:val="22"/>
        </w:rPr>
        <w:t xml:space="preserve"> powiązań sieciowych systemów energetycznych </w:t>
      </w:r>
      <w:r>
        <w:rPr>
          <w:rFonts w:ascii="Lato" w:hAnsi="Lato"/>
          <w:szCs w:val="22"/>
        </w:rPr>
        <w:t xml:space="preserve">(ciepłowniczych, elektroenergetycznych i gazowniczych) </w:t>
      </w:r>
      <w:r w:rsidRPr="00D30AE4">
        <w:rPr>
          <w:rFonts w:ascii="Lato" w:hAnsi="Lato"/>
          <w:szCs w:val="22"/>
        </w:rPr>
        <w:t>z Gminą Pabianice.</w:t>
      </w:r>
    </w:p>
    <w:p w:rsidR="00053A2A" w:rsidRPr="00D30AE4" w:rsidRDefault="00053A2A" w:rsidP="00053A2A">
      <w:pPr>
        <w:ind w:firstLine="709"/>
        <w:jc w:val="both"/>
        <w:rPr>
          <w:rFonts w:ascii="Lato" w:hAnsi="Lato"/>
          <w:szCs w:val="22"/>
        </w:rPr>
      </w:pPr>
      <w:r>
        <w:rPr>
          <w:rFonts w:ascii="Lato" w:hAnsi="Lato"/>
          <w:szCs w:val="22"/>
        </w:rPr>
        <w:t>W „Projekcie z</w:t>
      </w:r>
      <w:r w:rsidRPr="00D30AE4">
        <w:rPr>
          <w:rFonts w:ascii="Lato" w:hAnsi="Lato"/>
          <w:szCs w:val="22"/>
        </w:rPr>
        <w:t>ałoże</w:t>
      </w:r>
      <w:r>
        <w:rPr>
          <w:rFonts w:ascii="Lato" w:hAnsi="Lato"/>
          <w:szCs w:val="22"/>
        </w:rPr>
        <w:t>ń</w:t>
      </w:r>
      <w:r w:rsidRPr="00D30AE4">
        <w:rPr>
          <w:rFonts w:ascii="Lato" w:hAnsi="Lato"/>
          <w:szCs w:val="22"/>
        </w:rPr>
        <w:t xml:space="preserve"> do planu zaopatrzenia w ciepło, energ</w:t>
      </w:r>
      <w:r>
        <w:rPr>
          <w:rFonts w:ascii="Lato" w:hAnsi="Lato"/>
          <w:szCs w:val="22"/>
        </w:rPr>
        <w:t xml:space="preserve">ię elektryczną i paliwa gazowe” oraz w „Programie Ochrony Środowiska dla Gminy Rzgów” nie są ujęte zapisy dotyczące powiązań sieciowych Gminy Rzgów z Gminą Pabianice. </w:t>
      </w:r>
    </w:p>
    <w:p w:rsidR="00053A2A" w:rsidRPr="00D352C4" w:rsidRDefault="00053A2A" w:rsidP="00053A2A">
      <w:pPr>
        <w:ind w:firstLine="709"/>
        <w:jc w:val="both"/>
        <w:rPr>
          <w:rFonts w:ascii="Lato" w:hAnsi="Lato"/>
          <w:szCs w:val="22"/>
          <w:highlight w:val="yellow"/>
        </w:rPr>
      </w:pPr>
      <w:r w:rsidRPr="00D30AE4">
        <w:rPr>
          <w:rFonts w:ascii="Lato" w:hAnsi="Lato"/>
          <w:szCs w:val="22"/>
        </w:rPr>
        <w:t xml:space="preserve">Gmina i Miasto Rzgów nie </w:t>
      </w:r>
      <w:r>
        <w:rPr>
          <w:rFonts w:ascii="Lato" w:hAnsi="Lato"/>
          <w:szCs w:val="22"/>
        </w:rPr>
        <w:t>przewiduje</w:t>
      </w:r>
      <w:r w:rsidRPr="00D30AE4">
        <w:rPr>
          <w:rFonts w:ascii="Lato" w:hAnsi="Lato"/>
          <w:szCs w:val="22"/>
        </w:rPr>
        <w:t xml:space="preserve"> współpracy z Gminą Pabianice w zakresie rozbudowy systemów energetycznych lub innych wspólnych inwestycji z zakresu ochrony środowiska.</w:t>
      </w:r>
    </w:p>
    <w:p w:rsidR="00053A2A" w:rsidRPr="00DB35F5" w:rsidRDefault="00053A2A" w:rsidP="00053A2A">
      <w:pPr>
        <w:ind w:firstLine="709"/>
        <w:jc w:val="both"/>
        <w:rPr>
          <w:rFonts w:ascii="Lato" w:hAnsi="Lato"/>
          <w:szCs w:val="22"/>
          <w:highlight w:val="yellow"/>
        </w:rPr>
      </w:pPr>
    </w:p>
    <w:p w:rsidR="00053A2A" w:rsidRPr="00D352C4" w:rsidRDefault="00053A2A" w:rsidP="00053A2A">
      <w:pPr>
        <w:ind w:firstLine="709"/>
        <w:jc w:val="both"/>
        <w:rPr>
          <w:rFonts w:ascii="Lato" w:hAnsi="Lato"/>
          <w:b/>
          <w:szCs w:val="22"/>
          <w:highlight w:val="yellow"/>
        </w:rPr>
      </w:pPr>
      <w:r w:rsidRPr="00121BC4">
        <w:rPr>
          <w:rFonts w:ascii="Lato" w:hAnsi="Lato"/>
          <w:b/>
          <w:szCs w:val="22"/>
        </w:rPr>
        <w:t>Miast</w:t>
      </w:r>
      <w:r>
        <w:rPr>
          <w:rFonts w:ascii="Lato" w:hAnsi="Lato"/>
          <w:b/>
          <w:szCs w:val="22"/>
        </w:rPr>
        <w:t>o</w:t>
      </w:r>
      <w:r w:rsidRPr="00121BC4">
        <w:rPr>
          <w:rFonts w:ascii="Lato" w:hAnsi="Lato"/>
          <w:b/>
          <w:szCs w:val="22"/>
        </w:rPr>
        <w:t xml:space="preserve"> Łódź</w:t>
      </w:r>
    </w:p>
    <w:p w:rsidR="00053A2A" w:rsidRPr="007F3DF0" w:rsidRDefault="00053A2A" w:rsidP="00053A2A">
      <w:pPr>
        <w:ind w:firstLine="709"/>
        <w:jc w:val="both"/>
        <w:rPr>
          <w:rFonts w:ascii="Lato" w:hAnsi="Lato"/>
          <w:szCs w:val="22"/>
        </w:rPr>
      </w:pPr>
      <w:r w:rsidRPr="004E325F">
        <w:rPr>
          <w:rFonts w:ascii="Lato" w:hAnsi="Lato"/>
          <w:szCs w:val="22"/>
        </w:rPr>
        <w:t>Miasto Łódź posiada powiązania sieciowe systemów energetycznych z Gminą Pabianice.</w:t>
      </w:r>
      <w:r>
        <w:rPr>
          <w:rFonts w:ascii="Lato" w:hAnsi="Lato"/>
          <w:szCs w:val="22"/>
        </w:rPr>
        <w:t xml:space="preserve"> </w:t>
      </w:r>
      <w:r w:rsidRPr="007F3DF0">
        <w:rPr>
          <w:rFonts w:ascii="Lato" w:hAnsi="Lato"/>
          <w:szCs w:val="22"/>
        </w:rPr>
        <w:t>Linią elektroenergetyczną o charakterze międzygminnym jest linia</w:t>
      </w:r>
      <w:r>
        <w:rPr>
          <w:rFonts w:ascii="Lato" w:hAnsi="Lato"/>
          <w:szCs w:val="22"/>
        </w:rPr>
        <w:t xml:space="preserve"> Łódź-Janów </w:t>
      </w:r>
      <w:r w:rsidR="00A342D0">
        <w:rPr>
          <w:rFonts w:ascii="Lato" w:hAnsi="Lato"/>
          <w:szCs w:val="22"/>
        </w:rPr>
        <w:t>–</w:t>
      </w:r>
      <w:r>
        <w:rPr>
          <w:rFonts w:ascii="Lato" w:hAnsi="Lato"/>
          <w:szCs w:val="22"/>
        </w:rPr>
        <w:t xml:space="preserve"> Pabianice (PSE) o </w:t>
      </w:r>
      <w:r w:rsidRPr="007F3DF0">
        <w:rPr>
          <w:rFonts w:ascii="Lato" w:hAnsi="Lato"/>
          <w:szCs w:val="22"/>
        </w:rPr>
        <w:t>długości ok. 19 km i napięciu roboczym 220 kV, zakończona stacją 220/11 O kV przy ulicy Rypułtowickiej w Pabianicach, z której PGE m.in. zasila obiekty na obszarze Gminy Pabianice.</w:t>
      </w:r>
      <w:r>
        <w:rPr>
          <w:rFonts w:ascii="Lato" w:hAnsi="Lato"/>
          <w:szCs w:val="22"/>
        </w:rPr>
        <w:t xml:space="preserve"> Na </w:t>
      </w:r>
      <w:r w:rsidRPr="007F3DF0">
        <w:rPr>
          <w:rFonts w:ascii="Lato" w:hAnsi="Lato"/>
          <w:szCs w:val="22"/>
        </w:rPr>
        <w:t xml:space="preserve">bezpieczeństwo dostaw gazu może wpłynąć przygotowywana przez Polską Spółkę Gazownictwa Sp. z o.o. Oddział Zakład Gazowniczy w Łodzi przebudowa gazociągów, które tworzą tzw. „Gazową Obwodnicę Łodzi". Etap Ili od SG Smulsko </w:t>
      </w:r>
      <w:r w:rsidR="00D03562">
        <w:rPr>
          <w:rFonts w:ascii="Lato" w:hAnsi="Lato"/>
          <w:szCs w:val="22"/>
        </w:rPr>
        <w:t>do SG Szynkielew o długości ok. </w:t>
      </w:r>
      <w:r w:rsidRPr="007F3DF0">
        <w:rPr>
          <w:rFonts w:ascii="Lato" w:hAnsi="Lato"/>
          <w:szCs w:val="22"/>
        </w:rPr>
        <w:t>2,2 km może poprawić zaopatrzenie w gaz ziemny na terenie Gminy Pabianice.</w:t>
      </w:r>
    </w:p>
    <w:p w:rsidR="00053A2A" w:rsidRDefault="00053A2A" w:rsidP="00053A2A">
      <w:pPr>
        <w:ind w:firstLine="0"/>
        <w:jc w:val="both"/>
        <w:rPr>
          <w:rFonts w:ascii="Lato" w:hAnsi="Lato"/>
          <w:szCs w:val="22"/>
        </w:rPr>
      </w:pPr>
      <w:r>
        <w:rPr>
          <w:rFonts w:ascii="Lato" w:hAnsi="Lato"/>
          <w:szCs w:val="22"/>
        </w:rPr>
        <w:t xml:space="preserve">Nie występują </w:t>
      </w:r>
      <w:r w:rsidRPr="007F3DF0">
        <w:rPr>
          <w:rFonts w:ascii="Lato" w:hAnsi="Lato"/>
          <w:szCs w:val="22"/>
        </w:rPr>
        <w:t>międzygminn</w:t>
      </w:r>
      <w:r>
        <w:rPr>
          <w:rFonts w:ascii="Lato" w:hAnsi="Lato"/>
          <w:szCs w:val="22"/>
        </w:rPr>
        <w:t>e</w:t>
      </w:r>
      <w:r w:rsidRPr="007F3DF0">
        <w:rPr>
          <w:rFonts w:ascii="Lato" w:hAnsi="Lato"/>
          <w:szCs w:val="22"/>
        </w:rPr>
        <w:t xml:space="preserve"> połącze</w:t>
      </w:r>
      <w:r>
        <w:rPr>
          <w:rFonts w:ascii="Lato" w:hAnsi="Lato"/>
          <w:szCs w:val="22"/>
        </w:rPr>
        <w:t>nia</w:t>
      </w:r>
      <w:r w:rsidRPr="007F3DF0">
        <w:rPr>
          <w:rFonts w:ascii="Lato" w:hAnsi="Lato"/>
          <w:szCs w:val="22"/>
        </w:rPr>
        <w:t xml:space="preserve"> sieci cieplnej.</w:t>
      </w:r>
    </w:p>
    <w:p w:rsidR="00053A2A" w:rsidRDefault="00053A2A" w:rsidP="00053A2A">
      <w:pPr>
        <w:ind w:firstLine="709"/>
        <w:jc w:val="both"/>
        <w:rPr>
          <w:rFonts w:ascii="Lato" w:hAnsi="Lato"/>
          <w:szCs w:val="22"/>
        </w:rPr>
      </w:pPr>
      <w:r w:rsidRPr="007F3DF0">
        <w:rPr>
          <w:rFonts w:ascii="Lato" w:hAnsi="Lato"/>
          <w:szCs w:val="22"/>
        </w:rPr>
        <w:t xml:space="preserve">Miasto Łódź </w:t>
      </w:r>
      <w:r>
        <w:rPr>
          <w:rFonts w:ascii="Lato" w:hAnsi="Lato"/>
          <w:szCs w:val="22"/>
        </w:rPr>
        <w:t xml:space="preserve">posiada </w:t>
      </w:r>
      <w:r w:rsidRPr="007F3DF0">
        <w:rPr>
          <w:rFonts w:ascii="Lato" w:hAnsi="Lato"/>
          <w:szCs w:val="22"/>
        </w:rPr>
        <w:t>zaktualizowany dokument „Za</w:t>
      </w:r>
      <w:r w:rsidR="00D03562">
        <w:rPr>
          <w:rFonts w:ascii="Lato" w:hAnsi="Lato"/>
          <w:szCs w:val="22"/>
        </w:rPr>
        <w:t>łożenia do planu zaopatrzenia w </w:t>
      </w:r>
      <w:r w:rsidRPr="007F3DF0">
        <w:rPr>
          <w:rFonts w:ascii="Lato" w:hAnsi="Lato"/>
          <w:szCs w:val="22"/>
        </w:rPr>
        <w:t>ciepło, energię elektryczną i paliwa gazowe miasta Łodzi"</w:t>
      </w:r>
      <w:r>
        <w:rPr>
          <w:rFonts w:ascii="Lato" w:hAnsi="Lato"/>
          <w:szCs w:val="22"/>
        </w:rPr>
        <w:t xml:space="preserve"> (</w:t>
      </w:r>
      <w:r w:rsidRPr="007F3DF0">
        <w:rPr>
          <w:rFonts w:ascii="Lato" w:hAnsi="Lato"/>
          <w:szCs w:val="22"/>
        </w:rPr>
        <w:t>Uchwał</w:t>
      </w:r>
      <w:r>
        <w:rPr>
          <w:rFonts w:ascii="Lato" w:hAnsi="Lato"/>
          <w:szCs w:val="22"/>
        </w:rPr>
        <w:t>a</w:t>
      </w:r>
      <w:r w:rsidRPr="007F3DF0">
        <w:rPr>
          <w:rFonts w:ascii="Lato" w:hAnsi="Lato"/>
          <w:szCs w:val="22"/>
        </w:rPr>
        <w:t xml:space="preserve"> N</w:t>
      </w:r>
      <w:r>
        <w:rPr>
          <w:rFonts w:ascii="Lato" w:hAnsi="Lato"/>
          <w:szCs w:val="22"/>
        </w:rPr>
        <w:t>r LXll/1616/17 Rady Miejskiej w</w:t>
      </w:r>
      <w:r w:rsidR="00DB35F5">
        <w:rPr>
          <w:rFonts w:ascii="Lato" w:hAnsi="Lato"/>
          <w:szCs w:val="22"/>
        </w:rPr>
        <w:t> </w:t>
      </w:r>
      <w:r w:rsidRPr="007F3DF0">
        <w:rPr>
          <w:rFonts w:ascii="Lato" w:hAnsi="Lato"/>
          <w:szCs w:val="22"/>
        </w:rPr>
        <w:t>Łodzi z dnia 13 grudnia 2017 r.</w:t>
      </w:r>
      <w:r>
        <w:rPr>
          <w:rFonts w:ascii="Lato" w:hAnsi="Lato"/>
          <w:szCs w:val="22"/>
        </w:rPr>
        <w:t>).</w:t>
      </w:r>
      <w:r w:rsidRPr="007F3DF0">
        <w:rPr>
          <w:rFonts w:ascii="Lato" w:hAnsi="Lato"/>
          <w:szCs w:val="22"/>
        </w:rPr>
        <w:t xml:space="preserve"> </w:t>
      </w:r>
    </w:p>
    <w:p w:rsidR="00053A2A" w:rsidRDefault="00053A2A" w:rsidP="00DB35F5">
      <w:pPr>
        <w:spacing w:after="240"/>
        <w:ind w:firstLine="709"/>
        <w:jc w:val="both"/>
        <w:rPr>
          <w:rFonts w:ascii="Lato" w:hAnsi="Lato"/>
          <w:szCs w:val="22"/>
          <w:highlight w:val="cyan"/>
        </w:rPr>
      </w:pPr>
      <w:r w:rsidRPr="004E325F">
        <w:rPr>
          <w:rFonts w:ascii="Lato" w:hAnsi="Lato"/>
          <w:szCs w:val="22"/>
        </w:rPr>
        <w:lastRenderedPageBreak/>
        <w:t>Miasto Łódź jest otwarte na współpracę z sąsiednimi gminami zarówno w zakresie zabezpieczenia dostaw ww. nośników energii, jak również ochrony środowiska.</w:t>
      </w:r>
    </w:p>
    <w:p w:rsidR="00053A2A" w:rsidRPr="004E325F" w:rsidRDefault="00053A2A" w:rsidP="00053A2A">
      <w:pPr>
        <w:ind w:firstLine="709"/>
        <w:jc w:val="both"/>
        <w:rPr>
          <w:rFonts w:ascii="Lato" w:hAnsi="Lato"/>
          <w:b/>
          <w:szCs w:val="22"/>
        </w:rPr>
      </w:pPr>
      <w:r w:rsidRPr="004E325F">
        <w:rPr>
          <w:rFonts w:ascii="Lato" w:hAnsi="Lato"/>
          <w:b/>
          <w:szCs w:val="22"/>
        </w:rPr>
        <w:t>Gmina Dłutów</w:t>
      </w:r>
    </w:p>
    <w:p w:rsidR="00053A2A" w:rsidRDefault="00053A2A" w:rsidP="00053A2A">
      <w:pPr>
        <w:ind w:firstLine="709"/>
        <w:jc w:val="both"/>
        <w:rPr>
          <w:rFonts w:ascii="Lato" w:hAnsi="Lato"/>
          <w:szCs w:val="22"/>
        </w:rPr>
      </w:pPr>
      <w:r w:rsidRPr="004E325F">
        <w:rPr>
          <w:rFonts w:ascii="Lato" w:hAnsi="Lato"/>
          <w:szCs w:val="22"/>
        </w:rPr>
        <w:t xml:space="preserve">Gmina Dłutów </w:t>
      </w:r>
      <w:r w:rsidRPr="00C64023">
        <w:rPr>
          <w:rFonts w:ascii="Lato" w:hAnsi="Lato"/>
          <w:szCs w:val="22"/>
        </w:rPr>
        <w:t>posiada powiązania sieciowe systemów energetycznych z Gminą Pabianice</w:t>
      </w:r>
      <w:r>
        <w:rPr>
          <w:rFonts w:ascii="Lato" w:hAnsi="Lato"/>
          <w:szCs w:val="22"/>
        </w:rPr>
        <w:t xml:space="preserve"> l</w:t>
      </w:r>
      <w:r w:rsidRPr="00C64023">
        <w:rPr>
          <w:rFonts w:ascii="Lato" w:hAnsi="Lato"/>
          <w:szCs w:val="22"/>
        </w:rPr>
        <w:t xml:space="preserve">inią elektroenergetyczną o napięciu </w:t>
      </w:r>
      <w:r>
        <w:rPr>
          <w:rFonts w:ascii="Lato" w:hAnsi="Lato"/>
          <w:szCs w:val="22"/>
        </w:rPr>
        <w:t xml:space="preserve">220 kV. </w:t>
      </w:r>
    </w:p>
    <w:p w:rsidR="00053A2A" w:rsidRPr="004E325F" w:rsidRDefault="00053A2A" w:rsidP="00053A2A">
      <w:pPr>
        <w:ind w:firstLine="709"/>
        <w:jc w:val="both"/>
        <w:rPr>
          <w:rFonts w:ascii="Lato" w:hAnsi="Lato"/>
          <w:szCs w:val="22"/>
        </w:rPr>
      </w:pPr>
      <w:r w:rsidRPr="004E325F">
        <w:rPr>
          <w:rFonts w:ascii="Lato" w:hAnsi="Lato"/>
          <w:szCs w:val="22"/>
        </w:rPr>
        <w:t xml:space="preserve">Gmina Dłutów nie posiada </w:t>
      </w:r>
      <w:r>
        <w:rPr>
          <w:rFonts w:ascii="Lato" w:hAnsi="Lato"/>
          <w:szCs w:val="22"/>
        </w:rPr>
        <w:t>P</w:t>
      </w:r>
      <w:r w:rsidRPr="004E325F">
        <w:rPr>
          <w:rFonts w:ascii="Lato" w:hAnsi="Lato"/>
          <w:szCs w:val="22"/>
        </w:rPr>
        <w:t>rojektu założeń do planu zaopatrzenia w ciepło, energię elektryczną i paliwa gazowe.</w:t>
      </w:r>
    </w:p>
    <w:p w:rsidR="00053A2A" w:rsidRPr="004E325F" w:rsidRDefault="00053A2A" w:rsidP="00053A2A">
      <w:pPr>
        <w:ind w:firstLine="709"/>
        <w:jc w:val="both"/>
        <w:rPr>
          <w:rFonts w:ascii="Lato" w:hAnsi="Lato"/>
          <w:szCs w:val="22"/>
        </w:rPr>
      </w:pPr>
      <w:r w:rsidRPr="004E325F">
        <w:rPr>
          <w:rFonts w:ascii="Lato" w:hAnsi="Lato"/>
          <w:szCs w:val="22"/>
        </w:rPr>
        <w:t xml:space="preserve">Gmina Dłutów </w:t>
      </w:r>
      <w:r>
        <w:rPr>
          <w:rFonts w:ascii="Lato" w:hAnsi="Lato"/>
          <w:szCs w:val="22"/>
        </w:rPr>
        <w:t>nie wyklucza współ</w:t>
      </w:r>
      <w:r w:rsidRPr="00C64023">
        <w:rPr>
          <w:rFonts w:ascii="Lato" w:hAnsi="Lato"/>
          <w:szCs w:val="22"/>
        </w:rPr>
        <w:t>pracy z Gmin</w:t>
      </w:r>
      <w:r>
        <w:rPr>
          <w:rFonts w:ascii="Lato" w:hAnsi="Lato"/>
          <w:szCs w:val="22"/>
        </w:rPr>
        <w:t>ą</w:t>
      </w:r>
      <w:r w:rsidRPr="00C64023">
        <w:rPr>
          <w:rFonts w:ascii="Lato" w:hAnsi="Lato"/>
          <w:szCs w:val="22"/>
        </w:rPr>
        <w:t xml:space="preserve"> Pabianice w zakresie rozbudowy systemów energetycznych lub innych wspólnych inwestycji z zakresu ochrony środowiska</w:t>
      </w:r>
      <w:r w:rsidRPr="004E325F">
        <w:rPr>
          <w:rFonts w:ascii="Lato" w:hAnsi="Lato"/>
          <w:szCs w:val="22"/>
        </w:rPr>
        <w:t>.</w:t>
      </w:r>
    </w:p>
    <w:p w:rsidR="00053A2A" w:rsidRDefault="00053A2A" w:rsidP="00053A2A">
      <w:pPr>
        <w:ind w:firstLine="709"/>
        <w:jc w:val="both"/>
        <w:rPr>
          <w:rFonts w:ascii="Lato" w:hAnsi="Lato"/>
          <w:szCs w:val="22"/>
        </w:rPr>
      </w:pPr>
    </w:p>
    <w:p w:rsidR="00053A2A" w:rsidRPr="00C64023" w:rsidRDefault="00053A2A" w:rsidP="00053A2A">
      <w:pPr>
        <w:ind w:firstLine="709"/>
        <w:jc w:val="both"/>
        <w:rPr>
          <w:rFonts w:ascii="Lato" w:hAnsi="Lato"/>
          <w:b/>
          <w:szCs w:val="22"/>
        </w:rPr>
      </w:pPr>
      <w:r w:rsidRPr="00C64023">
        <w:rPr>
          <w:rFonts w:ascii="Lato" w:hAnsi="Lato"/>
          <w:b/>
          <w:szCs w:val="22"/>
        </w:rPr>
        <w:t>Miasto Konstantynów Łódzki</w:t>
      </w:r>
    </w:p>
    <w:p w:rsidR="00053A2A" w:rsidRPr="00C64023" w:rsidRDefault="00053A2A" w:rsidP="00053A2A">
      <w:pPr>
        <w:ind w:firstLine="709"/>
        <w:jc w:val="both"/>
        <w:rPr>
          <w:rFonts w:ascii="Lato" w:hAnsi="Lato"/>
          <w:szCs w:val="22"/>
        </w:rPr>
      </w:pPr>
      <w:r w:rsidRPr="00C64023">
        <w:rPr>
          <w:rFonts w:ascii="Lato" w:hAnsi="Lato"/>
          <w:szCs w:val="22"/>
        </w:rPr>
        <w:t xml:space="preserve">Miasto Konstantynów Łódzki </w:t>
      </w:r>
      <w:r w:rsidRPr="00AD52FF">
        <w:rPr>
          <w:rFonts w:ascii="Lato" w:hAnsi="Lato"/>
          <w:szCs w:val="22"/>
        </w:rPr>
        <w:t>posiada powiązania sie</w:t>
      </w:r>
      <w:r>
        <w:rPr>
          <w:rFonts w:ascii="Lato" w:hAnsi="Lato"/>
          <w:szCs w:val="22"/>
        </w:rPr>
        <w:t>ciowe systemów energetycznych z </w:t>
      </w:r>
      <w:r w:rsidRPr="00AD52FF">
        <w:rPr>
          <w:rFonts w:ascii="Lato" w:hAnsi="Lato"/>
          <w:szCs w:val="22"/>
        </w:rPr>
        <w:t xml:space="preserve">Gminą Pabianice linią elektroenergetyczną </w:t>
      </w:r>
      <w:r>
        <w:rPr>
          <w:rFonts w:ascii="Lato" w:hAnsi="Lato"/>
          <w:szCs w:val="22"/>
        </w:rPr>
        <w:t xml:space="preserve">wysokiego </w:t>
      </w:r>
      <w:r w:rsidRPr="00AD52FF">
        <w:rPr>
          <w:rFonts w:ascii="Lato" w:hAnsi="Lato"/>
          <w:szCs w:val="22"/>
        </w:rPr>
        <w:t>napięci</w:t>
      </w:r>
      <w:r>
        <w:rPr>
          <w:rFonts w:ascii="Lato" w:hAnsi="Lato"/>
          <w:szCs w:val="22"/>
        </w:rPr>
        <w:t>a.</w:t>
      </w:r>
    </w:p>
    <w:p w:rsidR="00053A2A" w:rsidRDefault="00053A2A" w:rsidP="00053A2A">
      <w:pPr>
        <w:ind w:firstLine="709"/>
        <w:jc w:val="both"/>
        <w:rPr>
          <w:rFonts w:ascii="Lato" w:hAnsi="Lato"/>
          <w:szCs w:val="22"/>
        </w:rPr>
      </w:pPr>
      <w:r w:rsidRPr="00C64023">
        <w:rPr>
          <w:rFonts w:ascii="Lato" w:hAnsi="Lato"/>
          <w:szCs w:val="22"/>
        </w:rPr>
        <w:t xml:space="preserve">Miasto Konstantynów Łódzki </w:t>
      </w:r>
      <w:r w:rsidRPr="00AD52FF">
        <w:rPr>
          <w:rFonts w:ascii="Lato" w:hAnsi="Lato"/>
          <w:szCs w:val="22"/>
        </w:rPr>
        <w:t xml:space="preserve">nie posiada projektu </w:t>
      </w:r>
      <w:r w:rsidR="00D03562">
        <w:rPr>
          <w:rFonts w:ascii="Lato" w:hAnsi="Lato"/>
          <w:szCs w:val="22"/>
        </w:rPr>
        <w:t>założeń do planu zaopatrzenia w </w:t>
      </w:r>
      <w:r w:rsidRPr="00AD52FF">
        <w:rPr>
          <w:rFonts w:ascii="Lato" w:hAnsi="Lato"/>
          <w:szCs w:val="22"/>
        </w:rPr>
        <w:t>ciepło, energię elektryczną i paliwa gazowe.</w:t>
      </w:r>
    </w:p>
    <w:p w:rsidR="00053A2A" w:rsidRDefault="00053A2A" w:rsidP="00053A2A">
      <w:pPr>
        <w:ind w:firstLine="709"/>
        <w:jc w:val="both"/>
        <w:rPr>
          <w:rFonts w:ascii="Lato" w:hAnsi="Lato"/>
          <w:szCs w:val="22"/>
        </w:rPr>
      </w:pPr>
    </w:p>
    <w:p w:rsidR="00053A2A" w:rsidRPr="00AD52FF" w:rsidRDefault="00053A2A" w:rsidP="00053A2A">
      <w:pPr>
        <w:ind w:firstLine="709"/>
        <w:jc w:val="both"/>
        <w:rPr>
          <w:rFonts w:ascii="Lato" w:hAnsi="Lato"/>
          <w:b/>
          <w:szCs w:val="22"/>
        </w:rPr>
      </w:pPr>
      <w:r w:rsidRPr="00AD52FF">
        <w:rPr>
          <w:rFonts w:ascii="Lato" w:hAnsi="Lato"/>
          <w:b/>
          <w:szCs w:val="22"/>
        </w:rPr>
        <w:t>Gmina i Miasto Tuszyn</w:t>
      </w:r>
    </w:p>
    <w:p w:rsidR="00053A2A" w:rsidRPr="00853050" w:rsidRDefault="00053A2A" w:rsidP="00053A2A">
      <w:pPr>
        <w:ind w:firstLine="709"/>
        <w:jc w:val="both"/>
        <w:rPr>
          <w:rFonts w:ascii="Lato" w:hAnsi="Lato"/>
          <w:szCs w:val="22"/>
        </w:rPr>
      </w:pPr>
      <w:r w:rsidRPr="00AD52FF">
        <w:rPr>
          <w:rFonts w:ascii="Lato" w:hAnsi="Lato"/>
          <w:szCs w:val="22"/>
        </w:rPr>
        <w:t>Gmina i Miasto Tuszyn nie posiada powiązań sieci</w:t>
      </w:r>
      <w:r>
        <w:rPr>
          <w:rFonts w:ascii="Lato" w:hAnsi="Lato"/>
          <w:szCs w:val="22"/>
        </w:rPr>
        <w:t>owych systemów energetycznych z </w:t>
      </w:r>
      <w:r w:rsidRPr="00853050">
        <w:rPr>
          <w:rFonts w:ascii="Lato" w:hAnsi="Lato"/>
          <w:szCs w:val="22"/>
        </w:rPr>
        <w:t>Gminą Pabianice.</w:t>
      </w:r>
    </w:p>
    <w:p w:rsidR="00053A2A" w:rsidRDefault="00053A2A" w:rsidP="00053A2A">
      <w:pPr>
        <w:ind w:firstLine="709"/>
        <w:jc w:val="both"/>
        <w:rPr>
          <w:rFonts w:ascii="Lato" w:hAnsi="Lato"/>
          <w:szCs w:val="22"/>
        </w:rPr>
      </w:pPr>
      <w:r w:rsidRPr="00853050">
        <w:rPr>
          <w:rFonts w:ascii="Lato" w:hAnsi="Lato"/>
          <w:szCs w:val="22"/>
        </w:rPr>
        <w:t xml:space="preserve">Gmina i Miasto Tuszyn posiada opracowany Projekt </w:t>
      </w:r>
      <w:r>
        <w:rPr>
          <w:rFonts w:ascii="Lato" w:hAnsi="Lato"/>
          <w:szCs w:val="22"/>
        </w:rPr>
        <w:t>założeń do planu zaopatrzenia w </w:t>
      </w:r>
      <w:r w:rsidRPr="00853050">
        <w:rPr>
          <w:rFonts w:ascii="Lato" w:hAnsi="Lato"/>
          <w:szCs w:val="22"/>
        </w:rPr>
        <w:t>ciepło, energię elektryczną i paliwa gazowe.</w:t>
      </w:r>
    </w:p>
    <w:p w:rsidR="00053A2A" w:rsidRDefault="00053A2A" w:rsidP="00053A2A">
      <w:pPr>
        <w:ind w:firstLine="709"/>
        <w:jc w:val="both"/>
        <w:rPr>
          <w:rFonts w:ascii="Lato" w:hAnsi="Lato"/>
          <w:szCs w:val="22"/>
        </w:rPr>
      </w:pPr>
    </w:p>
    <w:p w:rsidR="00053A2A" w:rsidRPr="008A3D69" w:rsidRDefault="00053A2A" w:rsidP="00053A2A">
      <w:pPr>
        <w:ind w:firstLine="709"/>
        <w:jc w:val="both"/>
        <w:rPr>
          <w:rFonts w:ascii="Lato" w:hAnsi="Lato"/>
          <w:b/>
          <w:szCs w:val="22"/>
        </w:rPr>
      </w:pPr>
      <w:r w:rsidRPr="008A3D69">
        <w:rPr>
          <w:rFonts w:ascii="Lato" w:hAnsi="Lato"/>
          <w:b/>
          <w:szCs w:val="22"/>
        </w:rPr>
        <w:t>Gmina Wodzierady</w:t>
      </w:r>
    </w:p>
    <w:p w:rsidR="00053A2A" w:rsidRPr="008A3D69" w:rsidRDefault="00053A2A" w:rsidP="00053A2A">
      <w:pPr>
        <w:ind w:firstLine="709"/>
        <w:jc w:val="both"/>
        <w:rPr>
          <w:rFonts w:ascii="Lato" w:hAnsi="Lato"/>
          <w:szCs w:val="22"/>
        </w:rPr>
      </w:pPr>
      <w:r w:rsidRPr="008A3D69">
        <w:rPr>
          <w:rFonts w:ascii="Lato" w:hAnsi="Lato"/>
          <w:szCs w:val="22"/>
        </w:rPr>
        <w:t xml:space="preserve">Gmina Wodzierady </w:t>
      </w:r>
      <w:r w:rsidRPr="00AD52FF">
        <w:rPr>
          <w:rFonts w:ascii="Lato" w:hAnsi="Lato"/>
          <w:szCs w:val="22"/>
        </w:rPr>
        <w:t>nie posiada powiązań sieci</w:t>
      </w:r>
      <w:r>
        <w:rPr>
          <w:rFonts w:ascii="Lato" w:hAnsi="Lato"/>
          <w:szCs w:val="22"/>
        </w:rPr>
        <w:t>owych systemów energetycznych z </w:t>
      </w:r>
      <w:r w:rsidRPr="00853050">
        <w:rPr>
          <w:rFonts w:ascii="Lato" w:hAnsi="Lato"/>
          <w:szCs w:val="22"/>
        </w:rPr>
        <w:t>Gminą Pabianice.</w:t>
      </w:r>
      <w:r w:rsidR="002F538E">
        <w:rPr>
          <w:rFonts w:ascii="Lato" w:hAnsi="Lato"/>
          <w:szCs w:val="22"/>
        </w:rPr>
        <w:t xml:space="preserve"> </w:t>
      </w:r>
      <w:r w:rsidRPr="008A3D69">
        <w:rPr>
          <w:rFonts w:ascii="Lato" w:hAnsi="Lato"/>
          <w:szCs w:val="22"/>
        </w:rPr>
        <w:t>Gmina Wodzierady nie posiada założeń do planu zaopatrzenia w ciepło, energię elektryczną i paliwa gazowe.</w:t>
      </w:r>
    </w:p>
    <w:p w:rsidR="00053A2A" w:rsidRDefault="00053A2A" w:rsidP="00053A2A">
      <w:pPr>
        <w:ind w:firstLine="709"/>
        <w:jc w:val="both"/>
        <w:rPr>
          <w:rFonts w:ascii="Lato" w:hAnsi="Lato"/>
          <w:szCs w:val="22"/>
        </w:rPr>
      </w:pPr>
    </w:p>
    <w:p w:rsidR="00053A2A" w:rsidRPr="009A760E" w:rsidRDefault="00053A2A" w:rsidP="00053A2A">
      <w:pPr>
        <w:ind w:firstLine="709"/>
        <w:jc w:val="both"/>
        <w:rPr>
          <w:rFonts w:ascii="Lato" w:hAnsi="Lato"/>
          <w:b/>
          <w:szCs w:val="22"/>
        </w:rPr>
      </w:pPr>
      <w:r w:rsidRPr="009A760E">
        <w:rPr>
          <w:rFonts w:ascii="Lato" w:hAnsi="Lato"/>
          <w:b/>
          <w:szCs w:val="22"/>
        </w:rPr>
        <w:t>Gmina Lutomiersk</w:t>
      </w:r>
    </w:p>
    <w:p w:rsidR="00053A2A" w:rsidRDefault="00053A2A" w:rsidP="00053A2A">
      <w:pPr>
        <w:ind w:firstLine="709"/>
        <w:jc w:val="both"/>
        <w:rPr>
          <w:rFonts w:ascii="Lato" w:hAnsi="Lato"/>
          <w:szCs w:val="22"/>
        </w:rPr>
      </w:pPr>
      <w:r w:rsidRPr="009A760E">
        <w:rPr>
          <w:rFonts w:ascii="Lato" w:hAnsi="Lato"/>
          <w:szCs w:val="22"/>
        </w:rPr>
        <w:t>Gmina Lutomiersk posiada powiązania sieciowe systemów energetycznych z Gminą Pabianice linią elektroenergetyczną o napięciu 220 kV.</w:t>
      </w:r>
    </w:p>
    <w:p w:rsidR="00053A2A" w:rsidRPr="009A760E" w:rsidRDefault="00053A2A" w:rsidP="00053A2A">
      <w:pPr>
        <w:ind w:firstLine="709"/>
        <w:jc w:val="both"/>
        <w:rPr>
          <w:rFonts w:ascii="Lato" w:hAnsi="Lato"/>
          <w:szCs w:val="22"/>
        </w:rPr>
      </w:pPr>
      <w:r w:rsidRPr="009A760E">
        <w:rPr>
          <w:rFonts w:ascii="Lato" w:hAnsi="Lato"/>
          <w:szCs w:val="22"/>
        </w:rPr>
        <w:t>Gmina Lutomiersk posiada projekt założeń do planu zaopatrzenia w ciepło, energię elektryczną i paliwa gazowe.</w:t>
      </w:r>
    </w:p>
    <w:p w:rsidR="00053A2A" w:rsidRPr="009A760E" w:rsidRDefault="00053A2A" w:rsidP="00053A2A">
      <w:pPr>
        <w:ind w:firstLine="709"/>
        <w:jc w:val="both"/>
        <w:rPr>
          <w:rFonts w:ascii="Lato" w:hAnsi="Lato"/>
          <w:szCs w:val="22"/>
        </w:rPr>
      </w:pPr>
    </w:p>
    <w:p w:rsidR="00053A2A" w:rsidRPr="009A760E" w:rsidRDefault="00053A2A" w:rsidP="00053A2A">
      <w:pPr>
        <w:ind w:firstLine="709"/>
        <w:jc w:val="both"/>
        <w:rPr>
          <w:rFonts w:ascii="Lato" w:hAnsi="Lato"/>
          <w:b/>
          <w:szCs w:val="22"/>
        </w:rPr>
      </w:pPr>
      <w:r w:rsidRPr="009A760E">
        <w:rPr>
          <w:rFonts w:ascii="Lato" w:hAnsi="Lato"/>
          <w:b/>
          <w:szCs w:val="22"/>
        </w:rPr>
        <w:t>Gmina Dobroń</w:t>
      </w:r>
    </w:p>
    <w:p w:rsidR="00053A2A" w:rsidRDefault="00053A2A" w:rsidP="00053A2A">
      <w:pPr>
        <w:ind w:firstLine="709"/>
        <w:jc w:val="both"/>
        <w:rPr>
          <w:rFonts w:ascii="Lato" w:hAnsi="Lato"/>
          <w:szCs w:val="22"/>
        </w:rPr>
      </w:pPr>
      <w:r w:rsidRPr="00830340">
        <w:rPr>
          <w:rFonts w:ascii="Lato" w:hAnsi="Lato"/>
          <w:szCs w:val="22"/>
        </w:rPr>
        <w:t>Gmina Dobroń posiada powiązania sieciowe systemów energetycznych z Gminą Pabianice linią elektroenergetyczną wysokiego napięcia.</w:t>
      </w:r>
    </w:p>
    <w:p w:rsidR="00053A2A" w:rsidRPr="009A760E" w:rsidRDefault="00053A2A" w:rsidP="00053A2A">
      <w:pPr>
        <w:ind w:firstLine="709"/>
        <w:jc w:val="both"/>
        <w:rPr>
          <w:rFonts w:ascii="Lato" w:hAnsi="Lato"/>
          <w:szCs w:val="22"/>
        </w:rPr>
      </w:pPr>
      <w:r w:rsidRPr="009A760E">
        <w:rPr>
          <w:rFonts w:ascii="Lato" w:hAnsi="Lato"/>
          <w:szCs w:val="22"/>
        </w:rPr>
        <w:t>Gmina Dobroń nie posiada projektu założeń do planu zaopatrzenia w ciepło, energię elektryczną i paliwa gazowe.</w:t>
      </w:r>
    </w:p>
    <w:p w:rsidR="00BA2D6D" w:rsidRPr="00757B48" w:rsidRDefault="00132DEB" w:rsidP="00AB431C">
      <w:pPr>
        <w:pStyle w:val="Nagwek1"/>
        <w:numPr>
          <w:ilvl w:val="0"/>
          <w:numId w:val="38"/>
        </w:numPr>
        <w:spacing w:after="480" w:line="276" w:lineRule="auto"/>
        <w:ind w:left="425" w:hanging="425"/>
        <w:jc w:val="both"/>
        <w:rPr>
          <w:rFonts w:ascii="Lato" w:hAnsi="Lato"/>
          <w:b w:val="0"/>
          <w:i w:val="0"/>
          <w:color w:val="365F91"/>
        </w:rPr>
      </w:pPr>
      <w:r w:rsidRPr="00D352C4">
        <w:rPr>
          <w:rFonts w:ascii="Lato" w:hAnsi="Lato"/>
          <w:b w:val="0"/>
          <w:i w:val="0"/>
          <w:color w:val="365F91"/>
          <w:highlight w:val="yellow"/>
        </w:rPr>
        <w:br w:type="page"/>
      </w:r>
      <w:bookmarkStart w:id="406" w:name="_Toc20218527"/>
      <w:r w:rsidR="00BA2D6D" w:rsidRPr="00757B48">
        <w:rPr>
          <w:rFonts w:ascii="Lato" w:hAnsi="Lato"/>
          <w:b w:val="0"/>
          <w:i w:val="0"/>
          <w:color w:val="365F91"/>
        </w:rPr>
        <w:lastRenderedPageBreak/>
        <w:t>Przewidywane zmiany zapotrzebowania na ciepło energię elektryczną i paliwa gazowe do roku 203</w:t>
      </w:r>
      <w:r w:rsidR="007623E7" w:rsidRPr="00757B48">
        <w:rPr>
          <w:rFonts w:ascii="Lato" w:hAnsi="Lato"/>
          <w:b w:val="0"/>
          <w:i w:val="0"/>
          <w:color w:val="365F91"/>
        </w:rPr>
        <w:t>5</w:t>
      </w:r>
      <w:r w:rsidR="00BA2D6D" w:rsidRPr="00757B48">
        <w:rPr>
          <w:rFonts w:ascii="Lato" w:hAnsi="Lato"/>
          <w:b w:val="0"/>
          <w:i w:val="0"/>
          <w:color w:val="365F91"/>
        </w:rPr>
        <w:t xml:space="preserve"> zgodnie z przyjętymi założeniami rozwoju</w:t>
      </w:r>
      <w:bookmarkEnd w:id="406"/>
    </w:p>
    <w:p w:rsidR="006B024A" w:rsidRPr="00757B48" w:rsidRDefault="006B024A" w:rsidP="00907272">
      <w:pPr>
        <w:pStyle w:val="Nagwek2"/>
        <w:rPr>
          <w:rFonts w:ascii="Lato" w:hAnsi="Lato" w:cs="Times New Roman"/>
        </w:rPr>
      </w:pPr>
      <w:bookmarkStart w:id="407" w:name="_Toc272527109"/>
      <w:bookmarkStart w:id="408" w:name="_Toc336419331"/>
      <w:bookmarkStart w:id="409" w:name="_Toc336943583"/>
      <w:bookmarkStart w:id="410" w:name="_Toc20218528"/>
      <w:bookmarkEnd w:id="402"/>
      <w:bookmarkEnd w:id="403"/>
      <w:bookmarkEnd w:id="404"/>
      <w:r w:rsidRPr="00757B48">
        <w:rPr>
          <w:rFonts w:ascii="Lato" w:hAnsi="Lato" w:cs="Times New Roman"/>
        </w:rPr>
        <w:t xml:space="preserve">Wyjściowe założenia rozwoju społeczno-gospodarczego </w:t>
      </w:r>
      <w:r w:rsidR="00A32F52" w:rsidRPr="00757B48">
        <w:rPr>
          <w:rFonts w:ascii="Lato" w:hAnsi="Lato" w:cs="Times New Roman"/>
        </w:rPr>
        <w:t>gminy</w:t>
      </w:r>
      <w:r w:rsidRPr="00757B48">
        <w:rPr>
          <w:rFonts w:ascii="Lato" w:hAnsi="Lato" w:cs="Times New Roman"/>
        </w:rPr>
        <w:t xml:space="preserve"> do roku 203</w:t>
      </w:r>
      <w:bookmarkEnd w:id="407"/>
      <w:bookmarkEnd w:id="408"/>
      <w:bookmarkEnd w:id="409"/>
      <w:r w:rsidR="007623E7" w:rsidRPr="00757B48">
        <w:rPr>
          <w:rFonts w:ascii="Lato" w:hAnsi="Lato" w:cs="Times New Roman"/>
        </w:rPr>
        <w:t>5</w:t>
      </w:r>
      <w:bookmarkEnd w:id="410"/>
    </w:p>
    <w:p w:rsidR="00510E6D" w:rsidRPr="002A6BB0" w:rsidRDefault="00510E6D" w:rsidP="00F56118">
      <w:pPr>
        <w:ind w:firstLine="709"/>
        <w:jc w:val="both"/>
        <w:rPr>
          <w:rFonts w:ascii="Lato" w:hAnsi="Lato"/>
        </w:rPr>
      </w:pPr>
      <w:r w:rsidRPr="002A6BB0">
        <w:rPr>
          <w:rFonts w:ascii="Lato" w:hAnsi="Lato"/>
        </w:rPr>
        <w:t xml:space="preserve">Podstawą do projektu założeń do planu zaopatrzenia </w:t>
      </w:r>
      <w:r w:rsidR="00D03562">
        <w:rPr>
          <w:rFonts w:ascii="Lato" w:hAnsi="Lato"/>
        </w:rPr>
        <w:t>w ciepło, energię elektryczną i </w:t>
      </w:r>
      <w:r w:rsidRPr="002A6BB0">
        <w:rPr>
          <w:rFonts w:ascii="Lato" w:hAnsi="Lato"/>
        </w:rPr>
        <w:t xml:space="preserve">paliwa gazowe dla Gminy </w:t>
      </w:r>
      <w:r w:rsidR="002A6BB0" w:rsidRPr="002A6BB0">
        <w:rPr>
          <w:rFonts w:ascii="Lato" w:hAnsi="Lato"/>
        </w:rPr>
        <w:t>Pabiani</w:t>
      </w:r>
      <w:r w:rsidRPr="002A6BB0">
        <w:rPr>
          <w:rFonts w:ascii="Lato" w:hAnsi="Lato"/>
        </w:rPr>
        <w:t>ce są założenia rozwoju społeczno-gospodarczego, bowiem przyjęcie tych założeń spowoduje określoną potrzebę rozwoju infrastruktury energetycznej gminy. Założenia rozwoju społeczno-gospodarczego wyznaczają również kierunki zagospodarowania przestrzennego w Studium Uwarunkowań i Kierunków Zagospodarowania Przestrzennego oraz Planach Miejscowych.</w:t>
      </w:r>
    </w:p>
    <w:p w:rsidR="00510E6D" w:rsidRPr="002A6BB0" w:rsidRDefault="00510E6D" w:rsidP="00F56118">
      <w:pPr>
        <w:ind w:firstLine="709"/>
        <w:jc w:val="both"/>
        <w:rPr>
          <w:rFonts w:ascii="Lato" w:hAnsi="Lato"/>
        </w:rPr>
      </w:pPr>
      <w:r w:rsidRPr="002A6BB0">
        <w:rPr>
          <w:rFonts w:ascii="Lato" w:hAnsi="Lato"/>
        </w:rPr>
        <w:t>Na potrzeby założeń do planu zaopatrzenia w energię opracowano</w:t>
      </w:r>
      <w:r w:rsidR="00F56118" w:rsidRPr="002A6BB0">
        <w:rPr>
          <w:rFonts w:ascii="Lato" w:hAnsi="Lato"/>
        </w:rPr>
        <w:t xml:space="preserve"> własne scenariusze wychodząc z </w:t>
      </w:r>
      <w:r w:rsidRPr="002A6BB0">
        <w:rPr>
          <w:rFonts w:ascii="Lato" w:hAnsi="Lato"/>
        </w:rPr>
        <w:t xml:space="preserve">dostępnych informacji oraz ogólnych prognoz i strategii społeczno-gospodarczego rozwoju kraju dostosowanych do specyfiki Gminy </w:t>
      </w:r>
      <w:r w:rsidR="002A6BB0" w:rsidRPr="002A6BB0">
        <w:rPr>
          <w:rFonts w:ascii="Lato" w:hAnsi="Lato"/>
        </w:rPr>
        <w:t>Pabianice</w:t>
      </w:r>
      <w:r w:rsidRPr="002A6BB0">
        <w:rPr>
          <w:rFonts w:ascii="Lato" w:hAnsi="Lato"/>
        </w:rPr>
        <w:t>. Do dalszych analiz przyję</w:t>
      </w:r>
      <w:r w:rsidR="00F56118" w:rsidRPr="002A6BB0">
        <w:rPr>
          <w:rFonts w:ascii="Lato" w:hAnsi="Lato"/>
        </w:rPr>
        <w:t>to założenie, że rozwój gminy w </w:t>
      </w:r>
      <w:r w:rsidRPr="002A6BB0">
        <w:rPr>
          <w:rFonts w:ascii="Lato" w:hAnsi="Lato"/>
        </w:rPr>
        <w:t>zakresie społecznym oraz handlu i usług będzie się odbywał zgodnie z Polityką Energetyczną Polski do 2030 roku przyjętą</w:t>
      </w:r>
      <w:r w:rsidR="00A342D0">
        <w:rPr>
          <w:rFonts w:ascii="Lato" w:hAnsi="Lato"/>
        </w:rPr>
        <w:t xml:space="preserve"> przez Radę Ministrów uchwałą z </w:t>
      </w:r>
      <w:r w:rsidRPr="002A6BB0">
        <w:rPr>
          <w:rFonts w:ascii="Lato" w:hAnsi="Lato"/>
        </w:rPr>
        <w:t xml:space="preserve">dnia 10 listopada 2009 roku. </w:t>
      </w:r>
    </w:p>
    <w:p w:rsidR="006B024A" w:rsidRPr="002A6BB0" w:rsidRDefault="00510E6D" w:rsidP="00A63E0C">
      <w:pPr>
        <w:spacing w:after="240"/>
        <w:ind w:firstLine="709"/>
        <w:jc w:val="both"/>
        <w:rPr>
          <w:rFonts w:ascii="Lato" w:hAnsi="Lato"/>
        </w:rPr>
      </w:pPr>
      <w:r w:rsidRPr="002A6BB0">
        <w:rPr>
          <w:rFonts w:ascii="Lato" w:hAnsi="Lato"/>
        </w:rPr>
        <w:t xml:space="preserve">Na podstawie danych zawartych w ogólnej charakterystyce trendów społeczno-gospodarczych gminy zawartych w rozdziale 1 przedstawiono trzy scenariusze rozwoju społeczno-gospodarczego Gminy </w:t>
      </w:r>
      <w:r w:rsidR="002A6BB0" w:rsidRPr="002A6BB0">
        <w:rPr>
          <w:rFonts w:ascii="Lato" w:hAnsi="Lato"/>
        </w:rPr>
        <w:t>Pabianice</w:t>
      </w:r>
      <w:r w:rsidRPr="002A6BB0">
        <w:rPr>
          <w:rFonts w:ascii="Lato" w:hAnsi="Lato"/>
        </w:rPr>
        <w:t xml:space="preserve"> do 2035 roku tzn. pasywny, umiarkowany oraz aktywny. Poniżej opisano założenia jakie przyjęto w poszczególnych scenariuszach.</w:t>
      </w:r>
    </w:p>
    <w:p w:rsidR="00510E6D" w:rsidRPr="002A6BB0" w:rsidRDefault="00510E6D" w:rsidP="00510E6D">
      <w:pPr>
        <w:pStyle w:val="Lista2"/>
        <w:tabs>
          <w:tab w:val="left" w:pos="540"/>
        </w:tabs>
        <w:ind w:left="0" w:firstLine="0"/>
        <w:jc w:val="both"/>
        <w:rPr>
          <w:rFonts w:ascii="Lato" w:hAnsi="Lato"/>
          <w:sz w:val="22"/>
        </w:rPr>
      </w:pPr>
      <w:r w:rsidRPr="002A6BB0">
        <w:rPr>
          <w:rFonts w:ascii="Lato" w:hAnsi="Lato"/>
          <w:b/>
          <w:sz w:val="22"/>
        </w:rPr>
        <w:t xml:space="preserve">Scenariusz A – „Pasywny” </w:t>
      </w:r>
      <w:r w:rsidRPr="002A6BB0">
        <w:rPr>
          <w:rFonts w:ascii="Lato" w:hAnsi="Lato"/>
          <w:sz w:val="22"/>
        </w:rPr>
        <w:t xml:space="preserve">– zakłada się w nim, że nowe obszary przeznaczone pod zabudowę mieszkaniową, usługową oraz zabudowę usługowo-produkcyjną zostaną zagospodarowane w 10%. </w:t>
      </w:r>
      <w:r w:rsidR="008E7167" w:rsidRPr="002A6BB0">
        <w:rPr>
          <w:rFonts w:ascii="Lato" w:hAnsi="Lato"/>
          <w:sz w:val="22"/>
        </w:rPr>
        <w:t>W </w:t>
      </w:r>
      <w:r w:rsidRPr="002A6BB0">
        <w:rPr>
          <w:rFonts w:ascii="Lato" w:hAnsi="Lato"/>
          <w:sz w:val="22"/>
        </w:rPr>
        <w:t>zakresie zagospodarowania obszarów posłużono się wytycznymi Studium Uwarunkowań i Kierunków Zagospodarowania Przestrzenn</w:t>
      </w:r>
      <w:r w:rsidR="00D03562">
        <w:rPr>
          <w:rFonts w:ascii="Lato" w:hAnsi="Lato"/>
          <w:sz w:val="22"/>
        </w:rPr>
        <w:t>ego oraz Planami Miejscowymi. W </w:t>
      </w:r>
      <w:r w:rsidRPr="002A6BB0">
        <w:rPr>
          <w:rFonts w:ascii="Lato" w:hAnsi="Lato"/>
          <w:sz w:val="22"/>
        </w:rPr>
        <w:t>gminie udaje się wygenerować trwałe podstawy rozwojowe w niewielkim zakresie (brak czynników napędzających rozwój); pojawią się negatywne trendy w gospodarce tj. zwiększenie bezrobocia; spowolnienie wzrostu liczby podmiotów gospodarczych; małe zainteresowanie inwestorów terenami pod handel, usługi oraz produkcję.</w:t>
      </w:r>
    </w:p>
    <w:p w:rsidR="00510E6D" w:rsidRPr="002A6BB0" w:rsidRDefault="00510E6D" w:rsidP="00510E6D">
      <w:pPr>
        <w:pStyle w:val="Lista2"/>
        <w:tabs>
          <w:tab w:val="left" w:pos="540"/>
        </w:tabs>
        <w:ind w:left="0" w:firstLine="0"/>
        <w:jc w:val="both"/>
        <w:rPr>
          <w:rFonts w:ascii="Lato" w:hAnsi="Lato"/>
          <w:sz w:val="22"/>
        </w:rPr>
      </w:pPr>
      <w:r w:rsidRPr="002A6BB0">
        <w:rPr>
          <w:rFonts w:ascii="Lato" w:hAnsi="Lato"/>
          <w:sz w:val="22"/>
        </w:rPr>
        <w:t>Wszystkie te elementy wpływają na nieznaczne podnoszenie się poziomu życia. Scenari</w:t>
      </w:r>
      <w:r w:rsidR="00D03562">
        <w:rPr>
          <w:rFonts w:ascii="Lato" w:hAnsi="Lato"/>
          <w:sz w:val="22"/>
        </w:rPr>
        <w:t>usz ten </w:t>
      </w:r>
      <w:r w:rsidRPr="002A6BB0">
        <w:rPr>
          <w:rFonts w:ascii="Lato" w:hAnsi="Lato"/>
          <w:sz w:val="22"/>
        </w:rPr>
        <w:t xml:space="preserve">charakteryzuje się wprowadzaniem przedsięwzięć racjonalizujących zużycie nośników energii przez odbiorców komunalnych: do celów grzewczych w niewielkim stopniu oraz niewielkim wzrostem zużycia energii elektrycznej o około </w:t>
      </w:r>
      <w:r w:rsidR="00CD1E61">
        <w:rPr>
          <w:rFonts w:ascii="Lato" w:hAnsi="Lato"/>
          <w:sz w:val="22"/>
        </w:rPr>
        <w:t>4</w:t>
      </w:r>
      <w:r w:rsidRPr="002A6BB0">
        <w:rPr>
          <w:rFonts w:ascii="Lato" w:hAnsi="Lato"/>
          <w:sz w:val="22"/>
        </w:rPr>
        <w:t>%.</w:t>
      </w:r>
    </w:p>
    <w:p w:rsidR="00510E6D" w:rsidRPr="002A6BB0" w:rsidRDefault="00510E6D" w:rsidP="00510E6D">
      <w:pPr>
        <w:pStyle w:val="Lista2"/>
        <w:tabs>
          <w:tab w:val="left" w:pos="540"/>
        </w:tabs>
        <w:ind w:left="0" w:firstLine="0"/>
        <w:jc w:val="both"/>
        <w:rPr>
          <w:rFonts w:ascii="Lato" w:hAnsi="Lato"/>
          <w:sz w:val="22"/>
        </w:rPr>
      </w:pPr>
      <w:r w:rsidRPr="002A6BB0">
        <w:rPr>
          <w:rFonts w:ascii="Lato" w:hAnsi="Lato"/>
          <w:sz w:val="22"/>
        </w:rPr>
        <w:t xml:space="preserve">Budynki użyteczności publicznej administrowane głównie przez gminę zostaną zmodernizowane w niewielkim stopniu. Zaobserwuje się także zwiększone wykorzystanie paliw węglowych do ogrzewania i wytwarzania c. w. u. Racjonalizacja zużycia energii w budynkach użyteczności publicznej na poziomie ok. </w:t>
      </w:r>
      <w:r w:rsidR="00D47C2E" w:rsidRPr="002A6BB0">
        <w:rPr>
          <w:rFonts w:ascii="Lato" w:hAnsi="Lato"/>
          <w:sz w:val="22"/>
        </w:rPr>
        <w:t>4</w:t>
      </w:r>
      <w:r w:rsidRPr="002A6BB0">
        <w:rPr>
          <w:rFonts w:ascii="Lato" w:hAnsi="Lato"/>
          <w:sz w:val="22"/>
        </w:rPr>
        <w:t>%. Racjonalizacja zużycia energii w sekt</w:t>
      </w:r>
      <w:r w:rsidR="002A6BB0" w:rsidRPr="002A6BB0">
        <w:rPr>
          <w:rFonts w:ascii="Lato" w:hAnsi="Lato"/>
          <w:sz w:val="22"/>
        </w:rPr>
        <w:t>orze usług, handlu, rzemiosła i </w:t>
      </w:r>
      <w:r w:rsidRPr="002A6BB0">
        <w:rPr>
          <w:rFonts w:ascii="Lato" w:hAnsi="Lato"/>
          <w:sz w:val="22"/>
        </w:rPr>
        <w:t>przemysłu na niskim poziomie, ok. 4%.</w:t>
      </w:r>
    </w:p>
    <w:p w:rsidR="00510E6D" w:rsidRPr="002A6BB0" w:rsidRDefault="00510E6D" w:rsidP="00DB35F5">
      <w:pPr>
        <w:pStyle w:val="Lista2"/>
        <w:tabs>
          <w:tab w:val="left" w:pos="540"/>
        </w:tabs>
        <w:spacing w:after="240"/>
        <w:ind w:left="0" w:firstLine="0"/>
        <w:jc w:val="both"/>
        <w:rPr>
          <w:rFonts w:ascii="Lato" w:hAnsi="Lato"/>
          <w:sz w:val="22"/>
        </w:rPr>
      </w:pPr>
      <w:r w:rsidRPr="002A6BB0">
        <w:rPr>
          <w:rFonts w:ascii="Lato" w:hAnsi="Lato"/>
          <w:sz w:val="22"/>
        </w:rPr>
        <w:t xml:space="preserve">W poniższej tabeli zestawiono obszary, które w scenariuszu A zostają w pełni zagospodarowane zgodnie z ww. założeniami. </w:t>
      </w:r>
    </w:p>
    <w:p w:rsidR="006B024A" w:rsidRPr="00D352C4" w:rsidRDefault="006B024A" w:rsidP="007A6F43">
      <w:pPr>
        <w:pStyle w:val="Legenda"/>
        <w:rPr>
          <w:rFonts w:ascii="Lato" w:hAnsi="Lato"/>
          <w:color w:val="365F91"/>
          <w:sz w:val="20"/>
          <w:szCs w:val="20"/>
          <w:highlight w:val="yellow"/>
        </w:rPr>
      </w:pPr>
      <w:bookmarkStart w:id="411" w:name="_Toc336419484"/>
      <w:bookmarkStart w:id="412" w:name="_Toc336943651"/>
      <w:bookmarkStart w:id="413" w:name="_Toc20219190"/>
      <w:r w:rsidRPr="002A6BB0">
        <w:rPr>
          <w:rFonts w:ascii="Lato" w:hAnsi="Lato"/>
          <w:bCs/>
          <w:color w:val="365F91"/>
          <w:sz w:val="20"/>
          <w:szCs w:val="20"/>
        </w:rPr>
        <w:lastRenderedPageBreak/>
        <w:t xml:space="preserve">Tabela </w:t>
      </w:r>
      <w:r w:rsidR="004042AE" w:rsidRPr="002A6BB0">
        <w:rPr>
          <w:rFonts w:ascii="Lato" w:hAnsi="Lato"/>
          <w:bCs/>
          <w:color w:val="365F91"/>
          <w:sz w:val="20"/>
          <w:szCs w:val="20"/>
        </w:rPr>
        <w:fldChar w:fldCharType="begin"/>
      </w:r>
      <w:r w:rsidR="005430ED" w:rsidRPr="002A6BB0">
        <w:rPr>
          <w:rFonts w:ascii="Lato" w:hAnsi="Lato"/>
          <w:bCs/>
          <w:color w:val="365F91"/>
          <w:sz w:val="20"/>
          <w:szCs w:val="20"/>
        </w:rPr>
        <w:instrText xml:space="preserve"> STYLEREF 1 \s </w:instrText>
      </w:r>
      <w:r w:rsidR="004042AE" w:rsidRPr="002A6BB0">
        <w:rPr>
          <w:rFonts w:ascii="Lato" w:hAnsi="Lato"/>
          <w:bCs/>
          <w:color w:val="365F91"/>
          <w:sz w:val="20"/>
          <w:szCs w:val="20"/>
        </w:rPr>
        <w:fldChar w:fldCharType="separate"/>
      </w:r>
      <w:r w:rsidR="0040205B">
        <w:rPr>
          <w:rFonts w:ascii="Lato" w:hAnsi="Lato"/>
          <w:bCs/>
          <w:noProof/>
          <w:color w:val="365F91"/>
          <w:sz w:val="20"/>
          <w:szCs w:val="20"/>
        </w:rPr>
        <w:t>5</w:t>
      </w:r>
      <w:r w:rsidR="004042AE" w:rsidRPr="002A6BB0">
        <w:rPr>
          <w:rFonts w:ascii="Lato" w:hAnsi="Lato"/>
          <w:bCs/>
          <w:color w:val="365F91"/>
          <w:sz w:val="20"/>
          <w:szCs w:val="20"/>
        </w:rPr>
        <w:fldChar w:fldCharType="end"/>
      </w:r>
      <w:r w:rsidR="005430ED" w:rsidRPr="002A6BB0">
        <w:rPr>
          <w:rFonts w:ascii="Lato" w:hAnsi="Lato"/>
          <w:bCs/>
          <w:color w:val="365F91"/>
          <w:sz w:val="20"/>
          <w:szCs w:val="20"/>
        </w:rPr>
        <w:noBreakHyphen/>
      </w:r>
      <w:r w:rsidR="004042AE" w:rsidRPr="002A6BB0">
        <w:rPr>
          <w:rFonts w:ascii="Lato" w:hAnsi="Lato"/>
          <w:bCs/>
          <w:color w:val="365F91"/>
          <w:sz w:val="20"/>
          <w:szCs w:val="20"/>
        </w:rPr>
        <w:fldChar w:fldCharType="begin"/>
      </w:r>
      <w:r w:rsidR="005430ED" w:rsidRPr="002A6BB0">
        <w:rPr>
          <w:rFonts w:ascii="Lato" w:hAnsi="Lato"/>
          <w:bCs/>
          <w:color w:val="365F91"/>
          <w:sz w:val="20"/>
          <w:szCs w:val="20"/>
        </w:rPr>
        <w:instrText xml:space="preserve"> SEQ Tabela \* ARABIC \s 1 </w:instrText>
      </w:r>
      <w:r w:rsidR="004042AE" w:rsidRPr="002A6BB0">
        <w:rPr>
          <w:rFonts w:ascii="Lato" w:hAnsi="Lato"/>
          <w:bCs/>
          <w:color w:val="365F91"/>
          <w:sz w:val="20"/>
          <w:szCs w:val="20"/>
        </w:rPr>
        <w:fldChar w:fldCharType="separate"/>
      </w:r>
      <w:r w:rsidR="0040205B">
        <w:rPr>
          <w:rFonts w:ascii="Lato" w:hAnsi="Lato"/>
          <w:bCs/>
          <w:noProof/>
          <w:color w:val="365F91"/>
          <w:sz w:val="20"/>
          <w:szCs w:val="20"/>
        </w:rPr>
        <w:t>1</w:t>
      </w:r>
      <w:r w:rsidR="004042AE" w:rsidRPr="002A6BB0">
        <w:rPr>
          <w:rFonts w:ascii="Lato" w:hAnsi="Lato"/>
          <w:bCs/>
          <w:color w:val="365F91"/>
          <w:sz w:val="20"/>
          <w:szCs w:val="20"/>
        </w:rPr>
        <w:fldChar w:fldCharType="end"/>
      </w:r>
      <w:r w:rsidRPr="002A6BB0">
        <w:rPr>
          <w:rFonts w:ascii="Lato" w:hAnsi="Lato"/>
          <w:color w:val="365F91"/>
          <w:sz w:val="20"/>
          <w:szCs w:val="20"/>
        </w:rPr>
        <w:t xml:space="preserve"> Zestawienie obszarów przyjętych w scenariuszu </w:t>
      </w:r>
      <w:r w:rsidR="008E7167" w:rsidRPr="002A6BB0">
        <w:rPr>
          <w:rFonts w:ascii="Lato" w:hAnsi="Lato"/>
          <w:color w:val="365F91"/>
          <w:sz w:val="20"/>
          <w:szCs w:val="20"/>
          <w:lang w:val="pl-PL"/>
        </w:rPr>
        <w:t xml:space="preserve">A </w:t>
      </w:r>
      <w:r w:rsidRPr="002A6BB0">
        <w:rPr>
          <w:rFonts w:ascii="Lato" w:hAnsi="Lato"/>
          <w:color w:val="365F91"/>
          <w:sz w:val="20"/>
          <w:szCs w:val="20"/>
        </w:rPr>
        <w:t>do zagospodarowania do 203</w:t>
      </w:r>
      <w:bookmarkEnd w:id="411"/>
      <w:bookmarkEnd w:id="412"/>
      <w:r w:rsidR="00B5219E" w:rsidRPr="002A6BB0">
        <w:rPr>
          <w:rFonts w:ascii="Lato" w:hAnsi="Lato"/>
          <w:color w:val="365F91"/>
          <w:sz w:val="20"/>
          <w:szCs w:val="20"/>
        </w:rPr>
        <w:t>5</w:t>
      </w:r>
      <w:bookmarkEnd w:id="413"/>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2058"/>
        <w:gridCol w:w="2864"/>
        <w:gridCol w:w="2216"/>
        <w:gridCol w:w="2415"/>
      </w:tblGrid>
      <w:tr w:rsidR="00F2376C" w:rsidRPr="00B308AC" w:rsidTr="00B5219E">
        <w:trPr>
          <w:trHeight w:val="300"/>
          <w:jc w:val="center"/>
        </w:trPr>
        <w:tc>
          <w:tcPr>
            <w:tcW w:w="5000" w:type="pct"/>
            <w:gridSpan w:val="4"/>
            <w:shd w:val="clear" w:color="000000" w:fill="DBE5F1"/>
            <w:noWrap/>
            <w:vAlign w:val="center"/>
            <w:hideMark/>
          </w:tcPr>
          <w:p w:rsidR="00F2376C" w:rsidRPr="00B308AC" w:rsidRDefault="00F2376C" w:rsidP="00F2376C">
            <w:pPr>
              <w:spacing w:line="240" w:lineRule="auto"/>
              <w:ind w:firstLine="0"/>
              <w:jc w:val="center"/>
              <w:rPr>
                <w:rFonts w:ascii="Lato" w:hAnsi="Lato"/>
                <w:color w:val="1F497D"/>
                <w:sz w:val="20"/>
                <w:szCs w:val="20"/>
              </w:rPr>
            </w:pPr>
            <w:r w:rsidRPr="00B308AC">
              <w:rPr>
                <w:rFonts w:ascii="Lato" w:hAnsi="Lato"/>
                <w:color w:val="1F497D"/>
                <w:sz w:val="20"/>
                <w:szCs w:val="20"/>
              </w:rPr>
              <w:t>Powierzchnia obszarów</w:t>
            </w:r>
          </w:p>
        </w:tc>
      </w:tr>
      <w:tr w:rsidR="00F2376C" w:rsidRPr="00B308AC" w:rsidTr="00B5219E">
        <w:trPr>
          <w:trHeight w:val="525"/>
          <w:jc w:val="center"/>
        </w:trPr>
        <w:tc>
          <w:tcPr>
            <w:tcW w:w="1077" w:type="pct"/>
            <w:shd w:val="clear" w:color="000000" w:fill="DBE5F1"/>
            <w:vAlign w:val="center"/>
            <w:hideMark/>
          </w:tcPr>
          <w:p w:rsidR="00F2376C" w:rsidRPr="00B308AC" w:rsidRDefault="00F2376C" w:rsidP="00F2376C">
            <w:pPr>
              <w:spacing w:line="240" w:lineRule="auto"/>
              <w:ind w:firstLine="0"/>
              <w:jc w:val="center"/>
              <w:rPr>
                <w:rFonts w:ascii="Lato" w:hAnsi="Lato"/>
                <w:color w:val="1F497D"/>
                <w:sz w:val="20"/>
                <w:szCs w:val="20"/>
              </w:rPr>
            </w:pPr>
            <w:r w:rsidRPr="00B308AC">
              <w:rPr>
                <w:rFonts w:ascii="Lato" w:hAnsi="Lato"/>
                <w:color w:val="1F497D"/>
                <w:sz w:val="20"/>
                <w:szCs w:val="20"/>
              </w:rPr>
              <w:t>Razem</w:t>
            </w:r>
          </w:p>
        </w:tc>
        <w:tc>
          <w:tcPr>
            <w:tcW w:w="1499" w:type="pct"/>
            <w:shd w:val="clear" w:color="000000" w:fill="DBE5F1"/>
            <w:vAlign w:val="center"/>
            <w:hideMark/>
          </w:tcPr>
          <w:p w:rsidR="00F2376C" w:rsidRPr="00B308AC" w:rsidRDefault="00F2376C" w:rsidP="00F2376C">
            <w:pPr>
              <w:spacing w:line="240" w:lineRule="auto"/>
              <w:ind w:firstLine="0"/>
              <w:jc w:val="center"/>
              <w:rPr>
                <w:rFonts w:ascii="Lato" w:hAnsi="Lato"/>
                <w:color w:val="1F497D"/>
                <w:sz w:val="20"/>
                <w:szCs w:val="20"/>
              </w:rPr>
            </w:pPr>
            <w:r w:rsidRPr="00B308AC">
              <w:rPr>
                <w:rFonts w:ascii="Lato" w:hAnsi="Lato"/>
                <w:color w:val="1F497D"/>
                <w:sz w:val="20"/>
                <w:szCs w:val="20"/>
              </w:rPr>
              <w:t>Mieszkalnictwo</w:t>
            </w:r>
          </w:p>
        </w:tc>
        <w:tc>
          <w:tcPr>
            <w:tcW w:w="1160" w:type="pct"/>
            <w:shd w:val="clear" w:color="000000" w:fill="DBE5F1"/>
            <w:vAlign w:val="center"/>
            <w:hideMark/>
          </w:tcPr>
          <w:p w:rsidR="00F2376C" w:rsidRPr="00B308AC" w:rsidRDefault="00F2376C" w:rsidP="00F2376C">
            <w:pPr>
              <w:spacing w:line="240" w:lineRule="auto"/>
              <w:ind w:firstLine="0"/>
              <w:jc w:val="center"/>
              <w:rPr>
                <w:rFonts w:ascii="Lato" w:hAnsi="Lato"/>
                <w:color w:val="1F497D"/>
                <w:sz w:val="20"/>
                <w:szCs w:val="20"/>
              </w:rPr>
            </w:pPr>
            <w:r w:rsidRPr="00B308AC">
              <w:rPr>
                <w:rFonts w:ascii="Lato" w:hAnsi="Lato"/>
                <w:color w:val="1F497D"/>
                <w:sz w:val="20"/>
                <w:szCs w:val="20"/>
              </w:rPr>
              <w:t>Usługi</w:t>
            </w:r>
            <w:r w:rsidR="00B308AC" w:rsidRPr="00B308AC">
              <w:rPr>
                <w:rFonts w:ascii="Lato" w:hAnsi="Lato"/>
                <w:color w:val="1F497D"/>
                <w:sz w:val="20"/>
                <w:szCs w:val="20"/>
              </w:rPr>
              <w:t>, przedsiębiorstwa</w:t>
            </w:r>
          </w:p>
        </w:tc>
        <w:tc>
          <w:tcPr>
            <w:tcW w:w="1264" w:type="pct"/>
            <w:shd w:val="clear" w:color="000000" w:fill="DBE5F1"/>
            <w:vAlign w:val="center"/>
            <w:hideMark/>
          </w:tcPr>
          <w:p w:rsidR="00F2376C" w:rsidRPr="00B308AC" w:rsidRDefault="00B308AC" w:rsidP="00F2376C">
            <w:pPr>
              <w:spacing w:line="240" w:lineRule="auto"/>
              <w:ind w:firstLine="0"/>
              <w:jc w:val="center"/>
              <w:rPr>
                <w:rFonts w:ascii="Lato" w:hAnsi="Lato"/>
                <w:color w:val="1F497D"/>
                <w:sz w:val="20"/>
                <w:szCs w:val="20"/>
              </w:rPr>
            </w:pPr>
            <w:r w:rsidRPr="00B308AC">
              <w:rPr>
                <w:rFonts w:ascii="Lato" w:hAnsi="Lato"/>
                <w:color w:val="1F497D"/>
                <w:sz w:val="20"/>
                <w:szCs w:val="20"/>
              </w:rPr>
              <w:t>przedsiębiorstwa</w:t>
            </w:r>
          </w:p>
        </w:tc>
      </w:tr>
      <w:tr w:rsidR="00F2376C" w:rsidRPr="00B308AC" w:rsidTr="00B5219E">
        <w:trPr>
          <w:trHeight w:val="345"/>
          <w:jc w:val="center"/>
        </w:trPr>
        <w:tc>
          <w:tcPr>
            <w:tcW w:w="1077" w:type="pct"/>
            <w:shd w:val="clear" w:color="000000" w:fill="DBE5F1"/>
            <w:vAlign w:val="center"/>
            <w:hideMark/>
          </w:tcPr>
          <w:p w:rsidR="00F2376C" w:rsidRPr="00B308AC" w:rsidRDefault="00D577AA" w:rsidP="00F2376C">
            <w:pPr>
              <w:spacing w:line="240" w:lineRule="auto"/>
              <w:ind w:firstLine="0"/>
              <w:jc w:val="center"/>
              <w:rPr>
                <w:rFonts w:ascii="Lato" w:hAnsi="Lato"/>
                <w:color w:val="1F497D"/>
                <w:sz w:val="20"/>
                <w:szCs w:val="20"/>
              </w:rPr>
            </w:pPr>
            <w:r w:rsidRPr="00B308AC">
              <w:rPr>
                <w:rFonts w:ascii="Lato" w:hAnsi="Lato"/>
                <w:color w:val="1F497D"/>
                <w:sz w:val="20"/>
                <w:szCs w:val="20"/>
              </w:rPr>
              <w:t>ha</w:t>
            </w:r>
          </w:p>
        </w:tc>
        <w:tc>
          <w:tcPr>
            <w:tcW w:w="1499" w:type="pct"/>
            <w:shd w:val="clear" w:color="000000" w:fill="DBE5F1"/>
            <w:vAlign w:val="center"/>
            <w:hideMark/>
          </w:tcPr>
          <w:p w:rsidR="00F2376C" w:rsidRPr="00B308AC" w:rsidRDefault="00D577AA" w:rsidP="00F2376C">
            <w:pPr>
              <w:spacing w:line="240" w:lineRule="auto"/>
              <w:ind w:firstLine="0"/>
              <w:jc w:val="center"/>
              <w:rPr>
                <w:rFonts w:ascii="Lato" w:hAnsi="Lato"/>
                <w:color w:val="1F497D"/>
                <w:sz w:val="20"/>
                <w:szCs w:val="20"/>
              </w:rPr>
            </w:pPr>
            <w:r w:rsidRPr="00B308AC">
              <w:rPr>
                <w:rFonts w:ascii="Lato" w:hAnsi="Lato"/>
                <w:color w:val="1F497D"/>
                <w:sz w:val="20"/>
                <w:szCs w:val="20"/>
              </w:rPr>
              <w:t>ha</w:t>
            </w:r>
          </w:p>
        </w:tc>
        <w:tc>
          <w:tcPr>
            <w:tcW w:w="1160" w:type="pct"/>
            <w:shd w:val="clear" w:color="000000" w:fill="DBE5F1"/>
            <w:vAlign w:val="center"/>
            <w:hideMark/>
          </w:tcPr>
          <w:p w:rsidR="00F2376C" w:rsidRPr="00B308AC" w:rsidRDefault="00D577AA" w:rsidP="00F2376C">
            <w:pPr>
              <w:spacing w:line="240" w:lineRule="auto"/>
              <w:ind w:firstLine="0"/>
              <w:jc w:val="center"/>
              <w:rPr>
                <w:rFonts w:ascii="Lato" w:hAnsi="Lato"/>
                <w:color w:val="1F497D"/>
                <w:sz w:val="20"/>
                <w:szCs w:val="20"/>
              </w:rPr>
            </w:pPr>
            <w:r w:rsidRPr="00B308AC">
              <w:rPr>
                <w:rFonts w:ascii="Lato" w:hAnsi="Lato"/>
                <w:color w:val="1F497D"/>
                <w:sz w:val="20"/>
                <w:szCs w:val="20"/>
              </w:rPr>
              <w:t>ha</w:t>
            </w:r>
          </w:p>
        </w:tc>
        <w:tc>
          <w:tcPr>
            <w:tcW w:w="1264" w:type="pct"/>
            <w:shd w:val="clear" w:color="000000" w:fill="DBE5F1"/>
            <w:vAlign w:val="center"/>
            <w:hideMark/>
          </w:tcPr>
          <w:p w:rsidR="00F2376C" w:rsidRPr="00B308AC" w:rsidRDefault="00D577AA" w:rsidP="00F2376C">
            <w:pPr>
              <w:spacing w:line="240" w:lineRule="auto"/>
              <w:ind w:firstLine="0"/>
              <w:jc w:val="center"/>
              <w:rPr>
                <w:rFonts w:ascii="Lato" w:hAnsi="Lato"/>
                <w:color w:val="1F497D"/>
                <w:sz w:val="20"/>
                <w:szCs w:val="20"/>
              </w:rPr>
            </w:pPr>
            <w:r w:rsidRPr="00B308AC">
              <w:rPr>
                <w:rFonts w:ascii="Lato" w:hAnsi="Lato"/>
                <w:color w:val="1F497D"/>
                <w:sz w:val="20"/>
                <w:szCs w:val="20"/>
              </w:rPr>
              <w:t>ha</w:t>
            </w:r>
          </w:p>
        </w:tc>
      </w:tr>
      <w:tr w:rsidR="00B308AC" w:rsidRPr="00B308AC" w:rsidTr="00B5219E">
        <w:trPr>
          <w:trHeight w:val="570"/>
          <w:jc w:val="center"/>
        </w:trPr>
        <w:tc>
          <w:tcPr>
            <w:tcW w:w="1077" w:type="pct"/>
            <w:tcBorders>
              <w:bottom w:val="single" w:sz="4" w:space="0" w:color="4F81BD"/>
            </w:tcBorders>
            <w:shd w:val="clear" w:color="auto" w:fill="auto"/>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50,86</w:t>
            </w:r>
          </w:p>
        </w:tc>
        <w:tc>
          <w:tcPr>
            <w:tcW w:w="1499" w:type="pct"/>
            <w:tcBorders>
              <w:bottom w:val="single" w:sz="4" w:space="0" w:color="4F81BD"/>
            </w:tcBorders>
            <w:shd w:val="clear" w:color="auto" w:fill="auto"/>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36,76</w:t>
            </w:r>
          </w:p>
        </w:tc>
        <w:tc>
          <w:tcPr>
            <w:tcW w:w="1160" w:type="pct"/>
            <w:tcBorders>
              <w:bottom w:val="single" w:sz="4" w:space="0" w:color="4F81BD"/>
            </w:tcBorders>
            <w:shd w:val="clear" w:color="auto" w:fill="auto"/>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10,11</w:t>
            </w:r>
          </w:p>
        </w:tc>
        <w:tc>
          <w:tcPr>
            <w:tcW w:w="1264" w:type="pct"/>
            <w:tcBorders>
              <w:bottom w:val="single" w:sz="4" w:space="0" w:color="4F81BD"/>
            </w:tcBorders>
            <w:shd w:val="clear" w:color="auto" w:fill="auto"/>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3,99</w:t>
            </w:r>
          </w:p>
        </w:tc>
      </w:tr>
      <w:tr w:rsidR="00F2376C" w:rsidRPr="00B308AC" w:rsidTr="00B5219E">
        <w:trPr>
          <w:trHeight w:val="330"/>
          <w:jc w:val="center"/>
        </w:trPr>
        <w:tc>
          <w:tcPr>
            <w:tcW w:w="5000" w:type="pct"/>
            <w:gridSpan w:val="4"/>
            <w:shd w:val="clear" w:color="000000" w:fill="DBE5F1"/>
            <w:noWrap/>
            <w:vAlign w:val="center"/>
            <w:hideMark/>
          </w:tcPr>
          <w:p w:rsidR="00F2376C" w:rsidRPr="00B308AC" w:rsidRDefault="00F2376C" w:rsidP="00F2376C">
            <w:pPr>
              <w:spacing w:line="240" w:lineRule="auto"/>
              <w:ind w:firstLine="0"/>
              <w:jc w:val="center"/>
              <w:rPr>
                <w:rFonts w:ascii="Lato" w:hAnsi="Lato"/>
                <w:color w:val="1F497D"/>
                <w:sz w:val="20"/>
                <w:szCs w:val="20"/>
              </w:rPr>
            </w:pPr>
            <w:r w:rsidRPr="00B308AC">
              <w:rPr>
                <w:rFonts w:ascii="Lato" w:hAnsi="Lato"/>
                <w:color w:val="1F497D"/>
                <w:sz w:val="20"/>
                <w:szCs w:val="20"/>
              </w:rPr>
              <w:t>Szacunkowa powierzchnia użytkowa budynków</w:t>
            </w:r>
          </w:p>
        </w:tc>
      </w:tr>
      <w:tr w:rsidR="00B308AC" w:rsidRPr="00B308AC" w:rsidTr="00B5219E">
        <w:trPr>
          <w:trHeight w:val="597"/>
          <w:jc w:val="center"/>
        </w:trPr>
        <w:tc>
          <w:tcPr>
            <w:tcW w:w="1077" w:type="pct"/>
            <w:shd w:val="clear" w:color="000000" w:fill="DBE5F1"/>
            <w:vAlign w:val="center"/>
            <w:hideMark/>
          </w:tcPr>
          <w:p w:rsidR="00B308AC" w:rsidRPr="00B308AC" w:rsidRDefault="00B308AC" w:rsidP="00F2376C">
            <w:pPr>
              <w:spacing w:line="240" w:lineRule="auto"/>
              <w:ind w:firstLine="0"/>
              <w:jc w:val="center"/>
              <w:rPr>
                <w:rFonts w:ascii="Lato" w:hAnsi="Lato"/>
                <w:color w:val="1F497D"/>
                <w:sz w:val="20"/>
                <w:szCs w:val="20"/>
              </w:rPr>
            </w:pPr>
            <w:r w:rsidRPr="00B308AC">
              <w:rPr>
                <w:rFonts w:ascii="Lato" w:hAnsi="Lato"/>
                <w:color w:val="1F497D"/>
                <w:sz w:val="20"/>
                <w:szCs w:val="20"/>
              </w:rPr>
              <w:t>Razem</w:t>
            </w:r>
          </w:p>
        </w:tc>
        <w:tc>
          <w:tcPr>
            <w:tcW w:w="1499" w:type="pct"/>
            <w:shd w:val="clear" w:color="000000" w:fill="DBE5F1"/>
            <w:vAlign w:val="center"/>
            <w:hideMark/>
          </w:tcPr>
          <w:p w:rsidR="00B308AC" w:rsidRPr="00B308AC" w:rsidRDefault="00B308AC" w:rsidP="00F2376C">
            <w:pPr>
              <w:spacing w:line="240" w:lineRule="auto"/>
              <w:ind w:firstLine="0"/>
              <w:jc w:val="center"/>
              <w:rPr>
                <w:rFonts w:ascii="Lato" w:hAnsi="Lato"/>
                <w:color w:val="1F497D"/>
                <w:sz w:val="20"/>
                <w:szCs w:val="20"/>
              </w:rPr>
            </w:pPr>
            <w:r w:rsidRPr="00B308AC">
              <w:rPr>
                <w:rFonts w:ascii="Lato" w:hAnsi="Lato"/>
                <w:color w:val="1F497D"/>
                <w:sz w:val="20"/>
                <w:szCs w:val="20"/>
              </w:rPr>
              <w:t>Mieszkalnictwo</w:t>
            </w:r>
          </w:p>
        </w:tc>
        <w:tc>
          <w:tcPr>
            <w:tcW w:w="1160" w:type="pct"/>
            <w:shd w:val="clear" w:color="000000" w:fill="DBE5F1"/>
            <w:vAlign w:val="center"/>
            <w:hideMark/>
          </w:tcPr>
          <w:p w:rsidR="00B308AC" w:rsidRPr="00B308AC" w:rsidRDefault="00B308AC" w:rsidP="00AA7FB4">
            <w:pPr>
              <w:spacing w:line="240" w:lineRule="auto"/>
              <w:ind w:firstLine="0"/>
              <w:jc w:val="center"/>
              <w:rPr>
                <w:rFonts w:ascii="Lato" w:hAnsi="Lato"/>
                <w:color w:val="1F497D"/>
                <w:sz w:val="20"/>
                <w:szCs w:val="20"/>
              </w:rPr>
            </w:pPr>
            <w:r w:rsidRPr="00B308AC">
              <w:rPr>
                <w:rFonts w:ascii="Lato" w:hAnsi="Lato"/>
                <w:color w:val="1F497D"/>
                <w:sz w:val="20"/>
                <w:szCs w:val="20"/>
              </w:rPr>
              <w:t>Usługi, przedsiębiorstwa</w:t>
            </w:r>
          </w:p>
        </w:tc>
        <w:tc>
          <w:tcPr>
            <w:tcW w:w="1264" w:type="pct"/>
            <w:shd w:val="clear" w:color="000000" w:fill="DBE5F1"/>
            <w:vAlign w:val="center"/>
            <w:hideMark/>
          </w:tcPr>
          <w:p w:rsidR="00B308AC" w:rsidRPr="00B308AC" w:rsidRDefault="00B308AC" w:rsidP="00AA7FB4">
            <w:pPr>
              <w:spacing w:line="240" w:lineRule="auto"/>
              <w:ind w:firstLine="0"/>
              <w:jc w:val="center"/>
              <w:rPr>
                <w:rFonts w:ascii="Lato" w:hAnsi="Lato"/>
                <w:color w:val="1F497D"/>
                <w:sz w:val="20"/>
                <w:szCs w:val="20"/>
              </w:rPr>
            </w:pPr>
            <w:r w:rsidRPr="00B308AC">
              <w:rPr>
                <w:rFonts w:ascii="Lato" w:hAnsi="Lato"/>
                <w:color w:val="1F497D"/>
                <w:sz w:val="20"/>
                <w:szCs w:val="20"/>
              </w:rPr>
              <w:t>przedsiębiorstwa</w:t>
            </w:r>
          </w:p>
        </w:tc>
      </w:tr>
      <w:tr w:rsidR="00F2376C" w:rsidRPr="00B308AC" w:rsidTr="00B5219E">
        <w:trPr>
          <w:trHeight w:val="280"/>
          <w:jc w:val="center"/>
        </w:trPr>
        <w:tc>
          <w:tcPr>
            <w:tcW w:w="1077" w:type="pct"/>
            <w:shd w:val="clear" w:color="000000" w:fill="DBE5F1"/>
            <w:vAlign w:val="center"/>
            <w:hideMark/>
          </w:tcPr>
          <w:p w:rsidR="00F2376C" w:rsidRPr="00B308AC" w:rsidRDefault="00F2376C" w:rsidP="00F2376C">
            <w:pPr>
              <w:spacing w:line="240" w:lineRule="auto"/>
              <w:ind w:firstLine="0"/>
              <w:jc w:val="center"/>
              <w:rPr>
                <w:rFonts w:ascii="Lato" w:hAnsi="Lato"/>
                <w:color w:val="1F497D"/>
                <w:sz w:val="20"/>
                <w:szCs w:val="20"/>
              </w:rPr>
            </w:pPr>
            <w:r w:rsidRPr="00B308AC">
              <w:rPr>
                <w:rFonts w:ascii="Lato" w:hAnsi="Lato"/>
                <w:color w:val="1F497D"/>
                <w:sz w:val="20"/>
                <w:szCs w:val="20"/>
              </w:rPr>
              <w:t>m</w:t>
            </w:r>
            <w:r w:rsidRPr="00B308AC">
              <w:rPr>
                <w:rFonts w:ascii="Lato" w:hAnsi="Lato"/>
                <w:color w:val="1F497D"/>
                <w:sz w:val="20"/>
                <w:szCs w:val="20"/>
                <w:vertAlign w:val="superscript"/>
              </w:rPr>
              <w:t>2</w:t>
            </w:r>
          </w:p>
        </w:tc>
        <w:tc>
          <w:tcPr>
            <w:tcW w:w="1499" w:type="pct"/>
            <w:shd w:val="clear" w:color="000000" w:fill="DBE5F1"/>
            <w:vAlign w:val="center"/>
            <w:hideMark/>
          </w:tcPr>
          <w:p w:rsidR="00F2376C" w:rsidRPr="00B308AC" w:rsidRDefault="00F2376C" w:rsidP="00F2376C">
            <w:pPr>
              <w:spacing w:line="240" w:lineRule="auto"/>
              <w:ind w:firstLine="0"/>
              <w:jc w:val="center"/>
              <w:rPr>
                <w:rFonts w:ascii="Lato" w:hAnsi="Lato"/>
                <w:color w:val="1F497D"/>
                <w:sz w:val="20"/>
                <w:szCs w:val="20"/>
              </w:rPr>
            </w:pPr>
            <w:r w:rsidRPr="00B308AC">
              <w:rPr>
                <w:rFonts w:ascii="Lato" w:hAnsi="Lato"/>
                <w:color w:val="1F497D"/>
                <w:sz w:val="20"/>
                <w:szCs w:val="20"/>
              </w:rPr>
              <w:t>m</w:t>
            </w:r>
            <w:r w:rsidRPr="00B308AC">
              <w:rPr>
                <w:rFonts w:ascii="Lato" w:hAnsi="Lato"/>
                <w:color w:val="1F497D"/>
                <w:sz w:val="20"/>
                <w:szCs w:val="20"/>
                <w:vertAlign w:val="superscript"/>
              </w:rPr>
              <w:t>2</w:t>
            </w:r>
          </w:p>
        </w:tc>
        <w:tc>
          <w:tcPr>
            <w:tcW w:w="1160" w:type="pct"/>
            <w:shd w:val="clear" w:color="000000" w:fill="DBE5F1"/>
            <w:vAlign w:val="center"/>
            <w:hideMark/>
          </w:tcPr>
          <w:p w:rsidR="00F2376C" w:rsidRPr="00B308AC" w:rsidRDefault="00F2376C" w:rsidP="00F2376C">
            <w:pPr>
              <w:spacing w:line="240" w:lineRule="auto"/>
              <w:ind w:firstLine="0"/>
              <w:jc w:val="center"/>
              <w:rPr>
                <w:rFonts w:ascii="Lato" w:hAnsi="Lato"/>
                <w:color w:val="1F497D"/>
                <w:sz w:val="20"/>
                <w:szCs w:val="20"/>
              </w:rPr>
            </w:pPr>
            <w:r w:rsidRPr="00B308AC">
              <w:rPr>
                <w:rFonts w:ascii="Lato" w:hAnsi="Lato"/>
                <w:color w:val="1F497D"/>
                <w:sz w:val="20"/>
                <w:szCs w:val="20"/>
              </w:rPr>
              <w:t>m</w:t>
            </w:r>
            <w:r w:rsidRPr="00B308AC">
              <w:rPr>
                <w:rFonts w:ascii="Lato" w:hAnsi="Lato"/>
                <w:color w:val="1F497D"/>
                <w:sz w:val="20"/>
                <w:szCs w:val="20"/>
                <w:vertAlign w:val="superscript"/>
              </w:rPr>
              <w:t>2</w:t>
            </w:r>
          </w:p>
        </w:tc>
        <w:tc>
          <w:tcPr>
            <w:tcW w:w="1264" w:type="pct"/>
            <w:shd w:val="clear" w:color="000000" w:fill="DBE5F1"/>
            <w:vAlign w:val="center"/>
            <w:hideMark/>
          </w:tcPr>
          <w:p w:rsidR="00F2376C" w:rsidRPr="00B308AC" w:rsidRDefault="00F2376C" w:rsidP="00F2376C">
            <w:pPr>
              <w:spacing w:line="240" w:lineRule="auto"/>
              <w:ind w:firstLine="0"/>
              <w:jc w:val="center"/>
              <w:rPr>
                <w:rFonts w:ascii="Lato" w:hAnsi="Lato"/>
                <w:color w:val="1F497D"/>
                <w:sz w:val="20"/>
                <w:szCs w:val="20"/>
              </w:rPr>
            </w:pPr>
            <w:r w:rsidRPr="00B308AC">
              <w:rPr>
                <w:rFonts w:ascii="Lato" w:hAnsi="Lato"/>
                <w:color w:val="1F497D"/>
                <w:sz w:val="20"/>
                <w:szCs w:val="20"/>
              </w:rPr>
              <w:t>m</w:t>
            </w:r>
            <w:r w:rsidRPr="00B308AC">
              <w:rPr>
                <w:rFonts w:ascii="Lato" w:hAnsi="Lato"/>
                <w:color w:val="1F497D"/>
                <w:sz w:val="20"/>
                <w:szCs w:val="20"/>
                <w:vertAlign w:val="superscript"/>
              </w:rPr>
              <w:t>2</w:t>
            </w:r>
          </w:p>
        </w:tc>
      </w:tr>
      <w:tr w:rsidR="00B308AC" w:rsidRPr="00D352C4" w:rsidTr="00B5219E">
        <w:trPr>
          <w:trHeight w:val="543"/>
          <w:jc w:val="center"/>
        </w:trPr>
        <w:tc>
          <w:tcPr>
            <w:tcW w:w="1077" w:type="pct"/>
            <w:shd w:val="clear" w:color="auto" w:fill="auto"/>
            <w:noWrap/>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76 290</w:t>
            </w:r>
          </w:p>
        </w:tc>
        <w:tc>
          <w:tcPr>
            <w:tcW w:w="1499" w:type="pct"/>
            <w:shd w:val="clear" w:color="auto" w:fill="auto"/>
            <w:noWrap/>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52 504</w:t>
            </w:r>
          </w:p>
        </w:tc>
        <w:tc>
          <w:tcPr>
            <w:tcW w:w="1160" w:type="pct"/>
            <w:shd w:val="clear" w:color="auto" w:fill="auto"/>
            <w:noWrap/>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3 862</w:t>
            </w:r>
          </w:p>
        </w:tc>
        <w:tc>
          <w:tcPr>
            <w:tcW w:w="1264" w:type="pct"/>
            <w:shd w:val="clear" w:color="auto" w:fill="auto"/>
            <w:noWrap/>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19 925</w:t>
            </w:r>
          </w:p>
        </w:tc>
      </w:tr>
    </w:tbl>
    <w:p w:rsidR="00DB35F5" w:rsidRPr="007F2E78" w:rsidRDefault="00DB35F5" w:rsidP="00A63E0C">
      <w:pPr>
        <w:suppressAutoHyphens/>
        <w:spacing w:after="240"/>
        <w:ind w:firstLine="0"/>
        <w:jc w:val="center"/>
        <w:rPr>
          <w:rFonts w:ascii="Lato" w:hAnsi="Lato"/>
          <w:bCs/>
          <w:i/>
          <w:sz w:val="20"/>
          <w:szCs w:val="22"/>
        </w:rPr>
      </w:pPr>
      <w:r w:rsidRPr="00604E48">
        <w:rPr>
          <w:rFonts w:ascii="Lato" w:hAnsi="Lato"/>
          <w:bCs/>
          <w:i/>
          <w:sz w:val="20"/>
          <w:szCs w:val="22"/>
        </w:rPr>
        <w:t xml:space="preserve">Źródło: </w:t>
      </w:r>
      <w:r w:rsidRPr="007F2E78">
        <w:rPr>
          <w:rFonts w:ascii="Lato" w:hAnsi="Lato"/>
          <w:bCs/>
          <w:i/>
          <w:sz w:val="20"/>
          <w:szCs w:val="22"/>
        </w:rPr>
        <w:t>Analizy własne</w:t>
      </w:r>
    </w:p>
    <w:p w:rsidR="006B024A" w:rsidRPr="002A6BB0" w:rsidRDefault="006B024A" w:rsidP="007A6F43">
      <w:pPr>
        <w:pStyle w:val="Legenda"/>
        <w:rPr>
          <w:rFonts w:ascii="Lato" w:hAnsi="Lato"/>
          <w:bCs/>
          <w:color w:val="365F91"/>
          <w:sz w:val="20"/>
          <w:szCs w:val="20"/>
        </w:rPr>
      </w:pPr>
      <w:bookmarkStart w:id="414" w:name="_Toc336419485"/>
      <w:bookmarkStart w:id="415" w:name="_Toc336943652"/>
      <w:bookmarkStart w:id="416" w:name="_Toc20219191"/>
      <w:r w:rsidRPr="002A6BB0">
        <w:rPr>
          <w:rFonts w:ascii="Lato" w:hAnsi="Lato"/>
          <w:bCs/>
          <w:color w:val="365F91"/>
          <w:sz w:val="20"/>
          <w:szCs w:val="20"/>
        </w:rPr>
        <w:t xml:space="preserve">Tabela </w:t>
      </w:r>
      <w:r w:rsidR="004042AE" w:rsidRPr="002A6BB0">
        <w:rPr>
          <w:rFonts w:ascii="Lato" w:hAnsi="Lato"/>
          <w:bCs/>
          <w:color w:val="365F91"/>
          <w:sz w:val="20"/>
          <w:szCs w:val="20"/>
        </w:rPr>
        <w:fldChar w:fldCharType="begin"/>
      </w:r>
      <w:r w:rsidR="005430ED" w:rsidRPr="002A6BB0">
        <w:rPr>
          <w:rFonts w:ascii="Lato" w:hAnsi="Lato"/>
          <w:bCs/>
          <w:color w:val="365F91"/>
          <w:sz w:val="20"/>
          <w:szCs w:val="20"/>
        </w:rPr>
        <w:instrText xml:space="preserve"> STYLEREF 1 \s </w:instrText>
      </w:r>
      <w:r w:rsidR="004042AE" w:rsidRPr="002A6BB0">
        <w:rPr>
          <w:rFonts w:ascii="Lato" w:hAnsi="Lato"/>
          <w:bCs/>
          <w:color w:val="365F91"/>
          <w:sz w:val="20"/>
          <w:szCs w:val="20"/>
        </w:rPr>
        <w:fldChar w:fldCharType="separate"/>
      </w:r>
      <w:r w:rsidR="0040205B">
        <w:rPr>
          <w:rFonts w:ascii="Lato" w:hAnsi="Lato"/>
          <w:bCs/>
          <w:noProof/>
          <w:color w:val="365F91"/>
          <w:sz w:val="20"/>
          <w:szCs w:val="20"/>
        </w:rPr>
        <w:t>5</w:t>
      </w:r>
      <w:r w:rsidR="004042AE" w:rsidRPr="002A6BB0">
        <w:rPr>
          <w:rFonts w:ascii="Lato" w:hAnsi="Lato"/>
          <w:bCs/>
          <w:color w:val="365F91"/>
          <w:sz w:val="20"/>
          <w:szCs w:val="20"/>
        </w:rPr>
        <w:fldChar w:fldCharType="end"/>
      </w:r>
      <w:r w:rsidR="005430ED" w:rsidRPr="002A6BB0">
        <w:rPr>
          <w:rFonts w:ascii="Lato" w:hAnsi="Lato"/>
          <w:bCs/>
          <w:color w:val="365F91"/>
          <w:sz w:val="20"/>
          <w:szCs w:val="20"/>
        </w:rPr>
        <w:noBreakHyphen/>
      </w:r>
      <w:r w:rsidR="004042AE" w:rsidRPr="002A6BB0">
        <w:rPr>
          <w:rFonts w:ascii="Lato" w:hAnsi="Lato"/>
          <w:bCs/>
          <w:color w:val="365F91"/>
          <w:sz w:val="20"/>
          <w:szCs w:val="20"/>
        </w:rPr>
        <w:fldChar w:fldCharType="begin"/>
      </w:r>
      <w:r w:rsidR="005430ED" w:rsidRPr="002A6BB0">
        <w:rPr>
          <w:rFonts w:ascii="Lato" w:hAnsi="Lato"/>
          <w:bCs/>
          <w:color w:val="365F91"/>
          <w:sz w:val="20"/>
          <w:szCs w:val="20"/>
        </w:rPr>
        <w:instrText xml:space="preserve"> SEQ Tabela \* ARABIC \s 1 </w:instrText>
      </w:r>
      <w:r w:rsidR="004042AE" w:rsidRPr="002A6BB0">
        <w:rPr>
          <w:rFonts w:ascii="Lato" w:hAnsi="Lato"/>
          <w:bCs/>
          <w:color w:val="365F91"/>
          <w:sz w:val="20"/>
          <w:szCs w:val="20"/>
        </w:rPr>
        <w:fldChar w:fldCharType="separate"/>
      </w:r>
      <w:r w:rsidR="0040205B">
        <w:rPr>
          <w:rFonts w:ascii="Lato" w:hAnsi="Lato"/>
          <w:bCs/>
          <w:noProof/>
          <w:color w:val="365F91"/>
          <w:sz w:val="20"/>
          <w:szCs w:val="20"/>
        </w:rPr>
        <w:t>2</w:t>
      </w:r>
      <w:r w:rsidR="004042AE" w:rsidRPr="002A6BB0">
        <w:rPr>
          <w:rFonts w:ascii="Lato" w:hAnsi="Lato"/>
          <w:bCs/>
          <w:color w:val="365F91"/>
          <w:sz w:val="20"/>
          <w:szCs w:val="20"/>
        </w:rPr>
        <w:fldChar w:fldCharType="end"/>
      </w:r>
      <w:r w:rsidRPr="002A6BB0">
        <w:rPr>
          <w:rFonts w:ascii="Lato" w:hAnsi="Lato"/>
          <w:bCs/>
          <w:color w:val="365F91"/>
          <w:sz w:val="20"/>
          <w:szCs w:val="20"/>
        </w:rPr>
        <w:t xml:space="preserve"> Zestawienie potrzeb energetycznych obszarów ujętych w scenariuszu A do 203</w:t>
      </w:r>
      <w:bookmarkEnd w:id="414"/>
      <w:bookmarkEnd w:id="415"/>
      <w:r w:rsidR="00B5219E" w:rsidRPr="002A6BB0">
        <w:rPr>
          <w:rFonts w:ascii="Lato" w:hAnsi="Lato"/>
          <w:bCs/>
          <w:color w:val="365F91"/>
          <w:sz w:val="20"/>
          <w:szCs w:val="20"/>
        </w:rPr>
        <w:t>5</w:t>
      </w:r>
      <w:bookmarkEnd w:id="416"/>
    </w:p>
    <w:tbl>
      <w:tblPr>
        <w:tblW w:w="5000" w:type="pct"/>
        <w:jc w:val="center"/>
        <w:tblCellMar>
          <w:left w:w="70" w:type="dxa"/>
          <w:right w:w="70" w:type="dxa"/>
        </w:tblCellMar>
        <w:tblLook w:val="04A0" w:firstRow="1" w:lastRow="0" w:firstColumn="1" w:lastColumn="0" w:noHBand="0" w:noVBand="1"/>
      </w:tblPr>
      <w:tblGrid>
        <w:gridCol w:w="3615"/>
        <w:gridCol w:w="1081"/>
        <w:gridCol w:w="1901"/>
        <w:gridCol w:w="1055"/>
        <w:gridCol w:w="1901"/>
      </w:tblGrid>
      <w:tr w:rsidR="001F34BC" w:rsidRPr="00B308AC" w:rsidTr="00B5219E">
        <w:trPr>
          <w:trHeight w:val="510"/>
          <w:jc w:val="center"/>
        </w:trPr>
        <w:tc>
          <w:tcPr>
            <w:tcW w:w="1892"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1F34BC" w:rsidRPr="00B308AC" w:rsidRDefault="001F34BC" w:rsidP="001F34BC">
            <w:pPr>
              <w:spacing w:line="240" w:lineRule="auto"/>
              <w:ind w:firstLine="0"/>
              <w:jc w:val="center"/>
              <w:rPr>
                <w:rFonts w:ascii="Lato" w:hAnsi="Lato"/>
                <w:color w:val="1F497D"/>
                <w:sz w:val="20"/>
                <w:szCs w:val="20"/>
              </w:rPr>
            </w:pPr>
            <w:r w:rsidRPr="00B308AC">
              <w:rPr>
                <w:rFonts w:ascii="Lato" w:hAnsi="Lato"/>
                <w:color w:val="1F497D"/>
                <w:sz w:val="20"/>
                <w:szCs w:val="20"/>
              </w:rPr>
              <w:t>Rodzaj inwestycji</w:t>
            </w:r>
          </w:p>
        </w:tc>
        <w:tc>
          <w:tcPr>
            <w:tcW w:w="1561" w:type="pct"/>
            <w:gridSpan w:val="2"/>
            <w:tcBorders>
              <w:top w:val="single" w:sz="4" w:space="0" w:color="4F81BD"/>
              <w:left w:val="nil"/>
              <w:bottom w:val="single" w:sz="4" w:space="0" w:color="4F81BD"/>
              <w:right w:val="single" w:sz="4" w:space="0" w:color="4F81BD"/>
            </w:tcBorders>
            <w:shd w:val="clear" w:color="000000" w:fill="DCE6F1"/>
            <w:vAlign w:val="center"/>
            <w:hideMark/>
          </w:tcPr>
          <w:p w:rsidR="001F34BC" w:rsidRPr="00B308AC" w:rsidRDefault="001F34BC" w:rsidP="001F34BC">
            <w:pPr>
              <w:spacing w:line="240" w:lineRule="auto"/>
              <w:ind w:firstLine="0"/>
              <w:jc w:val="center"/>
              <w:rPr>
                <w:rFonts w:ascii="Lato" w:hAnsi="Lato"/>
                <w:color w:val="1F497D"/>
                <w:sz w:val="20"/>
                <w:szCs w:val="20"/>
              </w:rPr>
            </w:pPr>
            <w:r w:rsidRPr="00B308AC">
              <w:rPr>
                <w:rFonts w:ascii="Lato" w:hAnsi="Lato"/>
                <w:color w:val="1F497D"/>
                <w:sz w:val="20"/>
                <w:szCs w:val="20"/>
              </w:rPr>
              <w:t>Zapotrzebowanie na ciepło (ogrzewanie)</w:t>
            </w:r>
          </w:p>
        </w:tc>
        <w:tc>
          <w:tcPr>
            <w:tcW w:w="1547" w:type="pct"/>
            <w:gridSpan w:val="2"/>
            <w:tcBorders>
              <w:top w:val="single" w:sz="4" w:space="0" w:color="4F81BD"/>
              <w:left w:val="nil"/>
              <w:bottom w:val="single" w:sz="4" w:space="0" w:color="4F81BD"/>
              <w:right w:val="single" w:sz="4" w:space="0" w:color="4F81BD"/>
            </w:tcBorders>
            <w:shd w:val="clear" w:color="000000" w:fill="DCE6F1"/>
            <w:vAlign w:val="center"/>
            <w:hideMark/>
          </w:tcPr>
          <w:p w:rsidR="001F34BC" w:rsidRPr="00B308AC" w:rsidRDefault="001F34BC" w:rsidP="001F34BC">
            <w:pPr>
              <w:spacing w:line="240" w:lineRule="auto"/>
              <w:ind w:firstLine="0"/>
              <w:jc w:val="center"/>
              <w:rPr>
                <w:rFonts w:ascii="Lato" w:hAnsi="Lato"/>
                <w:color w:val="1F497D"/>
                <w:sz w:val="20"/>
                <w:szCs w:val="20"/>
              </w:rPr>
            </w:pPr>
            <w:r w:rsidRPr="00B308AC">
              <w:rPr>
                <w:rFonts w:ascii="Lato" w:hAnsi="Lato"/>
                <w:color w:val="1F497D"/>
                <w:sz w:val="20"/>
                <w:szCs w:val="20"/>
              </w:rPr>
              <w:t>Zapotrzebowanie na energię elektryczną</w:t>
            </w:r>
          </w:p>
        </w:tc>
      </w:tr>
      <w:tr w:rsidR="001F34BC" w:rsidRPr="00B308AC" w:rsidTr="00B5219E">
        <w:trPr>
          <w:trHeight w:val="285"/>
          <w:jc w:val="center"/>
        </w:trPr>
        <w:tc>
          <w:tcPr>
            <w:tcW w:w="1892" w:type="pct"/>
            <w:vMerge/>
            <w:tcBorders>
              <w:top w:val="single" w:sz="4" w:space="0" w:color="4F81BD"/>
              <w:left w:val="single" w:sz="4" w:space="0" w:color="4F81BD"/>
              <w:bottom w:val="single" w:sz="4" w:space="0" w:color="4F81BD"/>
              <w:right w:val="single" w:sz="4" w:space="0" w:color="4F81BD"/>
            </w:tcBorders>
            <w:vAlign w:val="center"/>
            <w:hideMark/>
          </w:tcPr>
          <w:p w:rsidR="001F34BC" w:rsidRPr="00B308AC" w:rsidRDefault="001F34BC" w:rsidP="001F34BC">
            <w:pPr>
              <w:spacing w:line="240" w:lineRule="auto"/>
              <w:ind w:firstLine="0"/>
              <w:rPr>
                <w:rFonts w:ascii="Lato" w:hAnsi="Lato"/>
                <w:color w:val="1F497D"/>
                <w:sz w:val="20"/>
                <w:szCs w:val="20"/>
              </w:rPr>
            </w:pPr>
          </w:p>
        </w:tc>
        <w:tc>
          <w:tcPr>
            <w:tcW w:w="566" w:type="pct"/>
            <w:tcBorders>
              <w:top w:val="nil"/>
              <w:left w:val="nil"/>
              <w:bottom w:val="single" w:sz="4" w:space="0" w:color="4F81BD"/>
              <w:right w:val="single" w:sz="4" w:space="0" w:color="4F81BD"/>
            </w:tcBorders>
            <w:shd w:val="clear" w:color="000000" w:fill="DCE6F1"/>
            <w:noWrap/>
            <w:vAlign w:val="center"/>
            <w:hideMark/>
          </w:tcPr>
          <w:p w:rsidR="001F34BC" w:rsidRPr="00B308AC" w:rsidRDefault="00D577AA" w:rsidP="001F34BC">
            <w:pPr>
              <w:spacing w:line="240" w:lineRule="auto"/>
              <w:ind w:firstLine="0"/>
              <w:jc w:val="center"/>
              <w:rPr>
                <w:rFonts w:ascii="Lato" w:hAnsi="Lato"/>
                <w:color w:val="1F497D"/>
                <w:sz w:val="20"/>
                <w:szCs w:val="20"/>
              </w:rPr>
            </w:pPr>
            <w:r w:rsidRPr="00B308AC">
              <w:rPr>
                <w:rFonts w:ascii="Lato" w:hAnsi="Lato"/>
                <w:color w:val="1F497D"/>
                <w:sz w:val="20"/>
                <w:szCs w:val="20"/>
              </w:rPr>
              <w:t>MW</w:t>
            </w:r>
          </w:p>
        </w:tc>
        <w:tc>
          <w:tcPr>
            <w:tcW w:w="995" w:type="pct"/>
            <w:tcBorders>
              <w:top w:val="nil"/>
              <w:left w:val="nil"/>
              <w:bottom w:val="single" w:sz="4" w:space="0" w:color="4F81BD"/>
              <w:right w:val="single" w:sz="4" w:space="0" w:color="4F81BD"/>
            </w:tcBorders>
            <w:shd w:val="clear" w:color="000000" w:fill="DCE6F1"/>
            <w:noWrap/>
            <w:vAlign w:val="center"/>
            <w:hideMark/>
          </w:tcPr>
          <w:p w:rsidR="001F34BC" w:rsidRPr="00B308AC" w:rsidRDefault="00D577AA" w:rsidP="001F34BC">
            <w:pPr>
              <w:spacing w:line="240" w:lineRule="auto"/>
              <w:ind w:firstLine="0"/>
              <w:jc w:val="center"/>
              <w:rPr>
                <w:rFonts w:ascii="Lato" w:hAnsi="Lato"/>
                <w:color w:val="1F497D"/>
                <w:sz w:val="20"/>
                <w:szCs w:val="20"/>
              </w:rPr>
            </w:pPr>
            <w:r w:rsidRPr="00B308AC">
              <w:rPr>
                <w:rFonts w:ascii="Lato" w:hAnsi="Lato"/>
                <w:color w:val="1F497D"/>
                <w:sz w:val="20"/>
                <w:szCs w:val="20"/>
              </w:rPr>
              <w:t>GJ/rok</w:t>
            </w:r>
          </w:p>
        </w:tc>
        <w:tc>
          <w:tcPr>
            <w:tcW w:w="552" w:type="pct"/>
            <w:tcBorders>
              <w:top w:val="nil"/>
              <w:left w:val="nil"/>
              <w:bottom w:val="single" w:sz="4" w:space="0" w:color="4F81BD"/>
              <w:right w:val="single" w:sz="4" w:space="0" w:color="4F81BD"/>
            </w:tcBorders>
            <w:shd w:val="clear" w:color="000000" w:fill="DCE6F1"/>
            <w:noWrap/>
            <w:vAlign w:val="center"/>
            <w:hideMark/>
          </w:tcPr>
          <w:p w:rsidR="001F34BC" w:rsidRPr="00B308AC" w:rsidRDefault="00D577AA" w:rsidP="001F34BC">
            <w:pPr>
              <w:spacing w:line="240" w:lineRule="auto"/>
              <w:ind w:firstLine="0"/>
              <w:jc w:val="center"/>
              <w:rPr>
                <w:rFonts w:ascii="Lato" w:hAnsi="Lato"/>
                <w:color w:val="1F497D"/>
                <w:sz w:val="20"/>
                <w:szCs w:val="20"/>
              </w:rPr>
            </w:pPr>
            <w:r w:rsidRPr="00B308AC">
              <w:rPr>
                <w:rFonts w:ascii="Lato" w:hAnsi="Lato"/>
                <w:color w:val="1F497D"/>
                <w:sz w:val="20"/>
                <w:szCs w:val="20"/>
              </w:rPr>
              <w:t>MW</w:t>
            </w:r>
          </w:p>
        </w:tc>
        <w:tc>
          <w:tcPr>
            <w:tcW w:w="995" w:type="pct"/>
            <w:tcBorders>
              <w:top w:val="nil"/>
              <w:left w:val="nil"/>
              <w:bottom w:val="single" w:sz="4" w:space="0" w:color="4F81BD"/>
              <w:right w:val="single" w:sz="4" w:space="0" w:color="4F81BD"/>
            </w:tcBorders>
            <w:shd w:val="clear" w:color="000000" w:fill="DCE6F1"/>
            <w:noWrap/>
            <w:vAlign w:val="center"/>
            <w:hideMark/>
          </w:tcPr>
          <w:p w:rsidR="001F34BC" w:rsidRPr="00B308AC" w:rsidRDefault="00D577AA" w:rsidP="001F34BC">
            <w:pPr>
              <w:spacing w:line="240" w:lineRule="auto"/>
              <w:ind w:firstLine="0"/>
              <w:jc w:val="center"/>
              <w:rPr>
                <w:rFonts w:ascii="Lato" w:hAnsi="Lato"/>
                <w:color w:val="1F497D"/>
                <w:sz w:val="20"/>
                <w:szCs w:val="20"/>
              </w:rPr>
            </w:pPr>
            <w:r w:rsidRPr="00B308AC">
              <w:rPr>
                <w:rFonts w:ascii="Lato" w:hAnsi="Lato"/>
                <w:color w:val="1F497D"/>
                <w:sz w:val="20"/>
                <w:szCs w:val="20"/>
              </w:rPr>
              <w:t>MWh/rok</w:t>
            </w:r>
          </w:p>
        </w:tc>
      </w:tr>
      <w:tr w:rsidR="00B308AC" w:rsidRPr="00B308AC" w:rsidTr="00B5219E">
        <w:trPr>
          <w:trHeight w:val="285"/>
          <w:jc w:val="center"/>
        </w:trPr>
        <w:tc>
          <w:tcPr>
            <w:tcW w:w="1892" w:type="pct"/>
            <w:tcBorders>
              <w:top w:val="nil"/>
              <w:left w:val="single" w:sz="4" w:space="0" w:color="4F81BD"/>
              <w:bottom w:val="single" w:sz="4" w:space="0" w:color="4F81BD"/>
              <w:right w:val="single" w:sz="4" w:space="0" w:color="4F81BD"/>
            </w:tcBorders>
            <w:shd w:val="clear" w:color="auto" w:fill="auto"/>
            <w:vAlign w:val="center"/>
            <w:hideMark/>
          </w:tcPr>
          <w:p w:rsidR="00B308AC" w:rsidRPr="00B308AC" w:rsidRDefault="00B308AC" w:rsidP="001F34BC">
            <w:pPr>
              <w:spacing w:line="240" w:lineRule="auto"/>
              <w:ind w:firstLine="0"/>
              <w:rPr>
                <w:rFonts w:ascii="Lato" w:hAnsi="Lato"/>
                <w:color w:val="1F497D"/>
                <w:sz w:val="20"/>
                <w:szCs w:val="20"/>
              </w:rPr>
            </w:pPr>
            <w:r w:rsidRPr="00B308AC">
              <w:rPr>
                <w:rFonts w:ascii="Lato" w:hAnsi="Lato"/>
                <w:color w:val="1F497D"/>
                <w:sz w:val="20"/>
                <w:szCs w:val="20"/>
              </w:rPr>
              <w:t>Strefy mieszkaniowe</w:t>
            </w:r>
          </w:p>
        </w:tc>
        <w:tc>
          <w:tcPr>
            <w:tcW w:w="566"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2,63</w:t>
            </w:r>
          </w:p>
        </w:tc>
        <w:tc>
          <w:tcPr>
            <w:tcW w:w="995"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16 144,3</w:t>
            </w:r>
          </w:p>
        </w:tc>
        <w:tc>
          <w:tcPr>
            <w:tcW w:w="552"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0,76</w:t>
            </w:r>
          </w:p>
        </w:tc>
        <w:tc>
          <w:tcPr>
            <w:tcW w:w="995"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1 380,5</w:t>
            </w:r>
          </w:p>
        </w:tc>
      </w:tr>
      <w:tr w:rsidR="00B308AC" w:rsidRPr="00B308AC" w:rsidTr="00B5219E">
        <w:trPr>
          <w:trHeight w:val="285"/>
          <w:jc w:val="center"/>
        </w:trPr>
        <w:tc>
          <w:tcPr>
            <w:tcW w:w="1892" w:type="pct"/>
            <w:tcBorders>
              <w:top w:val="nil"/>
              <w:left w:val="single" w:sz="4" w:space="0" w:color="4F81BD"/>
              <w:bottom w:val="single" w:sz="4" w:space="0" w:color="4F81BD"/>
              <w:right w:val="single" w:sz="4" w:space="0" w:color="4F81BD"/>
            </w:tcBorders>
            <w:shd w:val="clear" w:color="auto" w:fill="auto"/>
            <w:vAlign w:val="center"/>
            <w:hideMark/>
          </w:tcPr>
          <w:p w:rsidR="00B308AC" w:rsidRPr="00B308AC" w:rsidRDefault="00B308AC" w:rsidP="001F34BC">
            <w:pPr>
              <w:spacing w:line="240" w:lineRule="auto"/>
              <w:ind w:firstLine="0"/>
              <w:rPr>
                <w:rFonts w:ascii="Lato" w:hAnsi="Lato"/>
                <w:color w:val="1F497D"/>
                <w:sz w:val="20"/>
                <w:szCs w:val="20"/>
              </w:rPr>
            </w:pPr>
            <w:r w:rsidRPr="00B308AC">
              <w:rPr>
                <w:rFonts w:ascii="Lato" w:hAnsi="Lato"/>
                <w:color w:val="1F497D"/>
                <w:sz w:val="20"/>
                <w:szCs w:val="20"/>
              </w:rPr>
              <w:t>Strefy usługowe</w:t>
            </w:r>
          </w:p>
        </w:tc>
        <w:tc>
          <w:tcPr>
            <w:tcW w:w="566"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0,24</w:t>
            </w:r>
          </w:p>
        </w:tc>
        <w:tc>
          <w:tcPr>
            <w:tcW w:w="995"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1 205,5</w:t>
            </w:r>
          </w:p>
        </w:tc>
        <w:tc>
          <w:tcPr>
            <w:tcW w:w="552"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0,15</w:t>
            </w:r>
          </w:p>
        </w:tc>
        <w:tc>
          <w:tcPr>
            <w:tcW w:w="995"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173,7</w:t>
            </w:r>
          </w:p>
        </w:tc>
      </w:tr>
      <w:tr w:rsidR="00B308AC" w:rsidRPr="00B308AC" w:rsidTr="00B5219E">
        <w:trPr>
          <w:trHeight w:val="285"/>
          <w:jc w:val="center"/>
        </w:trPr>
        <w:tc>
          <w:tcPr>
            <w:tcW w:w="1892" w:type="pct"/>
            <w:tcBorders>
              <w:top w:val="nil"/>
              <w:left w:val="single" w:sz="4" w:space="0" w:color="4F81BD"/>
              <w:bottom w:val="single" w:sz="4" w:space="0" w:color="4F81BD"/>
              <w:right w:val="single" w:sz="4" w:space="0" w:color="4F81BD"/>
            </w:tcBorders>
            <w:shd w:val="clear" w:color="auto" w:fill="auto"/>
            <w:vAlign w:val="center"/>
            <w:hideMark/>
          </w:tcPr>
          <w:p w:rsidR="00B308AC" w:rsidRPr="00B308AC" w:rsidRDefault="00B308AC" w:rsidP="001F34BC">
            <w:pPr>
              <w:spacing w:line="240" w:lineRule="auto"/>
              <w:ind w:firstLine="0"/>
              <w:rPr>
                <w:rFonts w:ascii="Lato" w:hAnsi="Lato"/>
                <w:color w:val="1F497D"/>
                <w:sz w:val="20"/>
                <w:szCs w:val="20"/>
              </w:rPr>
            </w:pPr>
            <w:r w:rsidRPr="00B308AC">
              <w:rPr>
                <w:rFonts w:ascii="Lato" w:hAnsi="Lato"/>
                <w:color w:val="1F497D"/>
                <w:sz w:val="20"/>
                <w:szCs w:val="20"/>
              </w:rPr>
              <w:t>Strefy produkcyjne</w:t>
            </w:r>
          </w:p>
        </w:tc>
        <w:tc>
          <w:tcPr>
            <w:tcW w:w="566"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0,72</w:t>
            </w:r>
          </w:p>
        </w:tc>
        <w:tc>
          <w:tcPr>
            <w:tcW w:w="995"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3 157,0</w:t>
            </w:r>
          </w:p>
        </w:tc>
        <w:tc>
          <w:tcPr>
            <w:tcW w:w="552"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0,63</w:t>
            </w:r>
          </w:p>
        </w:tc>
        <w:tc>
          <w:tcPr>
            <w:tcW w:w="995"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634,1</w:t>
            </w:r>
          </w:p>
        </w:tc>
      </w:tr>
      <w:tr w:rsidR="00B308AC" w:rsidRPr="00D352C4" w:rsidTr="00B5219E">
        <w:trPr>
          <w:trHeight w:val="285"/>
          <w:jc w:val="center"/>
        </w:trPr>
        <w:tc>
          <w:tcPr>
            <w:tcW w:w="1892" w:type="pct"/>
            <w:tcBorders>
              <w:top w:val="nil"/>
              <w:left w:val="single" w:sz="4" w:space="0" w:color="4F81BD"/>
              <w:bottom w:val="single" w:sz="4" w:space="0" w:color="4F81BD"/>
              <w:right w:val="single" w:sz="4" w:space="0" w:color="4F81BD"/>
            </w:tcBorders>
            <w:shd w:val="clear" w:color="auto" w:fill="auto"/>
            <w:noWrap/>
            <w:vAlign w:val="center"/>
            <w:hideMark/>
          </w:tcPr>
          <w:p w:rsidR="00B308AC" w:rsidRPr="00B308AC" w:rsidRDefault="00B308AC" w:rsidP="001F34BC">
            <w:pPr>
              <w:spacing w:line="240" w:lineRule="auto"/>
              <w:ind w:firstLine="0"/>
              <w:jc w:val="center"/>
              <w:rPr>
                <w:rFonts w:ascii="Lato" w:hAnsi="Lato"/>
                <w:b/>
                <w:bCs/>
                <w:color w:val="1F497D"/>
                <w:sz w:val="20"/>
                <w:szCs w:val="20"/>
              </w:rPr>
            </w:pPr>
            <w:r w:rsidRPr="00B308AC">
              <w:rPr>
                <w:rFonts w:ascii="Lato" w:hAnsi="Lato"/>
                <w:b/>
                <w:bCs/>
                <w:color w:val="1F497D"/>
                <w:sz w:val="20"/>
                <w:szCs w:val="20"/>
              </w:rPr>
              <w:t>SUMA</w:t>
            </w:r>
          </w:p>
        </w:tc>
        <w:tc>
          <w:tcPr>
            <w:tcW w:w="566"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3,58</w:t>
            </w:r>
          </w:p>
        </w:tc>
        <w:tc>
          <w:tcPr>
            <w:tcW w:w="995"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20 506,8</w:t>
            </w:r>
          </w:p>
        </w:tc>
        <w:tc>
          <w:tcPr>
            <w:tcW w:w="552"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1,53</w:t>
            </w:r>
          </w:p>
        </w:tc>
        <w:tc>
          <w:tcPr>
            <w:tcW w:w="995" w:type="pct"/>
            <w:tcBorders>
              <w:top w:val="nil"/>
              <w:left w:val="nil"/>
              <w:bottom w:val="single" w:sz="4" w:space="0" w:color="4F81BD"/>
              <w:right w:val="single" w:sz="4" w:space="0" w:color="4F81BD"/>
            </w:tcBorders>
            <w:shd w:val="clear" w:color="auto" w:fill="auto"/>
            <w:noWrap/>
            <w:vAlign w:val="center"/>
            <w:hideMark/>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2 188,3</w:t>
            </w:r>
          </w:p>
        </w:tc>
      </w:tr>
    </w:tbl>
    <w:p w:rsidR="00DB35F5" w:rsidRPr="007F2E78" w:rsidRDefault="00DB35F5" w:rsidP="00A63E0C">
      <w:pPr>
        <w:suppressAutoHyphens/>
        <w:spacing w:after="240"/>
        <w:ind w:firstLine="0"/>
        <w:jc w:val="center"/>
        <w:rPr>
          <w:rFonts w:ascii="Lato" w:hAnsi="Lato"/>
          <w:bCs/>
          <w:i/>
          <w:sz w:val="20"/>
          <w:szCs w:val="22"/>
        </w:rPr>
      </w:pPr>
      <w:r w:rsidRPr="00604E48">
        <w:rPr>
          <w:rFonts w:ascii="Lato" w:hAnsi="Lato"/>
          <w:bCs/>
          <w:i/>
          <w:sz w:val="20"/>
          <w:szCs w:val="22"/>
        </w:rPr>
        <w:t xml:space="preserve">Źródło: </w:t>
      </w:r>
      <w:r w:rsidRPr="007F2E78">
        <w:rPr>
          <w:rFonts w:ascii="Lato" w:hAnsi="Lato"/>
          <w:bCs/>
          <w:i/>
          <w:sz w:val="20"/>
          <w:szCs w:val="22"/>
        </w:rPr>
        <w:t>Analizy własne</w:t>
      </w:r>
    </w:p>
    <w:p w:rsidR="00510E6D" w:rsidRPr="002A6BB0" w:rsidRDefault="00510E6D" w:rsidP="003F7B25">
      <w:pPr>
        <w:pStyle w:val="Lista2"/>
        <w:tabs>
          <w:tab w:val="left" w:pos="540"/>
        </w:tabs>
        <w:ind w:left="0" w:firstLine="0"/>
        <w:jc w:val="both"/>
        <w:rPr>
          <w:rFonts w:ascii="Lato" w:hAnsi="Lato"/>
          <w:sz w:val="22"/>
        </w:rPr>
      </w:pPr>
      <w:r w:rsidRPr="002A6BB0">
        <w:rPr>
          <w:rFonts w:ascii="Lato" w:hAnsi="Lato"/>
          <w:b/>
          <w:sz w:val="22"/>
        </w:rPr>
        <w:t>Scenariusz B – „Umiarkowany”</w:t>
      </w:r>
      <w:r w:rsidRPr="002A6BB0">
        <w:rPr>
          <w:rFonts w:ascii="Lato" w:hAnsi="Lato"/>
          <w:sz w:val="22"/>
        </w:rPr>
        <w:t xml:space="preserve"> – zakłada się w nim, że wszystkie obszary przeznaczone pod zabudowę mieszkaniową, usługową oraz zabudowę usługowo-produkcyjną zostaną zagospodarowane w </w:t>
      </w:r>
      <w:r w:rsidR="00B308AC">
        <w:rPr>
          <w:rFonts w:ascii="Lato" w:hAnsi="Lato"/>
          <w:sz w:val="22"/>
        </w:rPr>
        <w:t>3</w:t>
      </w:r>
      <w:r w:rsidRPr="002A6BB0">
        <w:rPr>
          <w:rFonts w:ascii="Lato" w:hAnsi="Lato"/>
          <w:sz w:val="22"/>
        </w:rPr>
        <w:t xml:space="preserve">0%. W zakresie zagospodarowania obszarów posłużono się wytycznymi Studium Uwarunkowań i Kierunków Zagospodarowania Przestrzennego oraz Planami Miejscowymi. W niniejszym scenariuszu rozwój gminy jest dynamiczny i systematyczny; planowane inwestycje zostaną zrealizowane, utrzyma się zainteresowanie inwestorów wyznaczonymi terenami pod handel, usługi oraz produkcję. </w:t>
      </w:r>
    </w:p>
    <w:p w:rsidR="00B308AC" w:rsidRDefault="00510E6D" w:rsidP="00510E6D">
      <w:pPr>
        <w:pStyle w:val="Lista2"/>
        <w:tabs>
          <w:tab w:val="left" w:pos="540"/>
        </w:tabs>
        <w:ind w:left="0" w:firstLine="0"/>
        <w:jc w:val="both"/>
        <w:rPr>
          <w:rFonts w:ascii="Lato" w:hAnsi="Lato"/>
          <w:sz w:val="22"/>
        </w:rPr>
      </w:pPr>
      <w:r w:rsidRPr="002A6BB0">
        <w:rPr>
          <w:rFonts w:ascii="Lato" w:hAnsi="Lato"/>
          <w:sz w:val="22"/>
        </w:rPr>
        <w:t>Scenariusz ten charakteryzuje się wprowadzaniem przedsięwzięć racjonalizujących zużycie nośników energii przez odbiorców komunalnych do celów grzewczych w stopniu</w:t>
      </w:r>
      <w:r w:rsidR="00D03562">
        <w:rPr>
          <w:rFonts w:ascii="Lato" w:hAnsi="Lato"/>
          <w:sz w:val="22"/>
        </w:rPr>
        <w:t xml:space="preserve"> średnim oraz </w:t>
      </w:r>
      <w:r w:rsidRPr="002A6BB0">
        <w:rPr>
          <w:rFonts w:ascii="Lato" w:hAnsi="Lato"/>
          <w:sz w:val="22"/>
        </w:rPr>
        <w:t xml:space="preserve">wzrostem zużycia energii elektrycznej o około </w:t>
      </w:r>
      <w:r w:rsidR="00B308AC">
        <w:rPr>
          <w:rFonts w:ascii="Lato" w:hAnsi="Lato"/>
          <w:sz w:val="22"/>
        </w:rPr>
        <w:t>49</w:t>
      </w:r>
      <w:r w:rsidRPr="002A6BB0">
        <w:rPr>
          <w:rFonts w:ascii="Lato" w:hAnsi="Lato"/>
          <w:sz w:val="22"/>
        </w:rPr>
        <w:t xml:space="preserve">%, co spowodowane jest większym przyrostem nowych obiektów, </w:t>
      </w:r>
      <w:r w:rsidR="00B308AC">
        <w:rPr>
          <w:rFonts w:ascii="Lato" w:hAnsi="Lato"/>
          <w:sz w:val="22"/>
        </w:rPr>
        <w:t>zwłaszcza w sekt</w:t>
      </w:r>
      <w:r w:rsidR="00A342D0">
        <w:rPr>
          <w:rFonts w:ascii="Lato" w:hAnsi="Lato"/>
          <w:sz w:val="22"/>
        </w:rPr>
        <w:t>orze działalności gospodarczej.</w:t>
      </w:r>
    </w:p>
    <w:p w:rsidR="00510E6D" w:rsidRPr="002A6BB0" w:rsidRDefault="00510E6D" w:rsidP="00510E6D">
      <w:pPr>
        <w:pStyle w:val="Lista2"/>
        <w:tabs>
          <w:tab w:val="left" w:pos="540"/>
        </w:tabs>
        <w:ind w:left="0" w:firstLine="0"/>
        <w:jc w:val="both"/>
        <w:rPr>
          <w:rFonts w:ascii="Lato" w:hAnsi="Lato"/>
          <w:sz w:val="22"/>
        </w:rPr>
      </w:pPr>
      <w:r w:rsidRPr="002A6BB0">
        <w:rPr>
          <w:rFonts w:ascii="Lato" w:hAnsi="Lato"/>
          <w:sz w:val="22"/>
        </w:rPr>
        <w:t>Budynki użyteczności publicznej administrowane przez gminę zostaną zmodernizowane w średnim stopniu a pozostałe zgodnie z potrzebami, a inwestycje będą wynikały z racjonalnej polityki energetycznej. Racjonalizacja zużycia energii w budynkach użyteczności publicznej na</w:t>
      </w:r>
      <w:r w:rsidR="00D03562">
        <w:rPr>
          <w:rFonts w:ascii="Lato" w:hAnsi="Lato"/>
          <w:sz w:val="22"/>
        </w:rPr>
        <w:t> </w:t>
      </w:r>
      <w:r w:rsidRPr="002A6BB0">
        <w:rPr>
          <w:rFonts w:ascii="Lato" w:hAnsi="Lato"/>
          <w:sz w:val="22"/>
        </w:rPr>
        <w:t>poziomie ok.</w:t>
      </w:r>
      <w:r w:rsidR="00DB35F5">
        <w:rPr>
          <w:rFonts w:ascii="Lato" w:hAnsi="Lato"/>
          <w:sz w:val="22"/>
        </w:rPr>
        <w:t> </w:t>
      </w:r>
      <w:r w:rsidRPr="002A6BB0">
        <w:rPr>
          <w:rFonts w:ascii="Lato" w:hAnsi="Lato"/>
          <w:sz w:val="22"/>
        </w:rPr>
        <w:t>1</w:t>
      </w:r>
      <w:r w:rsidR="00D47C2E" w:rsidRPr="002A6BB0">
        <w:rPr>
          <w:rFonts w:ascii="Lato" w:hAnsi="Lato"/>
          <w:sz w:val="22"/>
        </w:rPr>
        <w:t>0</w:t>
      </w:r>
      <w:r w:rsidRPr="002A6BB0">
        <w:rPr>
          <w:rFonts w:ascii="Lato" w:hAnsi="Lato"/>
          <w:sz w:val="22"/>
        </w:rPr>
        <w:t>%. Racjonalizacja zużycia energii w sektorze usług, handlu, rzemiosła i przemysłu na poziomie, ok. 8%. W większym stopniu będą wykorzystywane odnawialne źródła energii, głównie po stronie układów solarnych.</w:t>
      </w:r>
    </w:p>
    <w:p w:rsidR="00510E6D" w:rsidRPr="002A6BB0" w:rsidRDefault="00B308AC" w:rsidP="00510E6D">
      <w:pPr>
        <w:pStyle w:val="Lista2"/>
        <w:tabs>
          <w:tab w:val="left" w:pos="540"/>
        </w:tabs>
        <w:ind w:left="0" w:firstLine="0"/>
        <w:jc w:val="both"/>
        <w:rPr>
          <w:rFonts w:ascii="Lato" w:hAnsi="Lato"/>
          <w:sz w:val="22"/>
        </w:rPr>
      </w:pPr>
      <w:r>
        <w:rPr>
          <w:rFonts w:ascii="Lato" w:hAnsi="Lato"/>
          <w:sz w:val="22"/>
        </w:rPr>
        <w:t>N</w:t>
      </w:r>
      <w:r w:rsidR="00510E6D" w:rsidRPr="002A6BB0">
        <w:rPr>
          <w:rFonts w:ascii="Lato" w:hAnsi="Lato"/>
          <w:sz w:val="22"/>
        </w:rPr>
        <w:t xml:space="preserve">astąpi </w:t>
      </w:r>
      <w:r>
        <w:rPr>
          <w:rFonts w:ascii="Lato" w:hAnsi="Lato"/>
          <w:sz w:val="22"/>
        </w:rPr>
        <w:t>duży rozwój przestrzeni działalności gospodarczej</w:t>
      </w:r>
      <w:r w:rsidR="00510E6D" w:rsidRPr="002A6BB0">
        <w:rPr>
          <w:rFonts w:ascii="Lato" w:hAnsi="Lato"/>
          <w:sz w:val="22"/>
        </w:rPr>
        <w:t xml:space="preserve"> na terenie gminy co skutkuje zwiększonym zapotrzebowaniem energii w tej grupie odbiorców.</w:t>
      </w:r>
    </w:p>
    <w:p w:rsidR="006B024A" w:rsidRPr="002A6BB0" w:rsidRDefault="00510E6D" w:rsidP="00DB35F5">
      <w:pPr>
        <w:pStyle w:val="Lista2"/>
        <w:tabs>
          <w:tab w:val="left" w:pos="540"/>
        </w:tabs>
        <w:spacing w:after="240"/>
        <w:ind w:left="0" w:firstLine="0"/>
        <w:jc w:val="both"/>
        <w:rPr>
          <w:rFonts w:ascii="Lato" w:hAnsi="Lato"/>
          <w:sz w:val="22"/>
        </w:rPr>
      </w:pPr>
      <w:r w:rsidRPr="002A6BB0">
        <w:rPr>
          <w:rFonts w:ascii="Lato" w:hAnsi="Lato"/>
          <w:sz w:val="22"/>
        </w:rPr>
        <w:t>W poniższej tabeli zestawiono obszary, które w scenariuszu B zostają w pełni zagospodarowane zgodnie z istniejącymi planami miejscowymi oraz nowymi obszarami i uzupełnieniem zabudowy istniejącej.</w:t>
      </w:r>
    </w:p>
    <w:p w:rsidR="006B024A" w:rsidRPr="002A6BB0" w:rsidRDefault="006B024A" w:rsidP="00631E84">
      <w:pPr>
        <w:pStyle w:val="Lista2"/>
        <w:tabs>
          <w:tab w:val="left" w:pos="540"/>
        </w:tabs>
        <w:spacing w:before="120" w:after="120" w:line="240" w:lineRule="auto"/>
        <w:ind w:left="11" w:hanging="11"/>
        <w:rPr>
          <w:rFonts w:ascii="Lato" w:hAnsi="Lato"/>
          <w:b/>
          <w:color w:val="365F91"/>
        </w:rPr>
      </w:pPr>
      <w:bookmarkStart w:id="417" w:name="_Toc336419486"/>
      <w:bookmarkStart w:id="418" w:name="_Toc336943653"/>
      <w:bookmarkStart w:id="419" w:name="_Toc20219192"/>
      <w:r w:rsidRPr="002A6BB0">
        <w:rPr>
          <w:rFonts w:ascii="Lato" w:hAnsi="Lato"/>
          <w:b/>
          <w:bCs/>
          <w:color w:val="365F91"/>
        </w:rPr>
        <w:lastRenderedPageBreak/>
        <w:t xml:space="preserve">Tabela </w:t>
      </w:r>
      <w:r w:rsidR="004042AE" w:rsidRPr="002A6BB0">
        <w:rPr>
          <w:rFonts w:ascii="Lato" w:hAnsi="Lato"/>
          <w:b/>
          <w:bCs/>
          <w:color w:val="365F91"/>
        </w:rPr>
        <w:fldChar w:fldCharType="begin"/>
      </w:r>
      <w:r w:rsidR="005430ED" w:rsidRPr="002A6BB0">
        <w:rPr>
          <w:rFonts w:ascii="Lato" w:hAnsi="Lato"/>
          <w:b/>
          <w:bCs/>
          <w:color w:val="365F91"/>
        </w:rPr>
        <w:instrText xml:space="preserve"> STYLEREF 1 \s </w:instrText>
      </w:r>
      <w:r w:rsidR="004042AE" w:rsidRPr="002A6BB0">
        <w:rPr>
          <w:rFonts w:ascii="Lato" w:hAnsi="Lato"/>
          <w:b/>
          <w:bCs/>
          <w:color w:val="365F91"/>
        </w:rPr>
        <w:fldChar w:fldCharType="separate"/>
      </w:r>
      <w:r w:rsidR="0040205B">
        <w:rPr>
          <w:rFonts w:ascii="Lato" w:hAnsi="Lato"/>
          <w:b/>
          <w:bCs/>
          <w:noProof/>
          <w:color w:val="365F91"/>
        </w:rPr>
        <w:t>5</w:t>
      </w:r>
      <w:r w:rsidR="004042AE" w:rsidRPr="002A6BB0">
        <w:rPr>
          <w:rFonts w:ascii="Lato" w:hAnsi="Lato"/>
          <w:b/>
          <w:bCs/>
          <w:color w:val="365F91"/>
        </w:rPr>
        <w:fldChar w:fldCharType="end"/>
      </w:r>
      <w:r w:rsidR="005430ED" w:rsidRPr="002A6BB0">
        <w:rPr>
          <w:rFonts w:ascii="Lato" w:hAnsi="Lato"/>
          <w:b/>
          <w:bCs/>
          <w:color w:val="365F91"/>
        </w:rPr>
        <w:noBreakHyphen/>
      </w:r>
      <w:r w:rsidR="004042AE" w:rsidRPr="002A6BB0">
        <w:rPr>
          <w:rFonts w:ascii="Lato" w:hAnsi="Lato"/>
          <w:b/>
          <w:bCs/>
          <w:color w:val="365F91"/>
        </w:rPr>
        <w:fldChar w:fldCharType="begin"/>
      </w:r>
      <w:r w:rsidR="005430ED" w:rsidRPr="002A6BB0">
        <w:rPr>
          <w:rFonts w:ascii="Lato" w:hAnsi="Lato"/>
          <w:b/>
          <w:bCs/>
          <w:color w:val="365F91"/>
        </w:rPr>
        <w:instrText xml:space="preserve"> SEQ Tabela \* ARABIC \s 1 </w:instrText>
      </w:r>
      <w:r w:rsidR="004042AE" w:rsidRPr="002A6BB0">
        <w:rPr>
          <w:rFonts w:ascii="Lato" w:hAnsi="Lato"/>
          <w:b/>
          <w:bCs/>
          <w:color w:val="365F91"/>
        </w:rPr>
        <w:fldChar w:fldCharType="separate"/>
      </w:r>
      <w:r w:rsidR="0040205B">
        <w:rPr>
          <w:rFonts w:ascii="Lato" w:hAnsi="Lato"/>
          <w:b/>
          <w:bCs/>
          <w:noProof/>
          <w:color w:val="365F91"/>
        </w:rPr>
        <w:t>3</w:t>
      </w:r>
      <w:r w:rsidR="004042AE" w:rsidRPr="002A6BB0">
        <w:rPr>
          <w:rFonts w:ascii="Lato" w:hAnsi="Lato"/>
          <w:b/>
          <w:bCs/>
          <w:color w:val="365F91"/>
        </w:rPr>
        <w:fldChar w:fldCharType="end"/>
      </w:r>
      <w:r w:rsidRPr="002A6BB0">
        <w:rPr>
          <w:rFonts w:ascii="Lato" w:hAnsi="Lato"/>
          <w:b/>
          <w:color w:val="365F91"/>
        </w:rPr>
        <w:t xml:space="preserve"> Zestawienie obszarów przyjętych w scenariuszu</w:t>
      </w:r>
      <w:r w:rsidR="008B17BA" w:rsidRPr="002A6BB0">
        <w:rPr>
          <w:rFonts w:ascii="Lato" w:hAnsi="Lato"/>
          <w:b/>
          <w:color w:val="365F91"/>
        </w:rPr>
        <w:t xml:space="preserve"> B</w:t>
      </w:r>
      <w:r w:rsidRPr="002A6BB0">
        <w:rPr>
          <w:rFonts w:ascii="Lato" w:hAnsi="Lato"/>
          <w:b/>
          <w:color w:val="365F91"/>
        </w:rPr>
        <w:t xml:space="preserve"> do zagospodarowania do 203</w:t>
      </w:r>
      <w:bookmarkEnd w:id="417"/>
      <w:bookmarkEnd w:id="418"/>
      <w:r w:rsidR="00B5219E" w:rsidRPr="002A6BB0">
        <w:rPr>
          <w:rFonts w:ascii="Lato" w:hAnsi="Lato"/>
          <w:b/>
          <w:color w:val="365F91"/>
        </w:rPr>
        <w:t>5</w:t>
      </w:r>
      <w:bookmarkEnd w:id="419"/>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2071"/>
        <w:gridCol w:w="2824"/>
        <w:gridCol w:w="2230"/>
        <w:gridCol w:w="2428"/>
      </w:tblGrid>
      <w:tr w:rsidR="00D36BA4" w:rsidRPr="00B308AC" w:rsidTr="00B5219E">
        <w:trPr>
          <w:trHeight w:val="300"/>
          <w:jc w:val="center"/>
        </w:trPr>
        <w:tc>
          <w:tcPr>
            <w:tcW w:w="5000" w:type="pct"/>
            <w:gridSpan w:val="4"/>
            <w:shd w:val="clear" w:color="000000" w:fill="DBE5F1"/>
            <w:noWrap/>
            <w:vAlign w:val="center"/>
            <w:hideMark/>
          </w:tcPr>
          <w:p w:rsidR="00D36BA4" w:rsidRPr="00B308AC" w:rsidRDefault="00D36BA4" w:rsidP="0035064F">
            <w:pPr>
              <w:spacing w:line="240" w:lineRule="auto"/>
              <w:ind w:firstLine="0"/>
              <w:jc w:val="center"/>
              <w:rPr>
                <w:rFonts w:ascii="Lato" w:hAnsi="Lato"/>
                <w:color w:val="365F91"/>
                <w:sz w:val="20"/>
                <w:szCs w:val="20"/>
              </w:rPr>
            </w:pPr>
            <w:bookmarkStart w:id="420" w:name="_Toc336419487"/>
            <w:bookmarkStart w:id="421" w:name="_Toc336943654"/>
            <w:r w:rsidRPr="00B308AC">
              <w:rPr>
                <w:rFonts w:ascii="Lato" w:hAnsi="Lato"/>
                <w:color w:val="365F91"/>
                <w:sz w:val="20"/>
                <w:szCs w:val="20"/>
              </w:rPr>
              <w:t>Powierzchnia obszarów</w:t>
            </w:r>
          </w:p>
        </w:tc>
      </w:tr>
      <w:tr w:rsidR="00D36BA4" w:rsidRPr="00B308AC" w:rsidTr="00B5219E">
        <w:trPr>
          <w:trHeight w:val="525"/>
          <w:jc w:val="center"/>
        </w:trPr>
        <w:tc>
          <w:tcPr>
            <w:tcW w:w="1084"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Razem</w:t>
            </w:r>
          </w:p>
        </w:tc>
        <w:tc>
          <w:tcPr>
            <w:tcW w:w="1478"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Mieszkalnictwo</w:t>
            </w:r>
          </w:p>
        </w:tc>
        <w:tc>
          <w:tcPr>
            <w:tcW w:w="1167"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Usługi</w:t>
            </w:r>
          </w:p>
        </w:tc>
        <w:tc>
          <w:tcPr>
            <w:tcW w:w="1271"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Przemysł</w:t>
            </w:r>
          </w:p>
        </w:tc>
      </w:tr>
      <w:tr w:rsidR="00D36BA4" w:rsidRPr="00B308AC" w:rsidTr="00B5219E">
        <w:trPr>
          <w:trHeight w:val="345"/>
          <w:jc w:val="center"/>
        </w:trPr>
        <w:tc>
          <w:tcPr>
            <w:tcW w:w="1084" w:type="pct"/>
            <w:shd w:val="clear" w:color="000000" w:fill="DBE5F1"/>
            <w:vAlign w:val="center"/>
            <w:hideMark/>
          </w:tcPr>
          <w:p w:rsidR="00D36BA4" w:rsidRPr="00B308AC" w:rsidRDefault="00D577AA" w:rsidP="0035064F">
            <w:pPr>
              <w:spacing w:line="240" w:lineRule="auto"/>
              <w:ind w:firstLine="0"/>
              <w:jc w:val="center"/>
              <w:rPr>
                <w:rFonts w:ascii="Lato" w:hAnsi="Lato"/>
                <w:color w:val="365F91"/>
                <w:sz w:val="20"/>
                <w:szCs w:val="20"/>
              </w:rPr>
            </w:pPr>
            <w:r w:rsidRPr="00B308AC">
              <w:rPr>
                <w:rFonts w:ascii="Lato" w:hAnsi="Lato"/>
                <w:color w:val="365F91"/>
                <w:sz w:val="20"/>
                <w:szCs w:val="20"/>
              </w:rPr>
              <w:t>ha</w:t>
            </w:r>
          </w:p>
        </w:tc>
        <w:tc>
          <w:tcPr>
            <w:tcW w:w="1478" w:type="pct"/>
            <w:shd w:val="clear" w:color="000000" w:fill="DBE5F1"/>
            <w:vAlign w:val="center"/>
            <w:hideMark/>
          </w:tcPr>
          <w:p w:rsidR="00D36BA4" w:rsidRPr="00B308AC" w:rsidRDefault="00D577AA" w:rsidP="0035064F">
            <w:pPr>
              <w:spacing w:line="240" w:lineRule="auto"/>
              <w:ind w:firstLine="0"/>
              <w:jc w:val="center"/>
              <w:rPr>
                <w:rFonts w:ascii="Lato" w:hAnsi="Lato"/>
                <w:color w:val="365F91"/>
                <w:sz w:val="20"/>
                <w:szCs w:val="20"/>
              </w:rPr>
            </w:pPr>
            <w:r w:rsidRPr="00B308AC">
              <w:rPr>
                <w:rFonts w:ascii="Lato" w:hAnsi="Lato"/>
                <w:color w:val="365F91"/>
                <w:sz w:val="20"/>
                <w:szCs w:val="20"/>
              </w:rPr>
              <w:t>ha</w:t>
            </w:r>
          </w:p>
        </w:tc>
        <w:tc>
          <w:tcPr>
            <w:tcW w:w="1167" w:type="pct"/>
            <w:shd w:val="clear" w:color="000000" w:fill="DBE5F1"/>
            <w:vAlign w:val="center"/>
            <w:hideMark/>
          </w:tcPr>
          <w:p w:rsidR="00D36BA4" w:rsidRPr="00B308AC" w:rsidRDefault="00D577AA" w:rsidP="0035064F">
            <w:pPr>
              <w:spacing w:line="240" w:lineRule="auto"/>
              <w:ind w:firstLine="0"/>
              <w:jc w:val="center"/>
              <w:rPr>
                <w:rFonts w:ascii="Lato" w:hAnsi="Lato"/>
                <w:color w:val="365F91"/>
                <w:sz w:val="20"/>
                <w:szCs w:val="20"/>
              </w:rPr>
            </w:pPr>
            <w:r w:rsidRPr="00B308AC">
              <w:rPr>
                <w:rFonts w:ascii="Lato" w:hAnsi="Lato"/>
                <w:color w:val="365F91"/>
                <w:sz w:val="20"/>
                <w:szCs w:val="20"/>
              </w:rPr>
              <w:t>ha</w:t>
            </w:r>
          </w:p>
        </w:tc>
        <w:tc>
          <w:tcPr>
            <w:tcW w:w="1271" w:type="pct"/>
            <w:shd w:val="clear" w:color="000000" w:fill="DBE5F1"/>
            <w:vAlign w:val="center"/>
            <w:hideMark/>
          </w:tcPr>
          <w:p w:rsidR="00D36BA4" w:rsidRPr="00B308AC" w:rsidRDefault="00D577AA" w:rsidP="0035064F">
            <w:pPr>
              <w:spacing w:line="240" w:lineRule="auto"/>
              <w:ind w:firstLine="0"/>
              <w:jc w:val="center"/>
              <w:rPr>
                <w:rFonts w:ascii="Lato" w:hAnsi="Lato"/>
                <w:color w:val="365F91"/>
                <w:sz w:val="20"/>
                <w:szCs w:val="20"/>
              </w:rPr>
            </w:pPr>
            <w:r w:rsidRPr="00B308AC">
              <w:rPr>
                <w:rFonts w:ascii="Lato" w:hAnsi="Lato"/>
                <w:color w:val="365F91"/>
                <w:sz w:val="20"/>
                <w:szCs w:val="20"/>
              </w:rPr>
              <w:t>ha</w:t>
            </w:r>
          </w:p>
        </w:tc>
      </w:tr>
      <w:tr w:rsidR="00B308AC" w:rsidRPr="00B308AC" w:rsidTr="00B5219E">
        <w:trPr>
          <w:trHeight w:val="418"/>
          <w:jc w:val="center"/>
        </w:trPr>
        <w:tc>
          <w:tcPr>
            <w:tcW w:w="1084" w:type="pct"/>
            <w:tcBorders>
              <w:bottom w:val="single" w:sz="4" w:space="0" w:color="4F81BD"/>
            </w:tcBorders>
            <w:shd w:val="clear" w:color="auto" w:fill="auto"/>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101,7</w:t>
            </w:r>
          </w:p>
        </w:tc>
        <w:tc>
          <w:tcPr>
            <w:tcW w:w="1478" w:type="pct"/>
            <w:tcBorders>
              <w:bottom w:val="single" w:sz="4" w:space="0" w:color="4F81BD"/>
            </w:tcBorders>
            <w:shd w:val="clear" w:color="auto" w:fill="auto"/>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73,5</w:t>
            </w:r>
          </w:p>
        </w:tc>
        <w:tc>
          <w:tcPr>
            <w:tcW w:w="1167" w:type="pct"/>
            <w:tcBorders>
              <w:bottom w:val="single" w:sz="4" w:space="0" w:color="4F81BD"/>
            </w:tcBorders>
            <w:shd w:val="clear" w:color="auto" w:fill="auto"/>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20,2</w:t>
            </w:r>
          </w:p>
        </w:tc>
        <w:tc>
          <w:tcPr>
            <w:tcW w:w="1271" w:type="pct"/>
            <w:tcBorders>
              <w:bottom w:val="single" w:sz="4" w:space="0" w:color="4F81BD"/>
            </w:tcBorders>
            <w:shd w:val="clear" w:color="auto" w:fill="auto"/>
            <w:vAlign w:val="center"/>
            <w:hideMark/>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8,0</w:t>
            </w:r>
          </w:p>
        </w:tc>
      </w:tr>
      <w:tr w:rsidR="00D36BA4" w:rsidRPr="00B308AC" w:rsidTr="00B5219E">
        <w:trPr>
          <w:trHeight w:val="330"/>
          <w:jc w:val="center"/>
        </w:trPr>
        <w:tc>
          <w:tcPr>
            <w:tcW w:w="5000" w:type="pct"/>
            <w:gridSpan w:val="4"/>
            <w:shd w:val="clear" w:color="000000" w:fill="DBE5F1"/>
            <w:noWrap/>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Szacunkowa powierzchnia użytkowa budynków</w:t>
            </w:r>
          </w:p>
        </w:tc>
      </w:tr>
      <w:tr w:rsidR="00D36BA4" w:rsidRPr="00B308AC" w:rsidTr="00B5219E">
        <w:trPr>
          <w:trHeight w:val="597"/>
          <w:jc w:val="center"/>
        </w:trPr>
        <w:tc>
          <w:tcPr>
            <w:tcW w:w="1084"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Razem</w:t>
            </w:r>
          </w:p>
        </w:tc>
        <w:tc>
          <w:tcPr>
            <w:tcW w:w="1478"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Mieszkalnictwo</w:t>
            </w:r>
          </w:p>
        </w:tc>
        <w:tc>
          <w:tcPr>
            <w:tcW w:w="1167"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Usługi</w:t>
            </w:r>
          </w:p>
        </w:tc>
        <w:tc>
          <w:tcPr>
            <w:tcW w:w="1271"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Przemysł</w:t>
            </w:r>
          </w:p>
        </w:tc>
      </w:tr>
      <w:tr w:rsidR="00D36BA4" w:rsidRPr="00B308AC" w:rsidTr="00B5219E">
        <w:trPr>
          <w:trHeight w:val="280"/>
          <w:jc w:val="center"/>
        </w:trPr>
        <w:tc>
          <w:tcPr>
            <w:tcW w:w="1084"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m</w:t>
            </w:r>
            <w:r w:rsidRPr="00B308AC">
              <w:rPr>
                <w:rFonts w:ascii="Lato" w:hAnsi="Lato"/>
                <w:color w:val="365F91"/>
                <w:sz w:val="20"/>
                <w:szCs w:val="20"/>
                <w:vertAlign w:val="superscript"/>
              </w:rPr>
              <w:t>2</w:t>
            </w:r>
          </w:p>
        </w:tc>
        <w:tc>
          <w:tcPr>
            <w:tcW w:w="1478"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m</w:t>
            </w:r>
            <w:r w:rsidRPr="00B308AC">
              <w:rPr>
                <w:rFonts w:ascii="Lato" w:hAnsi="Lato"/>
                <w:color w:val="365F91"/>
                <w:sz w:val="20"/>
                <w:szCs w:val="20"/>
                <w:vertAlign w:val="superscript"/>
              </w:rPr>
              <w:t>2</w:t>
            </w:r>
          </w:p>
        </w:tc>
        <w:tc>
          <w:tcPr>
            <w:tcW w:w="1167"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m</w:t>
            </w:r>
            <w:r w:rsidRPr="00B308AC">
              <w:rPr>
                <w:rFonts w:ascii="Lato" w:hAnsi="Lato"/>
                <w:color w:val="365F91"/>
                <w:sz w:val="20"/>
                <w:szCs w:val="20"/>
                <w:vertAlign w:val="superscript"/>
              </w:rPr>
              <w:t>2</w:t>
            </w:r>
          </w:p>
        </w:tc>
        <w:tc>
          <w:tcPr>
            <w:tcW w:w="1271" w:type="pct"/>
            <w:shd w:val="clear" w:color="000000" w:fill="DBE5F1"/>
            <w:vAlign w:val="center"/>
            <w:hideMark/>
          </w:tcPr>
          <w:p w:rsidR="00D36BA4" w:rsidRPr="00B308AC" w:rsidRDefault="00D36BA4" w:rsidP="0035064F">
            <w:pPr>
              <w:spacing w:line="240" w:lineRule="auto"/>
              <w:ind w:firstLine="0"/>
              <w:jc w:val="center"/>
              <w:rPr>
                <w:rFonts w:ascii="Lato" w:hAnsi="Lato"/>
                <w:color w:val="365F91"/>
                <w:sz w:val="20"/>
                <w:szCs w:val="20"/>
              </w:rPr>
            </w:pPr>
            <w:r w:rsidRPr="00B308AC">
              <w:rPr>
                <w:rFonts w:ascii="Lato" w:hAnsi="Lato"/>
                <w:color w:val="365F91"/>
                <w:sz w:val="20"/>
                <w:szCs w:val="20"/>
              </w:rPr>
              <w:t>m</w:t>
            </w:r>
            <w:r w:rsidRPr="00B308AC">
              <w:rPr>
                <w:rFonts w:ascii="Lato" w:hAnsi="Lato"/>
                <w:color w:val="365F91"/>
                <w:sz w:val="20"/>
                <w:szCs w:val="20"/>
                <w:vertAlign w:val="superscript"/>
              </w:rPr>
              <w:t>2</w:t>
            </w:r>
          </w:p>
        </w:tc>
      </w:tr>
      <w:tr w:rsidR="00B308AC" w:rsidRPr="00D352C4" w:rsidTr="00B5219E">
        <w:trPr>
          <w:trHeight w:val="543"/>
          <w:jc w:val="center"/>
        </w:trPr>
        <w:tc>
          <w:tcPr>
            <w:tcW w:w="1084" w:type="pct"/>
            <w:shd w:val="clear" w:color="auto" w:fill="auto"/>
            <w:noWrap/>
            <w:vAlign w:val="center"/>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152 581</w:t>
            </w:r>
          </w:p>
        </w:tc>
        <w:tc>
          <w:tcPr>
            <w:tcW w:w="1478" w:type="pct"/>
            <w:shd w:val="clear" w:color="auto" w:fill="auto"/>
            <w:noWrap/>
            <w:vAlign w:val="center"/>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105 008</w:t>
            </w:r>
          </w:p>
        </w:tc>
        <w:tc>
          <w:tcPr>
            <w:tcW w:w="1167" w:type="pct"/>
            <w:shd w:val="clear" w:color="auto" w:fill="auto"/>
            <w:noWrap/>
            <w:vAlign w:val="center"/>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7 723</w:t>
            </w:r>
          </w:p>
        </w:tc>
        <w:tc>
          <w:tcPr>
            <w:tcW w:w="1271" w:type="pct"/>
            <w:shd w:val="clear" w:color="auto" w:fill="auto"/>
            <w:noWrap/>
            <w:vAlign w:val="center"/>
          </w:tcPr>
          <w:p w:rsidR="00B308AC" w:rsidRPr="00B308AC" w:rsidRDefault="00B308AC" w:rsidP="00B308AC">
            <w:pPr>
              <w:spacing w:line="240" w:lineRule="auto"/>
              <w:ind w:firstLine="0"/>
              <w:jc w:val="center"/>
              <w:rPr>
                <w:rFonts w:ascii="Lato" w:hAnsi="Lato"/>
                <w:color w:val="365F91"/>
                <w:sz w:val="20"/>
                <w:szCs w:val="20"/>
              </w:rPr>
            </w:pPr>
            <w:r w:rsidRPr="00B308AC">
              <w:rPr>
                <w:rFonts w:ascii="Lato" w:hAnsi="Lato"/>
                <w:color w:val="365F91"/>
                <w:sz w:val="20"/>
                <w:szCs w:val="20"/>
              </w:rPr>
              <w:t>39 850</w:t>
            </w:r>
          </w:p>
        </w:tc>
      </w:tr>
    </w:tbl>
    <w:p w:rsidR="00DB35F5" w:rsidRPr="007F2E78" w:rsidRDefault="00DB35F5" w:rsidP="00DB35F5">
      <w:pPr>
        <w:suppressAutoHyphens/>
        <w:ind w:firstLine="0"/>
        <w:jc w:val="center"/>
        <w:rPr>
          <w:rFonts w:ascii="Lato" w:hAnsi="Lato"/>
          <w:bCs/>
          <w:i/>
          <w:sz w:val="20"/>
          <w:szCs w:val="22"/>
        </w:rPr>
      </w:pPr>
      <w:r w:rsidRPr="00604E48">
        <w:rPr>
          <w:rFonts w:ascii="Lato" w:hAnsi="Lato"/>
          <w:bCs/>
          <w:i/>
          <w:sz w:val="20"/>
          <w:szCs w:val="22"/>
        </w:rPr>
        <w:t xml:space="preserve">Źródło: </w:t>
      </w:r>
      <w:r w:rsidRPr="007F2E78">
        <w:rPr>
          <w:rFonts w:ascii="Lato" w:hAnsi="Lato"/>
          <w:bCs/>
          <w:i/>
          <w:sz w:val="20"/>
          <w:szCs w:val="22"/>
        </w:rPr>
        <w:t>Analizy własne</w:t>
      </w:r>
    </w:p>
    <w:p w:rsidR="006B024A" w:rsidRPr="002A6BB0" w:rsidRDefault="006B024A" w:rsidP="00631E84">
      <w:pPr>
        <w:pStyle w:val="Lista2"/>
        <w:tabs>
          <w:tab w:val="left" w:pos="0"/>
        </w:tabs>
        <w:spacing w:before="120" w:after="120" w:line="240" w:lineRule="auto"/>
        <w:ind w:left="11" w:hanging="11"/>
        <w:rPr>
          <w:rFonts w:ascii="Lato" w:hAnsi="Lato"/>
        </w:rPr>
      </w:pPr>
      <w:bookmarkStart w:id="422" w:name="_Toc20219193"/>
      <w:r w:rsidRPr="002A6BB0">
        <w:rPr>
          <w:rFonts w:ascii="Lato" w:hAnsi="Lato"/>
          <w:b/>
          <w:bCs/>
          <w:color w:val="365F91"/>
        </w:rPr>
        <w:t xml:space="preserve">Tabela </w:t>
      </w:r>
      <w:r w:rsidR="004042AE" w:rsidRPr="002A6BB0">
        <w:rPr>
          <w:rFonts w:ascii="Lato" w:hAnsi="Lato"/>
          <w:b/>
          <w:bCs/>
          <w:color w:val="365F91"/>
        </w:rPr>
        <w:fldChar w:fldCharType="begin"/>
      </w:r>
      <w:r w:rsidR="005430ED" w:rsidRPr="002A6BB0">
        <w:rPr>
          <w:rFonts w:ascii="Lato" w:hAnsi="Lato"/>
          <w:b/>
          <w:bCs/>
          <w:color w:val="365F91"/>
        </w:rPr>
        <w:instrText xml:space="preserve"> STYLEREF 1 \s </w:instrText>
      </w:r>
      <w:r w:rsidR="004042AE" w:rsidRPr="002A6BB0">
        <w:rPr>
          <w:rFonts w:ascii="Lato" w:hAnsi="Lato"/>
          <w:b/>
          <w:bCs/>
          <w:color w:val="365F91"/>
        </w:rPr>
        <w:fldChar w:fldCharType="separate"/>
      </w:r>
      <w:r w:rsidR="0040205B">
        <w:rPr>
          <w:rFonts w:ascii="Lato" w:hAnsi="Lato"/>
          <w:b/>
          <w:bCs/>
          <w:noProof/>
          <w:color w:val="365F91"/>
        </w:rPr>
        <w:t>5</w:t>
      </w:r>
      <w:r w:rsidR="004042AE" w:rsidRPr="002A6BB0">
        <w:rPr>
          <w:rFonts w:ascii="Lato" w:hAnsi="Lato"/>
          <w:b/>
          <w:bCs/>
          <w:color w:val="365F91"/>
        </w:rPr>
        <w:fldChar w:fldCharType="end"/>
      </w:r>
      <w:r w:rsidR="005430ED" w:rsidRPr="002A6BB0">
        <w:rPr>
          <w:rFonts w:ascii="Lato" w:hAnsi="Lato"/>
          <w:b/>
          <w:bCs/>
          <w:color w:val="365F91"/>
        </w:rPr>
        <w:noBreakHyphen/>
      </w:r>
      <w:r w:rsidR="004042AE" w:rsidRPr="002A6BB0">
        <w:rPr>
          <w:rFonts w:ascii="Lato" w:hAnsi="Lato"/>
          <w:b/>
          <w:bCs/>
          <w:color w:val="365F91"/>
        </w:rPr>
        <w:fldChar w:fldCharType="begin"/>
      </w:r>
      <w:r w:rsidR="005430ED" w:rsidRPr="002A6BB0">
        <w:rPr>
          <w:rFonts w:ascii="Lato" w:hAnsi="Lato"/>
          <w:b/>
          <w:bCs/>
          <w:color w:val="365F91"/>
        </w:rPr>
        <w:instrText xml:space="preserve"> SEQ Tabela \* ARABIC \s 1 </w:instrText>
      </w:r>
      <w:r w:rsidR="004042AE" w:rsidRPr="002A6BB0">
        <w:rPr>
          <w:rFonts w:ascii="Lato" w:hAnsi="Lato"/>
          <w:b/>
          <w:bCs/>
          <w:color w:val="365F91"/>
        </w:rPr>
        <w:fldChar w:fldCharType="separate"/>
      </w:r>
      <w:r w:rsidR="0040205B">
        <w:rPr>
          <w:rFonts w:ascii="Lato" w:hAnsi="Lato"/>
          <w:b/>
          <w:bCs/>
          <w:noProof/>
          <w:color w:val="365F91"/>
        </w:rPr>
        <w:t>4</w:t>
      </w:r>
      <w:r w:rsidR="004042AE" w:rsidRPr="002A6BB0">
        <w:rPr>
          <w:rFonts w:ascii="Lato" w:hAnsi="Lato"/>
          <w:b/>
          <w:bCs/>
          <w:color w:val="365F91"/>
        </w:rPr>
        <w:fldChar w:fldCharType="end"/>
      </w:r>
      <w:r w:rsidRPr="002A6BB0">
        <w:rPr>
          <w:rFonts w:ascii="Lato" w:hAnsi="Lato"/>
          <w:b/>
          <w:color w:val="365F91"/>
        </w:rPr>
        <w:t xml:space="preserve"> Zestawienie potrzeb energetycznych obszarów ujętych w scenariuszu B do 203</w:t>
      </w:r>
      <w:bookmarkEnd w:id="420"/>
      <w:bookmarkEnd w:id="421"/>
      <w:r w:rsidR="00B5219E" w:rsidRPr="002A6BB0">
        <w:rPr>
          <w:rFonts w:ascii="Lato" w:hAnsi="Lato"/>
          <w:b/>
          <w:color w:val="365F91"/>
        </w:rPr>
        <w:t>5</w:t>
      </w:r>
      <w:bookmarkEnd w:id="422"/>
    </w:p>
    <w:tbl>
      <w:tblPr>
        <w:tblW w:w="5000" w:type="pct"/>
        <w:jc w:val="center"/>
        <w:tblCellMar>
          <w:left w:w="70" w:type="dxa"/>
          <w:right w:w="70" w:type="dxa"/>
        </w:tblCellMar>
        <w:tblLook w:val="04A0" w:firstRow="1" w:lastRow="0" w:firstColumn="1" w:lastColumn="0" w:noHBand="0" w:noVBand="1"/>
      </w:tblPr>
      <w:tblGrid>
        <w:gridCol w:w="3605"/>
        <w:gridCol w:w="1229"/>
        <w:gridCol w:w="1771"/>
        <w:gridCol w:w="1053"/>
        <w:gridCol w:w="1895"/>
      </w:tblGrid>
      <w:tr w:rsidR="0020251A" w:rsidRPr="00B308AC" w:rsidTr="00B5219E">
        <w:trPr>
          <w:trHeight w:val="525"/>
          <w:jc w:val="center"/>
        </w:trPr>
        <w:tc>
          <w:tcPr>
            <w:tcW w:w="1887"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20251A" w:rsidRPr="00B308AC" w:rsidRDefault="0020251A" w:rsidP="0020251A">
            <w:pPr>
              <w:spacing w:line="240" w:lineRule="auto"/>
              <w:ind w:firstLine="0"/>
              <w:jc w:val="center"/>
              <w:rPr>
                <w:rFonts w:ascii="Lato" w:hAnsi="Lato"/>
                <w:color w:val="1F497D"/>
                <w:sz w:val="20"/>
                <w:szCs w:val="20"/>
              </w:rPr>
            </w:pPr>
            <w:r w:rsidRPr="00B308AC">
              <w:rPr>
                <w:rFonts w:ascii="Lato" w:hAnsi="Lato"/>
                <w:color w:val="1F497D"/>
                <w:sz w:val="20"/>
                <w:szCs w:val="20"/>
              </w:rPr>
              <w:t>Rodzaj inwestycji</w:t>
            </w:r>
          </w:p>
        </w:tc>
        <w:tc>
          <w:tcPr>
            <w:tcW w:w="1570" w:type="pct"/>
            <w:gridSpan w:val="2"/>
            <w:tcBorders>
              <w:top w:val="single" w:sz="4" w:space="0" w:color="4F81BD"/>
              <w:left w:val="nil"/>
              <w:bottom w:val="single" w:sz="4" w:space="0" w:color="4F81BD"/>
              <w:right w:val="single" w:sz="4" w:space="0" w:color="4F81BD"/>
            </w:tcBorders>
            <w:shd w:val="clear" w:color="000000" w:fill="DCE6F1"/>
            <w:vAlign w:val="center"/>
            <w:hideMark/>
          </w:tcPr>
          <w:p w:rsidR="0020251A" w:rsidRPr="00B308AC" w:rsidRDefault="0020251A" w:rsidP="0020251A">
            <w:pPr>
              <w:spacing w:line="240" w:lineRule="auto"/>
              <w:ind w:firstLine="0"/>
              <w:jc w:val="center"/>
              <w:rPr>
                <w:rFonts w:ascii="Lato" w:hAnsi="Lato"/>
                <w:color w:val="1F497D"/>
                <w:sz w:val="20"/>
                <w:szCs w:val="20"/>
              </w:rPr>
            </w:pPr>
            <w:r w:rsidRPr="00B308AC">
              <w:rPr>
                <w:rFonts w:ascii="Lato" w:hAnsi="Lato"/>
                <w:color w:val="1F497D"/>
                <w:sz w:val="20"/>
                <w:szCs w:val="20"/>
              </w:rPr>
              <w:t>Zapotrzebowanie na ciepło (ogrzewanie)</w:t>
            </w:r>
          </w:p>
        </w:tc>
        <w:tc>
          <w:tcPr>
            <w:tcW w:w="1543" w:type="pct"/>
            <w:gridSpan w:val="2"/>
            <w:tcBorders>
              <w:top w:val="single" w:sz="4" w:space="0" w:color="4F81BD"/>
              <w:left w:val="nil"/>
              <w:bottom w:val="single" w:sz="4" w:space="0" w:color="4F81BD"/>
              <w:right w:val="single" w:sz="4" w:space="0" w:color="4F81BD"/>
            </w:tcBorders>
            <w:shd w:val="clear" w:color="000000" w:fill="DCE6F1"/>
            <w:vAlign w:val="center"/>
            <w:hideMark/>
          </w:tcPr>
          <w:p w:rsidR="0020251A" w:rsidRPr="00B308AC" w:rsidRDefault="0020251A" w:rsidP="0020251A">
            <w:pPr>
              <w:spacing w:line="240" w:lineRule="auto"/>
              <w:ind w:firstLine="0"/>
              <w:jc w:val="center"/>
              <w:rPr>
                <w:rFonts w:ascii="Lato" w:hAnsi="Lato"/>
                <w:color w:val="1F497D"/>
                <w:sz w:val="20"/>
                <w:szCs w:val="20"/>
              </w:rPr>
            </w:pPr>
            <w:r w:rsidRPr="00B308AC">
              <w:rPr>
                <w:rFonts w:ascii="Lato" w:hAnsi="Lato"/>
                <w:color w:val="1F497D"/>
                <w:sz w:val="20"/>
                <w:szCs w:val="20"/>
              </w:rPr>
              <w:t>Zapotrzebowanie na energię elektryczną</w:t>
            </w:r>
          </w:p>
        </w:tc>
      </w:tr>
      <w:tr w:rsidR="0020251A" w:rsidRPr="00B308AC" w:rsidTr="00B5219E">
        <w:trPr>
          <w:trHeight w:val="315"/>
          <w:jc w:val="center"/>
        </w:trPr>
        <w:tc>
          <w:tcPr>
            <w:tcW w:w="1887" w:type="pct"/>
            <w:vMerge/>
            <w:tcBorders>
              <w:top w:val="single" w:sz="4" w:space="0" w:color="4F81BD"/>
              <w:left w:val="single" w:sz="4" w:space="0" w:color="4F81BD"/>
              <w:bottom w:val="single" w:sz="4" w:space="0" w:color="4F81BD"/>
              <w:right w:val="single" w:sz="4" w:space="0" w:color="4F81BD"/>
            </w:tcBorders>
            <w:vAlign w:val="center"/>
            <w:hideMark/>
          </w:tcPr>
          <w:p w:rsidR="0020251A" w:rsidRPr="00B308AC" w:rsidRDefault="0020251A" w:rsidP="0020251A">
            <w:pPr>
              <w:spacing w:line="240" w:lineRule="auto"/>
              <w:ind w:firstLine="0"/>
              <w:rPr>
                <w:rFonts w:ascii="Lato" w:hAnsi="Lato"/>
                <w:color w:val="1F497D"/>
                <w:sz w:val="20"/>
                <w:szCs w:val="20"/>
              </w:rPr>
            </w:pPr>
          </w:p>
        </w:tc>
        <w:tc>
          <w:tcPr>
            <w:tcW w:w="643" w:type="pct"/>
            <w:tcBorders>
              <w:top w:val="nil"/>
              <w:left w:val="nil"/>
              <w:bottom w:val="single" w:sz="4" w:space="0" w:color="4F81BD"/>
              <w:right w:val="single" w:sz="4" w:space="0" w:color="4F81BD"/>
            </w:tcBorders>
            <w:shd w:val="clear" w:color="000000" w:fill="DCE6F1"/>
            <w:noWrap/>
            <w:vAlign w:val="center"/>
            <w:hideMark/>
          </w:tcPr>
          <w:p w:rsidR="0020251A" w:rsidRPr="00B308AC" w:rsidRDefault="00D577AA" w:rsidP="0020251A">
            <w:pPr>
              <w:spacing w:line="240" w:lineRule="auto"/>
              <w:ind w:firstLine="0"/>
              <w:jc w:val="center"/>
              <w:rPr>
                <w:rFonts w:ascii="Lato" w:hAnsi="Lato"/>
                <w:color w:val="1F497D"/>
                <w:sz w:val="20"/>
                <w:szCs w:val="20"/>
              </w:rPr>
            </w:pPr>
            <w:r w:rsidRPr="00B308AC">
              <w:rPr>
                <w:rFonts w:ascii="Lato" w:hAnsi="Lato"/>
                <w:color w:val="1F497D"/>
                <w:sz w:val="20"/>
                <w:szCs w:val="20"/>
              </w:rPr>
              <w:t>MW</w:t>
            </w:r>
          </w:p>
        </w:tc>
        <w:tc>
          <w:tcPr>
            <w:tcW w:w="927" w:type="pct"/>
            <w:tcBorders>
              <w:top w:val="nil"/>
              <w:left w:val="nil"/>
              <w:bottom w:val="single" w:sz="4" w:space="0" w:color="4F81BD"/>
              <w:right w:val="single" w:sz="4" w:space="0" w:color="4F81BD"/>
            </w:tcBorders>
            <w:shd w:val="clear" w:color="000000" w:fill="DCE6F1"/>
            <w:noWrap/>
            <w:vAlign w:val="center"/>
            <w:hideMark/>
          </w:tcPr>
          <w:p w:rsidR="0020251A" w:rsidRPr="00B308AC" w:rsidRDefault="00D577AA" w:rsidP="0020251A">
            <w:pPr>
              <w:spacing w:line="240" w:lineRule="auto"/>
              <w:ind w:firstLine="0"/>
              <w:jc w:val="center"/>
              <w:rPr>
                <w:rFonts w:ascii="Lato" w:hAnsi="Lato"/>
                <w:color w:val="1F497D"/>
                <w:sz w:val="20"/>
                <w:szCs w:val="20"/>
              </w:rPr>
            </w:pPr>
            <w:r w:rsidRPr="00B308AC">
              <w:rPr>
                <w:rFonts w:ascii="Lato" w:hAnsi="Lato"/>
                <w:color w:val="1F497D"/>
                <w:sz w:val="20"/>
                <w:szCs w:val="20"/>
              </w:rPr>
              <w:t>GJ/rok</w:t>
            </w:r>
          </w:p>
        </w:tc>
        <w:tc>
          <w:tcPr>
            <w:tcW w:w="551" w:type="pct"/>
            <w:tcBorders>
              <w:top w:val="nil"/>
              <w:left w:val="nil"/>
              <w:bottom w:val="single" w:sz="4" w:space="0" w:color="4F81BD"/>
              <w:right w:val="single" w:sz="4" w:space="0" w:color="4F81BD"/>
            </w:tcBorders>
            <w:shd w:val="clear" w:color="000000" w:fill="DCE6F1"/>
            <w:noWrap/>
            <w:vAlign w:val="center"/>
            <w:hideMark/>
          </w:tcPr>
          <w:p w:rsidR="0020251A" w:rsidRPr="00B308AC" w:rsidRDefault="00D577AA" w:rsidP="0020251A">
            <w:pPr>
              <w:spacing w:line="240" w:lineRule="auto"/>
              <w:ind w:firstLine="0"/>
              <w:jc w:val="center"/>
              <w:rPr>
                <w:rFonts w:ascii="Lato" w:hAnsi="Lato"/>
                <w:color w:val="1F497D"/>
                <w:sz w:val="20"/>
                <w:szCs w:val="20"/>
              </w:rPr>
            </w:pPr>
            <w:r w:rsidRPr="00B308AC">
              <w:rPr>
                <w:rFonts w:ascii="Lato" w:hAnsi="Lato"/>
                <w:color w:val="1F497D"/>
                <w:sz w:val="20"/>
                <w:szCs w:val="20"/>
              </w:rPr>
              <w:t>MW</w:t>
            </w:r>
          </w:p>
        </w:tc>
        <w:tc>
          <w:tcPr>
            <w:tcW w:w="992" w:type="pct"/>
            <w:tcBorders>
              <w:top w:val="nil"/>
              <w:left w:val="nil"/>
              <w:bottom w:val="single" w:sz="4" w:space="0" w:color="4F81BD"/>
              <w:right w:val="single" w:sz="4" w:space="0" w:color="4F81BD"/>
            </w:tcBorders>
            <w:shd w:val="clear" w:color="000000" w:fill="DCE6F1"/>
            <w:noWrap/>
            <w:vAlign w:val="center"/>
            <w:hideMark/>
          </w:tcPr>
          <w:p w:rsidR="0020251A" w:rsidRPr="00B308AC" w:rsidRDefault="00D577AA" w:rsidP="0020251A">
            <w:pPr>
              <w:spacing w:line="240" w:lineRule="auto"/>
              <w:ind w:firstLine="0"/>
              <w:jc w:val="center"/>
              <w:rPr>
                <w:rFonts w:ascii="Lato" w:hAnsi="Lato"/>
                <w:color w:val="1F497D"/>
                <w:sz w:val="20"/>
                <w:szCs w:val="20"/>
              </w:rPr>
            </w:pPr>
            <w:r w:rsidRPr="00B308AC">
              <w:rPr>
                <w:rFonts w:ascii="Lato" w:hAnsi="Lato"/>
                <w:color w:val="1F497D"/>
                <w:sz w:val="20"/>
                <w:szCs w:val="20"/>
              </w:rPr>
              <w:t>MWh/rok</w:t>
            </w:r>
          </w:p>
        </w:tc>
      </w:tr>
      <w:tr w:rsidR="00B308AC" w:rsidRPr="00B308AC" w:rsidTr="00B5219E">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rsidR="00B308AC" w:rsidRPr="00B308AC" w:rsidRDefault="00B308AC" w:rsidP="0020251A">
            <w:pPr>
              <w:spacing w:line="240" w:lineRule="auto"/>
              <w:ind w:firstLine="0"/>
              <w:rPr>
                <w:rFonts w:ascii="Lato" w:hAnsi="Lato"/>
                <w:color w:val="1F497D"/>
                <w:sz w:val="20"/>
                <w:szCs w:val="20"/>
              </w:rPr>
            </w:pPr>
            <w:r w:rsidRPr="00B308AC">
              <w:rPr>
                <w:rFonts w:ascii="Lato" w:hAnsi="Lato"/>
                <w:color w:val="1F497D"/>
                <w:sz w:val="20"/>
                <w:szCs w:val="20"/>
              </w:rPr>
              <w:t>Strefy mieszkaniowe</w:t>
            </w:r>
          </w:p>
        </w:tc>
        <w:tc>
          <w:tcPr>
            <w:tcW w:w="643"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5,25</w:t>
            </w:r>
          </w:p>
        </w:tc>
        <w:tc>
          <w:tcPr>
            <w:tcW w:w="927"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32 288,6</w:t>
            </w:r>
          </w:p>
        </w:tc>
        <w:tc>
          <w:tcPr>
            <w:tcW w:w="551"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1,51</w:t>
            </w:r>
          </w:p>
        </w:tc>
        <w:tc>
          <w:tcPr>
            <w:tcW w:w="992"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2 761,1</w:t>
            </w:r>
          </w:p>
        </w:tc>
      </w:tr>
      <w:tr w:rsidR="00B308AC" w:rsidRPr="00B308AC" w:rsidTr="00B5219E">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rsidR="00B308AC" w:rsidRPr="00B308AC" w:rsidRDefault="00B308AC" w:rsidP="0020251A">
            <w:pPr>
              <w:spacing w:line="240" w:lineRule="auto"/>
              <w:ind w:firstLine="0"/>
              <w:rPr>
                <w:rFonts w:ascii="Lato" w:hAnsi="Lato"/>
                <w:color w:val="1F497D"/>
                <w:sz w:val="20"/>
                <w:szCs w:val="20"/>
              </w:rPr>
            </w:pPr>
            <w:r w:rsidRPr="00B308AC">
              <w:rPr>
                <w:rFonts w:ascii="Lato" w:hAnsi="Lato"/>
                <w:color w:val="1F497D"/>
                <w:sz w:val="20"/>
                <w:szCs w:val="20"/>
              </w:rPr>
              <w:t>Strefy usługowe</w:t>
            </w:r>
          </w:p>
        </w:tc>
        <w:tc>
          <w:tcPr>
            <w:tcW w:w="643"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0,47</w:t>
            </w:r>
          </w:p>
        </w:tc>
        <w:tc>
          <w:tcPr>
            <w:tcW w:w="927"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2 411,0</w:t>
            </w:r>
          </w:p>
        </w:tc>
        <w:tc>
          <w:tcPr>
            <w:tcW w:w="551"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0,30</w:t>
            </w:r>
          </w:p>
        </w:tc>
        <w:tc>
          <w:tcPr>
            <w:tcW w:w="992"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347,3</w:t>
            </w:r>
          </w:p>
        </w:tc>
      </w:tr>
      <w:tr w:rsidR="00B308AC" w:rsidRPr="00B308AC" w:rsidTr="00B5219E">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rsidR="00B308AC" w:rsidRPr="00B308AC" w:rsidRDefault="00B308AC" w:rsidP="0020251A">
            <w:pPr>
              <w:spacing w:line="240" w:lineRule="auto"/>
              <w:ind w:firstLine="0"/>
              <w:rPr>
                <w:rFonts w:ascii="Lato" w:hAnsi="Lato"/>
                <w:color w:val="1F497D"/>
                <w:sz w:val="20"/>
                <w:szCs w:val="20"/>
              </w:rPr>
            </w:pPr>
            <w:r w:rsidRPr="00B308AC">
              <w:rPr>
                <w:rFonts w:ascii="Lato" w:hAnsi="Lato"/>
                <w:color w:val="1F497D"/>
                <w:sz w:val="20"/>
                <w:szCs w:val="20"/>
              </w:rPr>
              <w:t>Strefy produkcyjne</w:t>
            </w:r>
          </w:p>
        </w:tc>
        <w:tc>
          <w:tcPr>
            <w:tcW w:w="643"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1,43</w:t>
            </w:r>
          </w:p>
        </w:tc>
        <w:tc>
          <w:tcPr>
            <w:tcW w:w="927"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6 313,9</w:t>
            </w:r>
          </w:p>
        </w:tc>
        <w:tc>
          <w:tcPr>
            <w:tcW w:w="551"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1,26</w:t>
            </w:r>
          </w:p>
        </w:tc>
        <w:tc>
          <w:tcPr>
            <w:tcW w:w="992"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1 268,3</w:t>
            </w:r>
          </w:p>
        </w:tc>
      </w:tr>
      <w:tr w:rsidR="00B308AC" w:rsidRPr="00D352C4" w:rsidTr="00B5219E">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noWrap/>
            <w:vAlign w:val="center"/>
            <w:hideMark/>
          </w:tcPr>
          <w:p w:rsidR="00B308AC" w:rsidRPr="00B308AC" w:rsidRDefault="00B308AC" w:rsidP="0020251A">
            <w:pPr>
              <w:spacing w:line="240" w:lineRule="auto"/>
              <w:ind w:firstLine="0"/>
              <w:jc w:val="center"/>
              <w:rPr>
                <w:rFonts w:ascii="Lato" w:hAnsi="Lato"/>
                <w:b/>
                <w:bCs/>
                <w:color w:val="1F497D"/>
                <w:sz w:val="20"/>
                <w:szCs w:val="20"/>
              </w:rPr>
            </w:pPr>
            <w:r w:rsidRPr="00B308AC">
              <w:rPr>
                <w:rFonts w:ascii="Lato" w:hAnsi="Lato"/>
                <w:b/>
                <w:bCs/>
                <w:color w:val="1F497D"/>
                <w:sz w:val="20"/>
                <w:szCs w:val="20"/>
              </w:rPr>
              <w:t>SUMA</w:t>
            </w:r>
          </w:p>
        </w:tc>
        <w:tc>
          <w:tcPr>
            <w:tcW w:w="643"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7,15</w:t>
            </w:r>
          </w:p>
        </w:tc>
        <w:tc>
          <w:tcPr>
            <w:tcW w:w="927"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41 013,6</w:t>
            </w:r>
          </w:p>
        </w:tc>
        <w:tc>
          <w:tcPr>
            <w:tcW w:w="551"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3,07</w:t>
            </w:r>
          </w:p>
        </w:tc>
        <w:tc>
          <w:tcPr>
            <w:tcW w:w="992" w:type="pct"/>
            <w:tcBorders>
              <w:top w:val="nil"/>
              <w:left w:val="nil"/>
              <w:bottom w:val="single" w:sz="4" w:space="0" w:color="4F81BD"/>
              <w:right w:val="single" w:sz="4" w:space="0" w:color="4F81BD"/>
            </w:tcBorders>
            <w:shd w:val="clear" w:color="auto" w:fill="auto"/>
            <w:noWrap/>
            <w:vAlign w:val="center"/>
          </w:tcPr>
          <w:p w:rsidR="00B308AC" w:rsidRPr="00B308AC" w:rsidRDefault="00B308AC" w:rsidP="00B308AC">
            <w:pPr>
              <w:spacing w:line="240" w:lineRule="auto"/>
              <w:ind w:firstLine="0"/>
              <w:jc w:val="center"/>
              <w:rPr>
                <w:rFonts w:ascii="Lato" w:hAnsi="Lato"/>
                <w:color w:val="1F497D"/>
                <w:sz w:val="20"/>
                <w:szCs w:val="20"/>
              </w:rPr>
            </w:pPr>
            <w:r w:rsidRPr="00B308AC">
              <w:rPr>
                <w:rFonts w:ascii="Lato" w:hAnsi="Lato"/>
                <w:color w:val="1F497D"/>
                <w:sz w:val="20"/>
                <w:szCs w:val="20"/>
              </w:rPr>
              <w:t>4 376,7</w:t>
            </w:r>
          </w:p>
        </w:tc>
      </w:tr>
    </w:tbl>
    <w:p w:rsidR="00DB35F5" w:rsidRPr="007F2E78" w:rsidRDefault="00DB35F5" w:rsidP="00A63E0C">
      <w:pPr>
        <w:suppressAutoHyphens/>
        <w:spacing w:after="240"/>
        <w:ind w:firstLine="0"/>
        <w:jc w:val="center"/>
        <w:rPr>
          <w:rFonts w:ascii="Lato" w:hAnsi="Lato"/>
          <w:bCs/>
          <w:i/>
          <w:sz w:val="20"/>
          <w:szCs w:val="22"/>
        </w:rPr>
      </w:pPr>
      <w:r w:rsidRPr="00604E48">
        <w:rPr>
          <w:rFonts w:ascii="Lato" w:hAnsi="Lato"/>
          <w:bCs/>
          <w:i/>
          <w:sz w:val="20"/>
          <w:szCs w:val="22"/>
        </w:rPr>
        <w:t xml:space="preserve">Źródło: </w:t>
      </w:r>
      <w:r w:rsidRPr="007F2E78">
        <w:rPr>
          <w:rFonts w:ascii="Lato" w:hAnsi="Lato"/>
          <w:bCs/>
          <w:i/>
          <w:sz w:val="20"/>
          <w:szCs w:val="22"/>
        </w:rPr>
        <w:t>Analizy własne</w:t>
      </w:r>
    </w:p>
    <w:p w:rsidR="00510E6D" w:rsidRPr="002A6BB0" w:rsidRDefault="00510E6D" w:rsidP="00510E6D">
      <w:pPr>
        <w:pStyle w:val="Lista2"/>
        <w:tabs>
          <w:tab w:val="left" w:pos="540"/>
        </w:tabs>
        <w:ind w:left="0" w:firstLine="0"/>
        <w:jc w:val="both"/>
        <w:rPr>
          <w:rFonts w:ascii="Lato" w:hAnsi="Lato"/>
          <w:sz w:val="22"/>
        </w:rPr>
      </w:pPr>
      <w:r w:rsidRPr="002A6BB0">
        <w:rPr>
          <w:rFonts w:ascii="Lato" w:hAnsi="Lato"/>
          <w:b/>
          <w:sz w:val="22"/>
        </w:rPr>
        <w:t xml:space="preserve">Scenariusz C – „Aktywny” – </w:t>
      </w:r>
      <w:r w:rsidRPr="002A6BB0">
        <w:rPr>
          <w:rFonts w:ascii="Lato" w:hAnsi="Lato"/>
          <w:sz w:val="22"/>
        </w:rPr>
        <w:t>urzeczywistniany przy założeniu aktywnej, skutecznej polityki Rządu oraz lokalnej polityki gminy, kreującej pożądane zachowania wszystkich odbiorców energii. Zakłada się w</w:t>
      </w:r>
      <w:r w:rsidR="00A342D0">
        <w:rPr>
          <w:rFonts w:ascii="Lato" w:hAnsi="Lato"/>
          <w:sz w:val="22"/>
        </w:rPr>
        <w:t xml:space="preserve"> </w:t>
      </w:r>
      <w:r w:rsidRPr="002A6BB0">
        <w:rPr>
          <w:rFonts w:ascii="Lato" w:hAnsi="Lato"/>
          <w:sz w:val="22"/>
        </w:rPr>
        <w:t xml:space="preserve">nim, że obszary objęte Studium Uwarunkowań i Kierunków Zagospodarowania Przestrzennego mieszkaniowe, usługowe oraz przemysłowe zostaną zagospodarowane w 30%. </w:t>
      </w:r>
    </w:p>
    <w:p w:rsidR="00510E6D" w:rsidRPr="002A6BB0" w:rsidRDefault="00510E6D" w:rsidP="00510E6D">
      <w:pPr>
        <w:pStyle w:val="Lista2"/>
        <w:tabs>
          <w:tab w:val="left" w:pos="540"/>
        </w:tabs>
        <w:ind w:left="0" w:firstLine="0"/>
        <w:jc w:val="both"/>
        <w:rPr>
          <w:rFonts w:ascii="Lato" w:hAnsi="Lato"/>
          <w:sz w:val="22"/>
        </w:rPr>
      </w:pPr>
      <w:r w:rsidRPr="002A6BB0">
        <w:rPr>
          <w:rFonts w:ascii="Lato" w:hAnsi="Lato"/>
          <w:sz w:val="22"/>
        </w:rPr>
        <w:t xml:space="preserve">Planowane inwestycje będą dynamicznie realizowane i będą dodatkowo generować inne inwestycje na terenie gminy, co stymulować będzie jej stabilny rozwój. </w:t>
      </w:r>
    </w:p>
    <w:p w:rsidR="00510E6D" w:rsidRPr="002A6BB0" w:rsidRDefault="00510E6D" w:rsidP="00510E6D">
      <w:pPr>
        <w:pStyle w:val="Lista2"/>
        <w:tabs>
          <w:tab w:val="left" w:pos="540"/>
        </w:tabs>
        <w:ind w:left="0" w:firstLine="0"/>
        <w:jc w:val="both"/>
        <w:rPr>
          <w:rFonts w:ascii="Lato" w:hAnsi="Lato"/>
          <w:sz w:val="22"/>
        </w:rPr>
      </w:pPr>
      <w:r w:rsidRPr="002A6BB0">
        <w:rPr>
          <w:rFonts w:ascii="Lato" w:hAnsi="Lato"/>
          <w:sz w:val="22"/>
        </w:rPr>
        <w:t>W scenariuszu tym zakłada się również wzrost zużycia energii pody</w:t>
      </w:r>
      <w:r w:rsidR="008B17BA" w:rsidRPr="002A6BB0">
        <w:rPr>
          <w:rFonts w:ascii="Lato" w:hAnsi="Lato"/>
          <w:sz w:val="22"/>
        </w:rPr>
        <w:t>ktowany dynamicznym rozwojem we</w:t>
      </w:r>
      <w:r w:rsidR="00A342D0">
        <w:rPr>
          <w:rFonts w:ascii="Lato" w:hAnsi="Lato"/>
          <w:sz w:val="22"/>
        </w:rPr>
        <w:t xml:space="preserve"> </w:t>
      </w:r>
      <w:r w:rsidRPr="002A6BB0">
        <w:rPr>
          <w:rFonts w:ascii="Lato" w:hAnsi="Lato"/>
          <w:sz w:val="22"/>
        </w:rPr>
        <w:t>wszystkich dziedzinach gospodarki (przemysł, mieszkal</w:t>
      </w:r>
      <w:r w:rsidR="00A342D0">
        <w:rPr>
          <w:rFonts w:ascii="Lato" w:hAnsi="Lato"/>
          <w:sz w:val="22"/>
        </w:rPr>
        <w:t>nictwo, usługi, handel</w:t>
      </w:r>
      <w:r w:rsidR="00D03562">
        <w:rPr>
          <w:rFonts w:ascii="Lato" w:hAnsi="Lato"/>
          <w:sz w:val="22"/>
        </w:rPr>
        <w:t xml:space="preserve"> itp.) z </w:t>
      </w:r>
      <w:r w:rsidRPr="002A6BB0">
        <w:rPr>
          <w:rFonts w:ascii="Lato" w:hAnsi="Lato"/>
          <w:sz w:val="22"/>
        </w:rPr>
        <w:t xml:space="preserve">jednoczesnym wprowadzaniem w dużym zakresie przez odbiorców przedsięwzięć racjonalizujących zużycie nośników energii oraz rozwojem wykorzystania odnawialnych źródeł energii. </w:t>
      </w:r>
    </w:p>
    <w:p w:rsidR="00510E6D" w:rsidRPr="002A6BB0" w:rsidRDefault="00510E6D" w:rsidP="00510E6D">
      <w:pPr>
        <w:pStyle w:val="Lista2"/>
        <w:tabs>
          <w:tab w:val="left" w:pos="540"/>
        </w:tabs>
        <w:ind w:left="0" w:firstLine="0"/>
        <w:jc w:val="both"/>
        <w:rPr>
          <w:rFonts w:ascii="Lato" w:hAnsi="Lato"/>
          <w:sz w:val="22"/>
        </w:rPr>
      </w:pPr>
      <w:r w:rsidRPr="002A6BB0">
        <w:rPr>
          <w:rFonts w:ascii="Lato" w:hAnsi="Lato"/>
          <w:sz w:val="22"/>
        </w:rPr>
        <w:t xml:space="preserve">Następuje wzrost zużycia energii elektrycznej o około </w:t>
      </w:r>
      <w:r w:rsidR="008C118C">
        <w:rPr>
          <w:rFonts w:ascii="Lato" w:hAnsi="Lato"/>
          <w:sz w:val="22"/>
        </w:rPr>
        <w:t>90</w:t>
      </w:r>
      <w:r w:rsidRPr="002A6BB0">
        <w:rPr>
          <w:rFonts w:ascii="Lato" w:hAnsi="Lato"/>
          <w:sz w:val="22"/>
        </w:rPr>
        <w:t>% w</w:t>
      </w:r>
      <w:r w:rsidR="008B17BA" w:rsidRPr="002A6BB0">
        <w:rPr>
          <w:rFonts w:ascii="Lato" w:hAnsi="Lato"/>
          <w:sz w:val="22"/>
        </w:rPr>
        <w:t xml:space="preserve"> stosunku do stanu obecnego, co </w:t>
      </w:r>
      <w:r w:rsidRPr="002A6BB0">
        <w:rPr>
          <w:rFonts w:ascii="Lato" w:hAnsi="Lato"/>
          <w:sz w:val="22"/>
        </w:rPr>
        <w:t>spowodowane jest zwiększonym przyrostem nowych odbiorców.</w:t>
      </w:r>
    </w:p>
    <w:p w:rsidR="00510E6D" w:rsidRPr="002A6BB0" w:rsidRDefault="00510E6D" w:rsidP="00510E6D">
      <w:pPr>
        <w:pStyle w:val="Lista2"/>
        <w:tabs>
          <w:tab w:val="left" w:pos="540"/>
        </w:tabs>
        <w:ind w:left="0" w:firstLine="0"/>
        <w:jc w:val="both"/>
        <w:rPr>
          <w:rFonts w:ascii="Lato" w:hAnsi="Lato"/>
          <w:sz w:val="22"/>
        </w:rPr>
      </w:pPr>
      <w:r w:rsidRPr="002A6BB0">
        <w:rPr>
          <w:rFonts w:ascii="Lato" w:hAnsi="Lato"/>
          <w:sz w:val="22"/>
        </w:rPr>
        <w:t>Budynki użyteczności publicznej administrowane przez gminę zostaną w pełni zmodernizowane zgodnie z</w:t>
      </w:r>
      <w:r w:rsidR="00A342D0">
        <w:rPr>
          <w:rFonts w:ascii="Lato" w:hAnsi="Lato"/>
          <w:sz w:val="22"/>
        </w:rPr>
        <w:t xml:space="preserve"> </w:t>
      </w:r>
      <w:r w:rsidRPr="002A6BB0">
        <w:rPr>
          <w:rFonts w:ascii="Lato" w:hAnsi="Lato"/>
          <w:sz w:val="22"/>
        </w:rPr>
        <w:t>potrzebami, a</w:t>
      </w:r>
      <w:r w:rsidR="00A342D0">
        <w:rPr>
          <w:rFonts w:ascii="Lato" w:hAnsi="Lato"/>
          <w:sz w:val="22"/>
        </w:rPr>
        <w:t xml:space="preserve"> </w:t>
      </w:r>
      <w:r w:rsidRPr="002A6BB0">
        <w:rPr>
          <w:rFonts w:ascii="Lato" w:hAnsi="Lato"/>
          <w:sz w:val="22"/>
        </w:rPr>
        <w:t>inwestycje będą wynikały z racjonalnej polityki energetycznej. Racjonalizacja zużycia energii w</w:t>
      </w:r>
      <w:r w:rsidR="00A342D0">
        <w:rPr>
          <w:rFonts w:ascii="Lato" w:hAnsi="Lato"/>
          <w:sz w:val="22"/>
        </w:rPr>
        <w:t xml:space="preserve"> </w:t>
      </w:r>
      <w:r w:rsidRPr="002A6BB0">
        <w:rPr>
          <w:rFonts w:ascii="Lato" w:hAnsi="Lato"/>
          <w:sz w:val="22"/>
        </w:rPr>
        <w:t xml:space="preserve">budynkach użyteczności publicznej na poziomie ok. </w:t>
      </w:r>
      <w:r w:rsidR="00D47C2E" w:rsidRPr="002A6BB0">
        <w:rPr>
          <w:rFonts w:ascii="Lato" w:hAnsi="Lato"/>
          <w:sz w:val="22"/>
        </w:rPr>
        <w:t>15</w:t>
      </w:r>
      <w:r w:rsidRPr="002A6BB0">
        <w:rPr>
          <w:rFonts w:ascii="Lato" w:hAnsi="Lato"/>
          <w:sz w:val="22"/>
        </w:rPr>
        <w:t>%. Racjonalizacja zużycia energii w</w:t>
      </w:r>
      <w:r w:rsidR="00A342D0">
        <w:rPr>
          <w:rFonts w:ascii="Lato" w:hAnsi="Lato"/>
          <w:sz w:val="22"/>
        </w:rPr>
        <w:t xml:space="preserve"> </w:t>
      </w:r>
      <w:r w:rsidRPr="002A6BB0">
        <w:rPr>
          <w:rFonts w:ascii="Lato" w:hAnsi="Lato"/>
          <w:sz w:val="22"/>
        </w:rPr>
        <w:t>sektorze usług, handlu, rzemiosła i małego przemysłu na wysokim poziomie, ok. 16%. W znacznym stopniu będą wykorzystywane odnawialne źródeł źródła energii, głównie po stronie układów solarnych, pomp ciepła itp.</w:t>
      </w:r>
    </w:p>
    <w:p w:rsidR="006B024A" w:rsidRPr="002A6BB0" w:rsidRDefault="00510E6D" w:rsidP="00A63E0C">
      <w:pPr>
        <w:pStyle w:val="Lista2"/>
        <w:tabs>
          <w:tab w:val="left" w:pos="540"/>
        </w:tabs>
        <w:spacing w:after="240"/>
        <w:ind w:left="0" w:firstLine="0"/>
        <w:jc w:val="both"/>
        <w:rPr>
          <w:rFonts w:ascii="Lato" w:hAnsi="Lato"/>
          <w:sz w:val="22"/>
        </w:rPr>
      </w:pPr>
      <w:r w:rsidRPr="002A6BB0">
        <w:rPr>
          <w:rFonts w:ascii="Lato" w:hAnsi="Lato"/>
          <w:sz w:val="22"/>
        </w:rPr>
        <w:t>W poniższej tabeli zestawiono obszary, które w scenariuszu C zostają w pełni zagospodarowane zgodnie z</w:t>
      </w:r>
      <w:r w:rsidR="00A342D0">
        <w:rPr>
          <w:rFonts w:ascii="Lato" w:hAnsi="Lato"/>
          <w:sz w:val="22"/>
        </w:rPr>
        <w:t xml:space="preserve"> </w:t>
      </w:r>
      <w:r w:rsidRPr="002A6BB0">
        <w:rPr>
          <w:rFonts w:ascii="Lato" w:hAnsi="Lato"/>
          <w:sz w:val="22"/>
        </w:rPr>
        <w:t>istniejącymi planami miejscowymi oraz nowymi obszarami i uzupełnieniem zabudowy istniejącej. W</w:t>
      </w:r>
      <w:r w:rsidR="00A342D0">
        <w:rPr>
          <w:rFonts w:ascii="Lato" w:hAnsi="Lato"/>
          <w:sz w:val="22"/>
        </w:rPr>
        <w:t xml:space="preserve"> </w:t>
      </w:r>
      <w:r w:rsidRPr="002A6BB0">
        <w:rPr>
          <w:rFonts w:ascii="Lato" w:hAnsi="Lato"/>
          <w:sz w:val="22"/>
        </w:rPr>
        <w:lastRenderedPageBreak/>
        <w:t>tabeli 5-6 zestawiono łączne potrzeby energetyczne po stronie energii elektrycznej oraz ciepła w scenariuszu C.</w:t>
      </w:r>
    </w:p>
    <w:p w:rsidR="006B024A" w:rsidRPr="002A6BB0" w:rsidRDefault="006B024A" w:rsidP="00631E84">
      <w:pPr>
        <w:pStyle w:val="Lista2"/>
        <w:tabs>
          <w:tab w:val="left" w:pos="540"/>
        </w:tabs>
        <w:spacing w:line="240" w:lineRule="auto"/>
        <w:ind w:left="11" w:hanging="11"/>
        <w:rPr>
          <w:rFonts w:ascii="Lato" w:hAnsi="Lato"/>
          <w:color w:val="365F91"/>
        </w:rPr>
      </w:pPr>
      <w:bookmarkStart w:id="423" w:name="_Toc336419488"/>
      <w:bookmarkStart w:id="424" w:name="_Toc336943655"/>
      <w:bookmarkStart w:id="425" w:name="_Toc20219194"/>
      <w:r w:rsidRPr="002A6BB0">
        <w:rPr>
          <w:rFonts w:ascii="Lato" w:hAnsi="Lato"/>
          <w:b/>
          <w:bCs/>
          <w:color w:val="365F91"/>
        </w:rPr>
        <w:t xml:space="preserve">Tabela </w:t>
      </w:r>
      <w:r w:rsidR="004042AE" w:rsidRPr="002A6BB0">
        <w:rPr>
          <w:rFonts w:ascii="Lato" w:hAnsi="Lato"/>
          <w:b/>
          <w:bCs/>
          <w:color w:val="365F91"/>
        </w:rPr>
        <w:fldChar w:fldCharType="begin"/>
      </w:r>
      <w:r w:rsidR="005430ED" w:rsidRPr="002A6BB0">
        <w:rPr>
          <w:rFonts w:ascii="Lato" w:hAnsi="Lato"/>
          <w:b/>
          <w:bCs/>
          <w:color w:val="365F91"/>
        </w:rPr>
        <w:instrText xml:space="preserve"> STYLEREF 1 \s </w:instrText>
      </w:r>
      <w:r w:rsidR="004042AE" w:rsidRPr="002A6BB0">
        <w:rPr>
          <w:rFonts w:ascii="Lato" w:hAnsi="Lato"/>
          <w:b/>
          <w:bCs/>
          <w:color w:val="365F91"/>
        </w:rPr>
        <w:fldChar w:fldCharType="separate"/>
      </w:r>
      <w:r w:rsidR="0040205B">
        <w:rPr>
          <w:rFonts w:ascii="Lato" w:hAnsi="Lato"/>
          <w:b/>
          <w:bCs/>
          <w:noProof/>
          <w:color w:val="365F91"/>
        </w:rPr>
        <w:t>5</w:t>
      </w:r>
      <w:r w:rsidR="004042AE" w:rsidRPr="002A6BB0">
        <w:rPr>
          <w:rFonts w:ascii="Lato" w:hAnsi="Lato"/>
          <w:b/>
          <w:bCs/>
          <w:color w:val="365F91"/>
        </w:rPr>
        <w:fldChar w:fldCharType="end"/>
      </w:r>
      <w:r w:rsidR="005430ED" w:rsidRPr="002A6BB0">
        <w:rPr>
          <w:rFonts w:ascii="Lato" w:hAnsi="Lato"/>
          <w:b/>
          <w:bCs/>
          <w:color w:val="365F91"/>
        </w:rPr>
        <w:noBreakHyphen/>
      </w:r>
      <w:r w:rsidR="004042AE" w:rsidRPr="002A6BB0">
        <w:rPr>
          <w:rFonts w:ascii="Lato" w:hAnsi="Lato"/>
          <w:b/>
          <w:bCs/>
          <w:color w:val="365F91"/>
        </w:rPr>
        <w:fldChar w:fldCharType="begin"/>
      </w:r>
      <w:r w:rsidR="005430ED" w:rsidRPr="002A6BB0">
        <w:rPr>
          <w:rFonts w:ascii="Lato" w:hAnsi="Lato"/>
          <w:b/>
          <w:bCs/>
          <w:color w:val="365F91"/>
        </w:rPr>
        <w:instrText xml:space="preserve"> SEQ Tabela \* ARABIC \s 1 </w:instrText>
      </w:r>
      <w:r w:rsidR="004042AE" w:rsidRPr="002A6BB0">
        <w:rPr>
          <w:rFonts w:ascii="Lato" w:hAnsi="Lato"/>
          <w:b/>
          <w:bCs/>
          <w:color w:val="365F91"/>
        </w:rPr>
        <w:fldChar w:fldCharType="separate"/>
      </w:r>
      <w:r w:rsidR="0040205B">
        <w:rPr>
          <w:rFonts w:ascii="Lato" w:hAnsi="Lato"/>
          <w:b/>
          <w:bCs/>
          <w:noProof/>
          <w:color w:val="365F91"/>
        </w:rPr>
        <w:t>5</w:t>
      </w:r>
      <w:r w:rsidR="004042AE" w:rsidRPr="002A6BB0">
        <w:rPr>
          <w:rFonts w:ascii="Lato" w:hAnsi="Lato"/>
          <w:b/>
          <w:bCs/>
          <w:color w:val="365F91"/>
        </w:rPr>
        <w:fldChar w:fldCharType="end"/>
      </w:r>
      <w:r w:rsidRPr="002A6BB0">
        <w:rPr>
          <w:rFonts w:ascii="Lato" w:hAnsi="Lato"/>
          <w:b/>
          <w:color w:val="365F91"/>
        </w:rPr>
        <w:t xml:space="preserve"> Zestawienie obszarów przyjętych w scenariuszu </w:t>
      </w:r>
      <w:r w:rsidR="008B17BA" w:rsidRPr="002A6BB0">
        <w:rPr>
          <w:rFonts w:ascii="Lato" w:hAnsi="Lato"/>
          <w:b/>
          <w:color w:val="365F91"/>
        </w:rPr>
        <w:t xml:space="preserve">C </w:t>
      </w:r>
      <w:r w:rsidRPr="002A6BB0">
        <w:rPr>
          <w:rFonts w:ascii="Lato" w:hAnsi="Lato"/>
          <w:b/>
          <w:color w:val="365F91"/>
        </w:rPr>
        <w:t>do zagospodarowania do 203</w:t>
      </w:r>
      <w:bookmarkEnd w:id="423"/>
      <w:bookmarkEnd w:id="424"/>
      <w:r w:rsidR="00B5219E" w:rsidRPr="002A6BB0">
        <w:rPr>
          <w:rFonts w:ascii="Lato" w:hAnsi="Lato"/>
          <w:b/>
          <w:color w:val="365F91"/>
        </w:rPr>
        <w:t>5</w:t>
      </w:r>
      <w:bookmarkEnd w:id="425"/>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2058"/>
        <w:gridCol w:w="2864"/>
        <w:gridCol w:w="2216"/>
        <w:gridCol w:w="2415"/>
      </w:tblGrid>
      <w:tr w:rsidR="0020251A" w:rsidRPr="009B3C1C" w:rsidTr="00B5219E">
        <w:trPr>
          <w:trHeight w:val="300"/>
          <w:jc w:val="center"/>
        </w:trPr>
        <w:tc>
          <w:tcPr>
            <w:tcW w:w="5000" w:type="pct"/>
            <w:gridSpan w:val="4"/>
            <w:shd w:val="clear" w:color="000000" w:fill="DBE5F1"/>
            <w:noWrap/>
            <w:vAlign w:val="center"/>
            <w:hideMark/>
          </w:tcPr>
          <w:p w:rsidR="0020251A" w:rsidRPr="009B3C1C" w:rsidRDefault="0020251A" w:rsidP="0035064F">
            <w:pPr>
              <w:spacing w:line="240" w:lineRule="auto"/>
              <w:ind w:firstLine="0"/>
              <w:jc w:val="center"/>
              <w:rPr>
                <w:rFonts w:ascii="Lato" w:hAnsi="Lato"/>
                <w:color w:val="365F91"/>
                <w:sz w:val="20"/>
                <w:szCs w:val="20"/>
              </w:rPr>
            </w:pPr>
            <w:r w:rsidRPr="009B3C1C">
              <w:rPr>
                <w:rFonts w:ascii="Lato" w:hAnsi="Lato"/>
                <w:color w:val="365F91"/>
                <w:sz w:val="20"/>
                <w:szCs w:val="20"/>
              </w:rPr>
              <w:t>Powierzchnia obszarów</w:t>
            </w:r>
          </w:p>
        </w:tc>
      </w:tr>
      <w:tr w:rsidR="0020251A" w:rsidRPr="009B3C1C" w:rsidTr="00B5219E">
        <w:trPr>
          <w:trHeight w:val="525"/>
          <w:jc w:val="center"/>
        </w:trPr>
        <w:tc>
          <w:tcPr>
            <w:tcW w:w="1077" w:type="pct"/>
            <w:shd w:val="clear" w:color="000000" w:fill="DBE5F1"/>
            <w:vAlign w:val="center"/>
            <w:hideMark/>
          </w:tcPr>
          <w:p w:rsidR="0020251A" w:rsidRPr="009B3C1C" w:rsidRDefault="0020251A" w:rsidP="0035064F">
            <w:pPr>
              <w:spacing w:line="240" w:lineRule="auto"/>
              <w:ind w:firstLine="0"/>
              <w:jc w:val="center"/>
              <w:rPr>
                <w:rFonts w:ascii="Lato" w:hAnsi="Lato"/>
                <w:color w:val="365F91"/>
                <w:sz w:val="20"/>
                <w:szCs w:val="20"/>
              </w:rPr>
            </w:pPr>
            <w:r w:rsidRPr="009B3C1C">
              <w:rPr>
                <w:rFonts w:ascii="Lato" w:hAnsi="Lato"/>
                <w:color w:val="365F91"/>
                <w:sz w:val="20"/>
                <w:szCs w:val="20"/>
              </w:rPr>
              <w:t>Razem</w:t>
            </w:r>
          </w:p>
        </w:tc>
        <w:tc>
          <w:tcPr>
            <w:tcW w:w="1499" w:type="pct"/>
            <w:shd w:val="clear" w:color="000000" w:fill="DBE5F1"/>
            <w:vAlign w:val="center"/>
            <w:hideMark/>
          </w:tcPr>
          <w:p w:rsidR="0020251A" w:rsidRPr="009B3C1C" w:rsidRDefault="0020251A" w:rsidP="0035064F">
            <w:pPr>
              <w:spacing w:line="240" w:lineRule="auto"/>
              <w:ind w:firstLine="0"/>
              <w:jc w:val="center"/>
              <w:rPr>
                <w:rFonts w:ascii="Lato" w:hAnsi="Lato"/>
                <w:color w:val="365F91"/>
                <w:sz w:val="20"/>
                <w:szCs w:val="20"/>
              </w:rPr>
            </w:pPr>
            <w:r w:rsidRPr="009B3C1C">
              <w:rPr>
                <w:rFonts w:ascii="Lato" w:hAnsi="Lato"/>
                <w:color w:val="365F91"/>
                <w:sz w:val="20"/>
                <w:szCs w:val="20"/>
              </w:rPr>
              <w:t>Mieszkalnictwo</w:t>
            </w:r>
          </w:p>
        </w:tc>
        <w:tc>
          <w:tcPr>
            <w:tcW w:w="1160" w:type="pct"/>
            <w:shd w:val="clear" w:color="000000" w:fill="DBE5F1"/>
            <w:vAlign w:val="center"/>
            <w:hideMark/>
          </w:tcPr>
          <w:p w:rsidR="0020251A" w:rsidRPr="009B3C1C" w:rsidRDefault="0020251A" w:rsidP="0035064F">
            <w:pPr>
              <w:spacing w:line="240" w:lineRule="auto"/>
              <w:ind w:firstLine="0"/>
              <w:jc w:val="center"/>
              <w:rPr>
                <w:rFonts w:ascii="Lato" w:hAnsi="Lato"/>
                <w:color w:val="365F91"/>
                <w:sz w:val="20"/>
                <w:szCs w:val="20"/>
              </w:rPr>
            </w:pPr>
            <w:r w:rsidRPr="009B3C1C">
              <w:rPr>
                <w:rFonts w:ascii="Lato" w:hAnsi="Lato"/>
                <w:color w:val="365F91"/>
                <w:sz w:val="20"/>
                <w:szCs w:val="20"/>
              </w:rPr>
              <w:t>Usługi</w:t>
            </w:r>
          </w:p>
        </w:tc>
        <w:tc>
          <w:tcPr>
            <w:tcW w:w="1264" w:type="pct"/>
            <w:shd w:val="clear" w:color="000000" w:fill="DBE5F1"/>
            <w:vAlign w:val="center"/>
            <w:hideMark/>
          </w:tcPr>
          <w:p w:rsidR="0020251A" w:rsidRPr="009B3C1C" w:rsidRDefault="0020251A" w:rsidP="0035064F">
            <w:pPr>
              <w:spacing w:line="240" w:lineRule="auto"/>
              <w:ind w:firstLine="0"/>
              <w:jc w:val="center"/>
              <w:rPr>
                <w:rFonts w:ascii="Lato" w:hAnsi="Lato"/>
                <w:color w:val="365F91"/>
                <w:sz w:val="20"/>
                <w:szCs w:val="20"/>
              </w:rPr>
            </w:pPr>
            <w:r w:rsidRPr="009B3C1C">
              <w:rPr>
                <w:rFonts w:ascii="Lato" w:hAnsi="Lato"/>
                <w:color w:val="365F91"/>
                <w:sz w:val="20"/>
                <w:szCs w:val="20"/>
              </w:rPr>
              <w:t>Przemysł</w:t>
            </w:r>
          </w:p>
        </w:tc>
      </w:tr>
      <w:tr w:rsidR="0020251A" w:rsidRPr="009B3C1C" w:rsidTr="00B5219E">
        <w:trPr>
          <w:trHeight w:val="345"/>
          <w:jc w:val="center"/>
        </w:trPr>
        <w:tc>
          <w:tcPr>
            <w:tcW w:w="1077" w:type="pct"/>
            <w:shd w:val="clear" w:color="000000" w:fill="DBE5F1"/>
            <w:vAlign w:val="center"/>
            <w:hideMark/>
          </w:tcPr>
          <w:p w:rsidR="0020251A" w:rsidRPr="009B3C1C" w:rsidRDefault="00D577AA" w:rsidP="0035064F">
            <w:pPr>
              <w:spacing w:line="240" w:lineRule="auto"/>
              <w:ind w:firstLine="0"/>
              <w:jc w:val="center"/>
              <w:rPr>
                <w:rFonts w:ascii="Lato" w:hAnsi="Lato"/>
                <w:color w:val="365F91"/>
                <w:sz w:val="20"/>
                <w:szCs w:val="20"/>
              </w:rPr>
            </w:pPr>
            <w:r w:rsidRPr="009B3C1C">
              <w:rPr>
                <w:rFonts w:ascii="Lato" w:hAnsi="Lato"/>
                <w:color w:val="365F91"/>
                <w:sz w:val="20"/>
                <w:szCs w:val="20"/>
              </w:rPr>
              <w:t>ha</w:t>
            </w:r>
          </w:p>
        </w:tc>
        <w:tc>
          <w:tcPr>
            <w:tcW w:w="1499" w:type="pct"/>
            <w:shd w:val="clear" w:color="000000" w:fill="DBE5F1"/>
            <w:vAlign w:val="center"/>
            <w:hideMark/>
          </w:tcPr>
          <w:p w:rsidR="0020251A" w:rsidRPr="009B3C1C" w:rsidRDefault="00D577AA" w:rsidP="0035064F">
            <w:pPr>
              <w:spacing w:line="240" w:lineRule="auto"/>
              <w:ind w:firstLine="0"/>
              <w:jc w:val="center"/>
              <w:rPr>
                <w:rFonts w:ascii="Lato" w:hAnsi="Lato"/>
                <w:color w:val="365F91"/>
                <w:sz w:val="20"/>
                <w:szCs w:val="20"/>
              </w:rPr>
            </w:pPr>
            <w:r w:rsidRPr="009B3C1C">
              <w:rPr>
                <w:rFonts w:ascii="Lato" w:hAnsi="Lato"/>
                <w:color w:val="365F91"/>
                <w:sz w:val="20"/>
                <w:szCs w:val="20"/>
              </w:rPr>
              <w:t>ha</w:t>
            </w:r>
          </w:p>
        </w:tc>
        <w:tc>
          <w:tcPr>
            <w:tcW w:w="1160" w:type="pct"/>
            <w:shd w:val="clear" w:color="000000" w:fill="DBE5F1"/>
            <w:vAlign w:val="center"/>
            <w:hideMark/>
          </w:tcPr>
          <w:p w:rsidR="0020251A" w:rsidRPr="009B3C1C" w:rsidRDefault="00D577AA" w:rsidP="0035064F">
            <w:pPr>
              <w:spacing w:line="240" w:lineRule="auto"/>
              <w:ind w:firstLine="0"/>
              <w:jc w:val="center"/>
              <w:rPr>
                <w:rFonts w:ascii="Lato" w:hAnsi="Lato"/>
                <w:color w:val="365F91"/>
                <w:sz w:val="20"/>
                <w:szCs w:val="20"/>
              </w:rPr>
            </w:pPr>
            <w:r w:rsidRPr="009B3C1C">
              <w:rPr>
                <w:rFonts w:ascii="Lato" w:hAnsi="Lato"/>
                <w:color w:val="365F91"/>
                <w:sz w:val="20"/>
                <w:szCs w:val="20"/>
              </w:rPr>
              <w:t>ha</w:t>
            </w:r>
          </w:p>
        </w:tc>
        <w:tc>
          <w:tcPr>
            <w:tcW w:w="1264" w:type="pct"/>
            <w:shd w:val="clear" w:color="000000" w:fill="DBE5F1"/>
            <w:vAlign w:val="center"/>
            <w:hideMark/>
          </w:tcPr>
          <w:p w:rsidR="0020251A" w:rsidRPr="009B3C1C" w:rsidRDefault="00D577AA" w:rsidP="0035064F">
            <w:pPr>
              <w:spacing w:line="240" w:lineRule="auto"/>
              <w:ind w:firstLine="0"/>
              <w:jc w:val="center"/>
              <w:rPr>
                <w:rFonts w:ascii="Lato" w:hAnsi="Lato"/>
                <w:color w:val="365F91"/>
                <w:sz w:val="20"/>
                <w:szCs w:val="20"/>
              </w:rPr>
            </w:pPr>
            <w:r w:rsidRPr="009B3C1C">
              <w:rPr>
                <w:rFonts w:ascii="Lato" w:hAnsi="Lato"/>
                <w:color w:val="365F91"/>
                <w:sz w:val="20"/>
                <w:szCs w:val="20"/>
              </w:rPr>
              <w:t>ha</w:t>
            </w:r>
          </w:p>
        </w:tc>
      </w:tr>
      <w:tr w:rsidR="007B4EB6" w:rsidRPr="009B3C1C" w:rsidTr="00B5219E">
        <w:trPr>
          <w:trHeight w:val="418"/>
          <w:jc w:val="center"/>
        </w:trPr>
        <w:tc>
          <w:tcPr>
            <w:tcW w:w="1077" w:type="pct"/>
            <w:tcBorders>
              <w:bottom w:val="single" w:sz="4" w:space="0" w:color="4F81BD"/>
            </w:tcBorders>
            <w:shd w:val="clear" w:color="auto" w:fill="auto"/>
            <w:vAlign w:val="center"/>
            <w:hideMark/>
          </w:tcPr>
          <w:p w:rsidR="007B4EB6" w:rsidRPr="009B3C1C" w:rsidRDefault="007B4EB6" w:rsidP="007B4EB6">
            <w:pPr>
              <w:spacing w:line="240" w:lineRule="auto"/>
              <w:ind w:firstLine="0"/>
              <w:jc w:val="center"/>
              <w:rPr>
                <w:rFonts w:ascii="Lato" w:hAnsi="Lato"/>
                <w:color w:val="365F91"/>
                <w:sz w:val="20"/>
                <w:szCs w:val="20"/>
              </w:rPr>
            </w:pPr>
            <w:r w:rsidRPr="009B3C1C">
              <w:rPr>
                <w:rFonts w:ascii="Lato" w:hAnsi="Lato"/>
                <w:color w:val="365F91"/>
                <w:sz w:val="20"/>
                <w:szCs w:val="20"/>
              </w:rPr>
              <w:t>152,6</w:t>
            </w:r>
          </w:p>
        </w:tc>
        <w:tc>
          <w:tcPr>
            <w:tcW w:w="1499" w:type="pct"/>
            <w:tcBorders>
              <w:bottom w:val="single" w:sz="4" w:space="0" w:color="4F81BD"/>
            </w:tcBorders>
            <w:shd w:val="clear" w:color="auto" w:fill="auto"/>
            <w:vAlign w:val="center"/>
            <w:hideMark/>
          </w:tcPr>
          <w:p w:rsidR="007B4EB6" w:rsidRPr="009B3C1C" w:rsidRDefault="007B4EB6" w:rsidP="007B4EB6">
            <w:pPr>
              <w:spacing w:line="240" w:lineRule="auto"/>
              <w:ind w:firstLine="0"/>
              <w:jc w:val="center"/>
              <w:rPr>
                <w:rFonts w:ascii="Lato" w:hAnsi="Lato"/>
                <w:color w:val="365F91"/>
                <w:sz w:val="20"/>
                <w:szCs w:val="20"/>
              </w:rPr>
            </w:pPr>
            <w:r w:rsidRPr="009B3C1C">
              <w:rPr>
                <w:rFonts w:ascii="Lato" w:hAnsi="Lato"/>
                <w:color w:val="365F91"/>
                <w:sz w:val="20"/>
                <w:szCs w:val="20"/>
              </w:rPr>
              <w:t>110,3</w:t>
            </w:r>
          </w:p>
        </w:tc>
        <w:tc>
          <w:tcPr>
            <w:tcW w:w="1160" w:type="pct"/>
            <w:tcBorders>
              <w:bottom w:val="single" w:sz="4" w:space="0" w:color="4F81BD"/>
            </w:tcBorders>
            <w:shd w:val="clear" w:color="auto" w:fill="auto"/>
            <w:vAlign w:val="center"/>
            <w:hideMark/>
          </w:tcPr>
          <w:p w:rsidR="007B4EB6" w:rsidRPr="009B3C1C" w:rsidRDefault="007B4EB6" w:rsidP="007B4EB6">
            <w:pPr>
              <w:spacing w:line="240" w:lineRule="auto"/>
              <w:ind w:firstLine="0"/>
              <w:jc w:val="center"/>
              <w:rPr>
                <w:rFonts w:ascii="Lato" w:hAnsi="Lato"/>
                <w:color w:val="365F91"/>
                <w:sz w:val="20"/>
                <w:szCs w:val="20"/>
              </w:rPr>
            </w:pPr>
            <w:r w:rsidRPr="009B3C1C">
              <w:rPr>
                <w:rFonts w:ascii="Lato" w:hAnsi="Lato"/>
                <w:color w:val="365F91"/>
                <w:sz w:val="20"/>
                <w:szCs w:val="20"/>
              </w:rPr>
              <w:t>30,3</w:t>
            </w:r>
          </w:p>
        </w:tc>
        <w:tc>
          <w:tcPr>
            <w:tcW w:w="1264" w:type="pct"/>
            <w:tcBorders>
              <w:bottom w:val="single" w:sz="4" w:space="0" w:color="4F81BD"/>
            </w:tcBorders>
            <w:shd w:val="clear" w:color="auto" w:fill="auto"/>
            <w:vAlign w:val="center"/>
            <w:hideMark/>
          </w:tcPr>
          <w:p w:rsidR="007B4EB6" w:rsidRPr="009B3C1C" w:rsidRDefault="007B4EB6" w:rsidP="007B4EB6">
            <w:pPr>
              <w:spacing w:line="240" w:lineRule="auto"/>
              <w:ind w:firstLine="0"/>
              <w:jc w:val="center"/>
              <w:rPr>
                <w:rFonts w:ascii="Lato" w:hAnsi="Lato"/>
                <w:color w:val="365F91"/>
                <w:sz w:val="20"/>
                <w:szCs w:val="20"/>
              </w:rPr>
            </w:pPr>
            <w:r w:rsidRPr="009B3C1C">
              <w:rPr>
                <w:rFonts w:ascii="Lato" w:hAnsi="Lato"/>
                <w:color w:val="365F91"/>
                <w:sz w:val="20"/>
                <w:szCs w:val="20"/>
              </w:rPr>
              <w:t>12,0</w:t>
            </w:r>
          </w:p>
        </w:tc>
      </w:tr>
      <w:tr w:rsidR="0020251A" w:rsidRPr="009B3C1C" w:rsidTr="00B5219E">
        <w:trPr>
          <w:trHeight w:val="330"/>
          <w:jc w:val="center"/>
        </w:trPr>
        <w:tc>
          <w:tcPr>
            <w:tcW w:w="5000" w:type="pct"/>
            <w:gridSpan w:val="4"/>
            <w:shd w:val="clear" w:color="000000" w:fill="DBE5F1"/>
            <w:noWrap/>
            <w:vAlign w:val="center"/>
            <w:hideMark/>
          </w:tcPr>
          <w:p w:rsidR="0020251A" w:rsidRPr="009B3C1C" w:rsidRDefault="0020251A" w:rsidP="006E750F">
            <w:pPr>
              <w:spacing w:line="240" w:lineRule="auto"/>
              <w:ind w:firstLine="0"/>
              <w:jc w:val="center"/>
              <w:rPr>
                <w:rFonts w:ascii="Lato" w:hAnsi="Lato"/>
                <w:color w:val="365F91"/>
                <w:sz w:val="20"/>
                <w:szCs w:val="20"/>
              </w:rPr>
            </w:pPr>
            <w:r w:rsidRPr="009B3C1C">
              <w:rPr>
                <w:rFonts w:ascii="Lato" w:hAnsi="Lato"/>
                <w:color w:val="365F91"/>
                <w:sz w:val="20"/>
                <w:szCs w:val="20"/>
              </w:rPr>
              <w:t>Szacunkowa powierzchnia użytkowa budynków</w:t>
            </w:r>
          </w:p>
        </w:tc>
      </w:tr>
      <w:tr w:rsidR="0020251A" w:rsidRPr="009B3C1C" w:rsidTr="00B5219E">
        <w:trPr>
          <w:trHeight w:val="597"/>
          <w:jc w:val="center"/>
        </w:trPr>
        <w:tc>
          <w:tcPr>
            <w:tcW w:w="1077" w:type="pct"/>
            <w:shd w:val="clear" w:color="000000" w:fill="DBE5F1"/>
            <w:vAlign w:val="center"/>
            <w:hideMark/>
          </w:tcPr>
          <w:p w:rsidR="0020251A" w:rsidRPr="009B3C1C" w:rsidRDefault="0020251A" w:rsidP="006E750F">
            <w:pPr>
              <w:spacing w:line="240" w:lineRule="auto"/>
              <w:ind w:firstLine="0"/>
              <w:jc w:val="center"/>
              <w:rPr>
                <w:rFonts w:ascii="Lato" w:hAnsi="Lato"/>
                <w:color w:val="365F91"/>
                <w:sz w:val="20"/>
                <w:szCs w:val="20"/>
              </w:rPr>
            </w:pPr>
            <w:r w:rsidRPr="009B3C1C">
              <w:rPr>
                <w:rFonts w:ascii="Lato" w:hAnsi="Lato"/>
                <w:color w:val="365F91"/>
                <w:sz w:val="20"/>
                <w:szCs w:val="20"/>
              </w:rPr>
              <w:t>Razem</w:t>
            </w:r>
          </w:p>
        </w:tc>
        <w:tc>
          <w:tcPr>
            <w:tcW w:w="1499" w:type="pct"/>
            <w:shd w:val="clear" w:color="000000" w:fill="DBE5F1"/>
            <w:vAlign w:val="center"/>
            <w:hideMark/>
          </w:tcPr>
          <w:p w:rsidR="0020251A" w:rsidRPr="009B3C1C" w:rsidRDefault="0020251A" w:rsidP="006E750F">
            <w:pPr>
              <w:spacing w:line="240" w:lineRule="auto"/>
              <w:ind w:firstLine="0"/>
              <w:jc w:val="center"/>
              <w:rPr>
                <w:rFonts w:ascii="Lato" w:hAnsi="Lato"/>
                <w:color w:val="365F91"/>
                <w:sz w:val="20"/>
                <w:szCs w:val="20"/>
              </w:rPr>
            </w:pPr>
            <w:r w:rsidRPr="009B3C1C">
              <w:rPr>
                <w:rFonts w:ascii="Lato" w:hAnsi="Lato"/>
                <w:color w:val="365F91"/>
                <w:sz w:val="20"/>
                <w:szCs w:val="20"/>
              </w:rPr>
              <w:t>Mieszkalnictwo</w:t>
            </w:r>
          </w:p>
        </w:tc>
        <w:tc>
          <w:tcPr>
            <w:tcW w:w="1160" w:type="pct"/>
            <w:shd w:val="clear" w:color="000000" w:fill="DBE5F1"/>
            <w:vAlign w:val="center"/>
            <w:hideMark/>
          </w:tcPr>
          <w:p w:rsidR="0020251A" w:rsidRPr="009B3C1C" w:rsidRDefault="0020251A" w:rsidP="006E750F">
            <w:pPr>
              <w:spacing w:line="240" w:lineRule="auto"/>
              <w:ind w:firstLine="0"/>
              <w:jc w:val="center"/>
              <w:rPr>
                <w:rFonts w:ascii="Lato" w:hAnsi="Lato"/>
                <w:color w:val="365F91"/>
                <w:sz w:val="20"/>
                <w:szCs w:val="20"/>
              </w:rPr>
            </w:pPr>
            <w:r w:rsidRPr="009B3C1C">
              <w:rPr>
                <w:rFonts w:ascii="Lato" w:hAnsi="Lato"/>
                <w:color w:val="365F91"/>
                <w:sz w:val="20"/>
                <w:szCs w:val="20"/>
              </w:rPr>
              <w:t>Usługi</w:t>
            </w:r>
          </w:p>
        </w:tc>
        <w:tc>
          <w:tcPr>
            <w:tcW w:w="1264" w:type="pct"/>
            <w:shd w:val="clear" w:color="000000" w:fill="DBE5F1"/>
            <w:vAlign w:val="center"/>
            <w:hideMark/>
          </w:tcPr>
          <w:p w:rsidR="0020251A" w:rsidRPr="009B3C1C" w:rsidRDefault="0020251A" w:rsidP="006E750F">
            <w:pPr>
              <w:spacing w:line="240" w:lineRule="auto"/>
              <w:ind w:firstLine="0"/>
              <w:jc w:val="center"/>
              <w:rPr>
                <w:rFonts w:ascii="Lato" w:hAnsi="Lato"/>
                <w:color w:val="365F91"/>
                <w:sz w:val="20"/>
                <w:szCs w:val="20"/>
              </w:rPr>
            </w:pPr>
            <w:r w:rsidRPr="009B3C1C">
              <w:rPr>
                <w:rFonts w:ascii="Lato" w:hAnsi="Lato"/>
                <w:color w:val="365F91"/>
                <w:sz w:val="20"/>
                <w:szCs w:val="20"/>
              </w:rPr>
              <w:t>Przemysł</w:t>
            </w:r>
          </w:p>
        </w:tc>
      </w:tr>
      <w:tr w:rsidR="0020251A" w:rsidRPr="009B3C1C" w:rsidTr="00B5219E">
        <w:trPr>
          <w:trHeight w:val="280"/>
          <w:jc w:val="center"/>
        </w:trPr>
        <w:tc>
          <w:tcPr>
            <w:tcW w:w="1077" w:type="pct"/>
            <w:shd w:val="clear" w:color="000000" w:fill="DBE5F1"/>
            <w:vAlign w:val="center"/>
            <w:hideMark/>
          </w:tcPr>
          <w:p w:rsidR="0020251A" w:rsidRPr="009B3C1C" w:rsidRDefault="0020251A" w:rsidP="006E750F">
            <w:pPr>
              <w:spacing w:line="240" w:lineRule="auto"/>
              <w:ind w:firstLine="0"/>
              <w:jc w:val="center"/>
              <w:rPr>
                <w:rFonts w:ascii="Lato" w:hAnsi="Lato"/>
                <w:color w:val="365F91"/>
                <w:sz w:val="20"/>
                <w:szCs w:val="20"/>
              </w:rPr>
            </w:pPr>
            <w:r w:rsidRPr="009B3C1C">
              <w:rPr>
                <w:rFonts w:ascii="Lato" w:hAnsi="Lato"/>
                <w:color w:val="365F91"/>
                <w:sz w:val="20"/>
                <w:szCs w:val="20"/>
              </w:rPr>
              <w:t>m</w:t>
            </w:r>
            <w:r w:rsidRPr="009B3C1C">
              <w:rPr>
                <w:rFonts w:ascii="Lato" w:hAnsi="Lato"/>
                <w:color w:val="365F91"/>
                <w:sz w:val="20"/>
                <w:szCs w:val="20"/>
                <w:vertAlign w:val="superscript"/>
              </w:rPr>
              <w:t>2</w:t>
            </w:r>
          </w:p>
        </w:tc>
        <w:tc>
          <w:tcPr>
            <w:tcW w:w="1499" w:type="pct"/>
            <w:shd w:val="clear" w:color="000000" w:fill="DBE5F1"/>
            <w:vAlign w:val="center"/>
            <w:hideMark/>
          </w:tcPr>
          <w:p w:rsidR="0020251A" w:rsidRPr="009B3C1C" w:rsidRDefault="0020251A" w:rsidP="006E750F">
            <w:pPr>
              <w:spacing w:line="240" w:lineRule="auto"/>
              <w:ind w:firstLine="0"/>
              <w:jc w:val="center"/>
              <w:rPr>
                <w:rFonts w:ascii="Lato" w:hAnsi="Lato"/>
                <w:color w:val="365F91"/>
                <w:sz w:val="20"/>
                <w:szCs w:val="20"/>
              </w:rPr>
            </w:pPr>
            <w:r w:rsidRPr="009B3C1C">
              <w:rPr>
                <w:rFonts w:ascii="Lato" w:hAnsi="Lato"/>
                <w:color w:val="365F91"/>
                <w:sz w:val="20"/>
                <w:szCs w:val="20"/>
              </w:rPr>
              <w:t>m</w:t>
            </w:r>
            <w:r w:rsidRPr="009B3C1C">
              <w:rPr>
                <w:rFonts w:ascii="Lato" w:hAnsi="Lato"/>
                <w:color w:val="365F91"/>
                <w:sz w:val="20"/>
                <w:szCs w:val="20"/>
                <w:vertAlign w:val="superscript"/>
              </w:rPr>
              <w:t>2</w:t>
            </w:r>
          </w:p>
        </w:tc>
        <w:tc>
          <w:tcPr>
            <w:tcW w:w="1160" w:type="pct"/>
            <w:shd w:val="clear" w:color="000000" w:fill="DBE5F1"/>
            <w:vAlign w:val="center"/>
            <w:hideMark/>
          </w:tcPr>
          <w:p w:rsidR="0020251A" w:rsidRPr="009B3C1C" w:rsidRDefault="0020251A" w:rsidP="006E750F">
            <w:pPr>
              <w:spacing w:line="240" w:lineRule="auto"/>
              <w:ind w:firstLine="0"/>
              <w:jc w:val="center"/>
              <w:rPr>
                <w:rFonts w:ascii="Lato" w:hAnsi="Lato"/>
                <w:color w:val="365F91"/>
                <w:sz w:val="20"/>
                <w:szCs w:val="20"/>
              </w:rPr>
            </w:pPr>
            <w:r w:rsidRPr="009B3C1C">
              <w:rPr>
                <w:rFonts w:ascii="Lato" w:hAnsi="Lato"/>
                <w:color w:val="365F91"/>
                <w:sz w:val="20"/>
                <w:szCs w:val="20"/>
              </w:rPr>
              <w:t>m</w:t>
            </w:r>
            <w:r w:rsidRPr="009B3C1C">
              <w:rPr>
                <w:rFonts w:ascii="Lato" w:hAnsi="Lato"/>
                <w:color w:val="365F91"/>
                <w:sz w:val="20"/>
                <w:szCs w:val="20"/>
                <w:vertAlign w:val="superscript"/>
              </w:rPr>
              <w:t>2</w:t>
            </w:r>
          </w:p>
        </w:tc>
        <w:tc>
          <w:tcPr>
            <w:tcW w:w="1264" w:type="pct"/>
            <w:shd w:val="clear" w:color="000000" w:fill="DBE5F1"/>
            <w:vAlign w:val="center"/>
            <w:hideMark/>
          </w:tcPr>
          <w:p w:rsidR="0020251A" w:rsidRPr="009B3C1C" w:rsidRDefault="0020251A" w:rsidP="006E750F">
            <w:pPr>
              <w:spacing w:line="240" w:lineRule="auto"/>
              <w:ind w:firstLine="0"/>
              <w:jc w:val="center"/>
              <w:rPr>
                <w:rFonts w:ascii="Lato" w:hAnsi="Lato"/>
                <w:color w:val="365F91"/>
                <w:sz w:val="20"/>
                <w:szCs w:val="20"/>
              </w:rPr>
            </w:pPr>
            <w:r w:rsidRPr="009B3C1C">
              <w:rPr>
                <w:rFonts w:ascii="Lato" w:hAnsi="Lato"/>
                <w:color w:val="365F91"/>
                <w:sz w:val="20"/>
                <w:szCs w:val="20"/>
              </w:rPr>
              <w:t>m</w:t>
            </w:r>
            <w:r w:rsidRPr="009B3C1C">
              <w:rPr>
                <w:rFonts w:ascii="Lato" w:hAnsi="Lato"/>
                <w:color w:val="365F91"/>
                <w:sz w:val="20"/>
                <w:szCs w:val="20"/>
                <w:vertAlign w:val="superscript"/>
              </w:rPr>
              <w:t>2</w:t>
            </w:r>
          </w:p>
        </w:tc>
      </w:tr>
      <w:tr w:rsidR="007B4EB6" w:rsidRPr="00D352C4" w:rsidTr="00B5219E">
        <w:trPr>
          <w:trHeight w:val="543"/>
          <w:jc w:val="center"/>
        </w:trPr>
        <w:tc>
          <w:tcPr>
            <w:tcW w:w="1077" w:type="pct"/>
            <w:shd w:val="clear" w:color="auto" w:fill="auto"/>
            <w:noWrap/>
            <w:vAlign w:val="center"/>
          </w:tcPr>
          <w:p w:rsidR="007B4EB6" w:rsidRPr="009B3C1C" w:rsidRDefault="007B4EB6" w:rsidP="007B4EB6">
            <w:pPr>
              <w:spacing w:line="240" w:lineRule="auto"/>
              <w:ind w:firstLine="0"/>
              <w:jc w:val="center"/>
              <w:rPr>
                <w:rFonts w:ascii="Lato" w:hAnsi="Lato"/>
                <w:color w:val="365F91"/>
                <w:sz w:val="20"/>
                <w:szCs w:val="20"/>
              </w:rPr>
            </w:pPr>
            <w:r w:rsidRPr="009B3C1C">
              <w:rPr>
                <w:rFonts w:ascii="Lato" w:hAnsi="Lato"/>
                <w:color w:val="365F91"/>
                <w:sz w:val="20"/>
                <w:szCs w:val="20"/>
              </w:rPr>
              <w:t>228 871</w:t>
            </w:r>
          </w:p>
        </w:tc>
        <w:tc>
          <w:tcPr>
            <w:tcW w:w="1499" w:type="pct"/>
            <w:shd w:val="clear" w:color="auto" w:fill="auto"/>
            <w:noWrap/>
            <w:vAlign w:val="center"/>
          </w:tcPr>
          <w:p w:rsidR="007B4EB6" w:rsidRPr="009B3C1C" w:rsidRDefault="007B4EB6" w:rsidP="007B4EB6">
            <w:pPr>
              <w:spacing w:line="240" w:lineRule="auto"/>
              <w:ind w:firstLine="0"/>
              <w:jc w:val="center"/>
              <w:rPr>
                <w:rFonts w:ascii="Lato" w:hAnsi="Lato"/>
                <w:color w:val="365F91"/>
                <w:sz w:val="20"/>
                <w:szCs w:val="20"/>
              </w:rPr>
            </w:pPr>
            <w:r w:rsidRPr="009B3C1C">
              <w:rPr>
                <w:rFonts w:ascii="Lato" w:hAnsi="Lato"/>
                <w:color w:val="365F91"/>
                <w:sz w:val="20"/>
                <w:szCs w:val="20"/>
              </w:rPr>
              <w:t>157 512</w:t>
            </w:r>
          </w:p>
        </w:tc>
        <w:tc>
          <w:tcPr>
            <w:tcW w:w="1160" w:type="pct"/>
            <w:shd w:val="clear" w:color="auto" w:fill="auto"/>
            <w:noWrap/>
            <w:vAlign w:val="center"/>
          </w:tcPr>
          <w:p w:rsidR="007B4EB6" w:rsidRPr="009B3C1C" w:rsidRDefault="007B4EB6" w:rsidP="007B4EB6">
            <w:pPr>
              <w:spacing w:line="240" w:lineRule="auto"/>
              <w:ind w:firstLine="0"/>
              <w:jc w:val="center"/>
              <w:rPr>
                <w:rFonts w:ascii="Lato" w:hAnsi="Lato"/>
                <w:color w:val="365F91"/>
                <w:sz w:val="20"/>
                <w:szCs w:val="20"/>
              </w:rPr>
            </w:pPr>
            <w:r w:rsidRPr="009B3C1C">
              <w:rPr>
                <w:rFonts w:ascii="Lato" w:hAnsi="Lato"/>
                <w:color w:val="365F91"/>
                <w:sz w:val="20"/>
                <w:szCs w:val="20"/>
              </w:rPr>
              <w:t>11 585</w:t>
            </w:r>
          </w:p>
        </w:tc>
        <w:tc>
          <w:tcPr>
            <w:tcW w:w="1264" w:type="pct"/>
            <w:shd w:val="clear" w:color="auto" w:fill="auto"/>
            <w:noWrap/>
            <w:vAlign w:val="center"/>
          </w:tcPr>
          <w:p w:rsidR="007B4EB6" w:rsidRPr="007B4EB6" w:rsidRDefault="007B4EB6" w:rsidP="007B4EB6">
            <w:pPr>
              <w:spacing w:line="240" w:lineRule="auto"/>
              <w:ind w:firstLine="0"/>
              <w:jc w:val="center"/>
              <w:rPr>
                <w:rFonts w:ascii="Lato" w:hAnsi="Lato"/>
                <w:color w:val="365F91"/>
                <w:sz w:val="20"/>
                <w:szCs w:val="20"/>
              </w:rPr>
            </w:pPr>
            <w:r w:rsidRPr="009B3C1C">
              <w:rPr>
                <w:rFonts w:ascii="Lato" w:hAnsi="Lato"/>
                <w:color w:val="365F91"/>
                <w:sz w:val="20"/>
                <w:szCs w:val="20"/>
              </w:rPr>
              <w:t>59 775</w:t>
            </w:r>
          </w:p>
        </w:tc>
      </w:tr>
    </w:tbl>
    <w:p w:rsidR="006B024A" w:rsidRDefault="00DB35F5" w:rsidP="00A63E0C">
      <w:pPr>
        <w:suppressAutoHyphens/>
        <w:spacing w:after="240"/>
        <w:ind w:firstLine="0"/>
        <w:jc w:val="center"/>
        <w:rPr>
          <w:rFonts w:ascii="Lato" w:hAnsi="Lato"/>
          <w:bCs/>
          <w:i/>
          <w:sz w:val="20"/>
          <w:szCs w:val="22"/>
        </w:rPr>
      </w:pPr>
      <w:r w:rsidRPr="00DB35F5">
        <w:rPr>
          <w:rFonts w:ascii="Lato" w:hAnsi="Lato"/>
          <w:bCs/>
          <w:i/>
          <w:sz w:val="20"/>
          <w:szCs w:val="22"/>
        </w:rPr>
        <w:t>Źródło: Analizy własne</w:t>
      </w:r>
    </w:p>
    <w:p w:rsidR="006B024A" w:rsidRPr="00D352C4" w:rsidRDefault="006B024A" w:rsidP="00631E84">
      <w:pPr>
        <w:pStyle w:val="Lista2"/>
        <w:tabs>
          <w:tab w:val="left" w:pos="0"/>
        </w:tabs>
        <w:spacing w:line="240" w:lineRule="auto"/>
        <w:ind w:left="11" w:hanging="11"/>
        <w:rPr>
          <w:rFonts w:ascii="Lato" w:hAnsi="Lato"/>
          <w:color w:val="365F91"/>
          <w:highlight w:val="yellow"/>
        </w:rPr>
      </w:pPr>
      <w:bookmarkStart w:id="426" w:name="_Toc336419489"/>
      <w:bookmarkStart w:id="427" w:name="_Toc336943656"/>
      <w:bookmarkStart w:id="428" w:name="_Toc20219195"/>
      <w:r w:rsidRPr="002A6BB0">
        <w:rPr>
          <w:rFonts w:ascii="Lato" w:hAnsi="Lato"/>
          <w:b/>
          <w:bCs/>
          <w:color w:val="365F91"/>
        </w:rPr>
        <w:t xml:space="preserve">Tabela </w:t>
      </w:r>
      <w:r w:rsidR="004042AE" w:rsidRPr="002A6BB0">
        <w:rPr>
          <w:rFonts w:ascii="Lato" w:hAnsi="Lato"/>
          <w:b/>
          <w:bCs/>
          <w:color w:val="365F91"/>
        </w:rPr>
        <w:fldChar w:fldCharType="begin"/>
      </w:r>
      <w:r w:rsidR="005430ED" w:rsidRPr="002A6BB0">
        <w:rPr>
          <w:rFonts w:ascii="Lato" w:hAnsi="Lato"/>
          <w:b/>
          <w:bCs/>
          <w:color w:val="365F91"/>
        </w:rPr>
        <w:instrText xml:space="preserve"> STYLEREF 1 \s </w:instrText>
      </w:r>
      <w:r w:rsidR="004042AE" w:rsidRPr="002A6BB0">
        <w:rPr>
          <w:rFonts w:ascii="Lato" w:hAnsi="Lato"/>
          <w:b/>
          <w:bCs/>
          <w:color w:val="365F91"/>
        </w:rPr>
        <w:fldChar w:fldCharType="separate"/>
      </w:r>
      <w:r w:rsidR="0040205B">
        <w:rPr>
          <w:rFonts w:ascii="Lato" w:hAnsi="Lato"/>
          <w:b/>
          <w:bCs/>
          <w:noProof/>
          <w:color w:val="365F91"/>
        </w:rPr>
        <w:t>5</w:t>
      </w:r>
      <w:r w:rsidR="004042AE" w:rsidRPr="002A6BB0">
        <w:rPr>
          <w:rFonts w:ascii="Lato" w:hAnsi="Lato"/>
          <w:b/>
          <w:bCs/>
          <w:color w:val="365F91"/>
        </w:rPr>
        <w:fldChar w:fldCharType="end"/>
      </w:r>
      <w:r w:rsidR="005430ED" w:rsidRPr="002A6BB0">
        <w:rPr>
          <w:rFonts w:ascii="Lato" w:hAnsi="Lato"/>
          <w:b/>
          <w:bCs/>
          <w:color w:val="365F91"/>
        </w:rPr>
        <w:noBreakHyphen/>
      </w:r>
      <w:r w:rsidR="004042AE" w:rsidRPr="002A6BB0">
        <w:rPr>
          <w:rFonts w:ascii="Lato" w:hAnsi="Lato"/>
          <w:b/>
          <w:bCs/>
          <w:color w:val="365F91"/>
        </w:rPr>
        <w:fldChar w:fldCharType="begin"/>
      </w:r>
      <w:r w:rsidR="005430ED" w:rsidRPr="002A6BB0">
        <w:rPr>
          <w:rFonts w:ascii="Lato" w:hAnsi="Lato"/>
          <w:b/>
          <w:bCs/>
          <w:color w:val="365F91"/>
        </w:rPr>
        <w:instrText xml:space="preserve"> SEQ Tabela \* ARABIC \s 1 </w:instrText>
      </w:r>
      <w:r w:rsidR="004042AE" w:rsidRPr="002A6BB0">
        <w:rPr>
          <w:rFonts w:ascii="Lato" w:hAnsi="Lato"/>
          <w:b/>
          <w:bCs/>
          <w:color w:val="365F91"/>
        </w:rPr>
        <w:fldChar w:fldCharType="separate"/>
      </w:r>
      <w:r w:rsidR="0040205B">
        <w:rPr>
          <w:rFonts w:ascii="Lato" w:hAnsi="Lato"/>
          <w:b/>
          <w:bCs/>
          <w:noProof/>
          <w:color w:val="365F91"/>
        </w:rPr>
        <w:t>6</w:t>
      </w:r>
      <w:r w:rsidR="004042AE" w:rsidRPr="002A6BB0">
        <w:rPr>
          <w:rFonts w:ascii="Lato" w:hAnsi="Lato"/>
          <w:b/>
          <w:bCs/>
          <w:color w:val="365F91"/>
        </w:rPr>
        <w:fldChar w:fldCharType="end"/>
      </w:r>
      <w:r w:rsidRPr="002A6BB0">
        <w:rPr>
          <w:rFonts w:ascii="Lato" w:hAnsi="Lato"/>
          <w:b/>
          <w:color w:val="365F91"/>
        </w:rPr>
        <w:t xml:space="preserve"> Zestawienie potrzeb energetycznych obszarów ujętych w scenariuszu C do 203</w:t>
      </w:r>
      <w:bookmarkEnd w:id="426"/>
      <w:bookmarkEnd w:id="427"/>
      <w:r w:rsidR="00B5219E" w:rsidRPr="002A6BB0">
        <w:rPr>
          <w:rFonts w:ascii="Lato" w:hAnsi="Lato"/>
          <w:b/>
          <w:color w:val="365F91"/>
        </w:rPr>
        <w:t>5</w:t>
      </w:r>
      <w:bookmarkEnd w:id="428"/>
    </w:p>
    <w:tbl>
      <w:tblPr>
        <w:tblW w:w="5000" w:type="pct"/>
        <w:jc w:val="center"/>
        <w:tblCellMar>
          <w:left w:w="70" w:type="dxa"/>
          <w:right w:w="70" w:type="dxa"/>
        </w:tblCellMar>
        <w:tblLook w:val="04A0" w:firstRow="1" w:lastRow="0" w:firstColumn="1" w:lastColumn="0" w:noHBand="0" w:noVBand="1"/>
      </w:tblPr>
      <w:tblGrid>
        <w:gridCol w:w="3606"/>
        <w:gridCol w:w="1106"/>
        <w:gridCol w:w="1893"/>
        <w:gridCol w:w="1053"/>
        <w:gridCol w:w="1895"/>
      </w:tblGrid>
      <w:tr w:rsidR="0020251A" w:rsidRPr="007B4EB6" w:rsidTr="00B5219E">
        <w:trPr>
          <w:trHeight w:val="525"/>
          <w:jc w:val="center"/>
        </w:trPr>
        <w:tc>
          <w:tcPr>
            <w:tcW w:w="1887"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20251A" w:rsidRPr="007B4EB6" w:rsidRDefault="0020251A" w:rsidP="0020251A">
            <w:pPr>
              <w:spacing w:line="240" w:lineRule="auto"/>
              <w:ind w:firstLine="0"/>
              <w:jc w:val="center"/>
              <w:rPr>
                <w:rFonts w:ascii="Lato" w:hAnsi="Lato"/>
                <w:color w:val="1F497D"/>
                <w:sz w:val="16"/>
                <w:szCs w:val="16"/>
              </w:rPr>
            </w:pPr>
            <w:r w:rsidRPr="007B4EB6">
              <w:rPr>
                <w:rFonts w:ascii="Lato" w:hAnsi="Lato"/>
                <w:color w:val="1F497D"/>
                <w:sz w:val="16"/>
                <w:szCs w:val="16"/>
              </w:rPr>
              <w:t>Rodzaj inwestycji</w:t>
            </w:r>
          </w:p>
        </w:tc>
        <w:tc>
          <w:tcPr>
            <w:tcW w:w="1570" w:type="pct"/>
            <w:gridSpan w:val="2"/>
            <w:tcBorders>
              <w:top w:val="single" w:sz="4" w:space="0" w:color="4F81BD"/>
              <w:left w:val="nil"/>
              <w:bottom w:val="single" w:sz="4" w:space="0" w:color="4F81BD"/>
              <w:right w:val="single" w:sz="4" w:space="0" w:color="4F81BD"/>
            </w:tcBorders>
            <w:shd w:val="clear" w:color="000000" w:fill="DCE6F1"/>
            <w:vAlign w:val="center"/>
            <w:hideMark/>
          </w:tcPr>
          <w:p w:rsidR="0020251A" w:rsidRPr="007B4EB6" w:rsidRDefault="0020251A" w:rsidP="0020251A">
            <w:pPr>
              <w:spacing w:line="240" w:lineRule="auto"/>
              <w:ind w:firstLine="0"/>
              <w:jc w:val="center"/>
              <w:rPr>
                <w:rFonts w:ascii="Lato" w:hAnsi="Lato"/>
                <w:color w:val="1F497D"/>
                <w:sz w:val="16"/>
                <w:szCs w:val="16"/>
              </w:rPr>
            </w:pPr>
            <w:r w:rsidRPr="007B4EB6">
              <w:rPr>
                <w:rFonts w:ascii="Lato" w:hAnsi="Lato"/>
                <w:color w:val="1F497D"/>
                <w:sz w:val="16"/>
                <w:szCs w:val="16"/>
              </w:rPr>
              <w:t>Zapotrzebowanie na ciepło (ogrzewanie)</w:t>
            </w:r>
          </w:p>
        </w:tc>
        <w:tc>
          <w:tcPr>
            <w:tcW w:w="1543" w:type="pct"/>
            <w:gridSpan w:val="2"/>
            <w:tcBorders>
              <w:top w:val="single" w:sz="4" w:space="0" w:color="4F81BD"/>
              <w:left w:val="nil"/>
              <w:bottom w:val="single" w:sz="4" w:space="0" w:color="4F81BD"/>
              <w:right w:val="single" w:sz="4" w:space="0" w:color="4F81BD"/>
            </w:tcBorders>
            <w:shd w:val="clear" w:color="000000" w:fill="DCE6F1"/>
            <w:vAlign w:val="center"/>
            <w:hideMark/>
          </w:tcPr>
          <w:p w:rsidR="0020251A" w:rsidRPr="007B4EB6" w:rsidRDefault="0020251A" w:rsidP="0020251A">
            <w:pPr>
              <w:spacing w:line="240" w:lineRule="auto"/>
              <w:ind w:firstLine="0"/>
              <w:jc w:val="center"/>
              <w:rPr>
                <w:rFonts w:ascii="Lato" w:hAnsi="Lato"/>
                <w:color w:val="1F497D"/>
                <w:sz w:val="16"/>
                <w:szCs w:val="16"/>
              </w:rPr>
            </w:pPr>
            <w:r w:rsidRPr="007B4EB6">
              <w:rPr>
                <w:rFonts w:ascii="Lato" w:hAnsi="Lato"/>
                <w:color w:val="1F497D"/>
                <w:sz w:val="16"/>
                <w:szCs w:val="16"/>
              </w:rPr>
              <w:t>Zapotrzebowanie na energię elektryczną</w:t>
            </w:r>
          </w:p>
        </w:tc>
      </w:tr>
      <w:tr w:rsidR="0020251A" w:rsidRPr="007B4EB6" w:rsidTr="00B5219E">
        <w:trPr>
          <w:trHeight w:val="315"/>
          <w:jc w:val="center"/>
        </w:trPr>
        <w:tc>
          <w:tcPr>
            <w:tcW w:w="1887" w:type="pct"/>
            <w:vMerge/>
            <w:tcBorders>
              <w:top w:val="single" w:sz="4" w:space="0" w:color="4F81BD"/>
              <w:left w:val="single" w:sz="4" w:space="0" w:color="4F81BD"/>
              <w:bottom w:val="single" w:sz="4" w:space="0" w:color="4F81BD"/>
              <w:right w:val="single" w:sz="4" w:space="0" w:color="4F81BD"/>
            </w:tcBorders>
            <w:vAlign w:val="center"/>
            <w:hideMark/>
          </w:tcPr>
          <w:p w:rsidR="0020251A" w:rsidRPr="007B4EB6" w:rsidRDefault="0020251A" w:rsidP="0020251A">
            <w:pPr>
              <w:spacing w:line="240" w:lineRule="auto"/>
              <w:ind w:firstLine="0"/>
              <w:rPr>
                <w:rFonts w:ascii="Lato" w:hAnsi="Lato"/>
                <w:color w:val="1F497D"/>
                <w:sz w:val="16"/>
                <w:szCs w:val="16"/>
              </w:rPr>
            </w:pPr>
          </w:p>
        </w:tc>
        <w:tc>
          <w:tcPr>
            <w:tcW w:w="579" w:type="pct"/>
            <w:tcBorders>
              <w:top w:val="nil"/>
              <w:left w:val="nil"/>
              <w:bottom w:val="single" w:sz="4" w:space="0" w:color="4F81BD"/>
              <w:right w:val="single" w:sz="4" w:space="0" w:color="4F81BD"/>
            </w:tcBorders>
            <w:shd w:val="clear" w:color="000000" w:fill="DCE6F1"/>
            <w:noWrap/>
            <w:vAlign w:val="center"/>
            <w:hideMark/>
          </w:tcPr>
          <w:p w:rsidR="0020251A" w:rsidRPr="007B4EB6" w:rsidRDefault="00D577AA" w:rsidP="0020251A">
            <w:pPr>
              <w:spacing w:line="240" w:lineRule="auto"/>
              <w:ind w:firstLine="0"/>
              <w:jc w:val="center"/>
              <w:rPr>
                <w:rFonts w:ascii="Lato" w:hAnsi="Lato"/>
                <w:color w:val="1F497D"/>
                <w:sz w:val="16"/>
                <w:szCs w:val="16"/>
              </w:rPr>
            </w:pPr>
            <w:r w:rsidRPr="007B4EB6">
              <w:rPr>
                <w:rFonts w:ascii="Lato" w:hAnsi="Lato"/>
                <w:color w:val="1F497D"/>
                <w:sz w:val="16"/>
                <w:szCs w:val="16"/>
              </w:rPr>
              <w:t>MW</w:t>
            </w:r>
          </w:p>
        </w:tc>
        <w:tc>
          <w:tcPr>
            <w:tcW w:w="991" w:type="pct"/>
            <w:tcBorders>
              <w:top w:val="nil"/>
              <w:left w:val="nil"/>
              <w:bottom w:val="single" w:sz="4" w:space="0" w:color="4F81BD"/>
              <w:right w:val="single" w:sz="4" w:space="0" w:color="4F81BD"/>
            </w:tcBorders>
            <w:shd w:val="clear" w:color="000000" w:fill="DCE6F1"/>
            <w:noWrap/>
            <w:vAlign w:val="center"/>
            <w:hideMark/>
          </w:tcPr>
          <w:p w:rsidR="0020251A" w:rsidRPr="007B4EB6" w:rsidRDefault="00D577AA" w:rsidP="0020251A">
            <w:pPr>
              <w:spacing w:line="240" w:lineRule="auto"/>
              <w:ind w:firstLine="0"/>
              <w:jc w:val="center"/>
              <w:rPr>
                <w:rFonts w:ascii="Lato" w:hAnsi="Lato"/>
                <w:color w:val="1F497D"/>
                <w:sz w:val="16"/>
                <w:szCs w:val="16"/>
              </w:rPr>
            </w:pPr>
            <w:r w:rsidRPr="007B4EB6">
              <w:rPr>
                <w:rFonts w:ascii="Lato" w:hAnsi="Lato"/>
                <w:color w:val="1F497D"/>
                <w:sz w:val="16"/>
                <w:szCs w:val="16"/>
              </w:rPr>
              <w:t>GJ/rok</w:t>
            </w:r>
          </w:p>
        </w:tc>
        <w:tc>
          <w:tcPr>
            <w:tcW w:w="551" w:type="pct"/>
            <w:tcBorders>
              <w:top w:val="nil"/>
              <w:left w:val="nil"/>
              <w:bottom w:val="single" w:sz="4" w:space="0" w:color="4F81BD"/>
              <w:right w:val="single" w:sz="4" w:space="0" w:color="4F81BD"/>
            </w:tcBorders>
            <w:shd w:val="clear" w:color="000000" w:fill="DCE6F1"/>
            <w:noWrap/>
            <w:vAlign w:val="center"/>
            <w:hideMark/>
          </w:tcPr>
          <w:p w:rsidR="0020251A" w:rsidRPr="007B4EB6" w:rsidRDefault="00D577AA" w:rsidP="0020251A">
            <w:pPr>
              <w:spacing w:line="240" w:lineRule="auto"/>
              <w:ind w:firstLine="0"/>
              <w:jc w:val="center"/>
              <w:rPr>
                <w:rFonts w:ascii="Lato" w:hAnsi="Lato"/>
                <w:color w:val="1F497D"/>
                <w:sz w:val="16"/>
                <w:szCs w:val="16"/>
              </w:rPr>
            </w:pPr>
            <w:r w:rsidRPr="007B4EB6">
              <w:rPr>
                <w:rFonts w:ascii="Lato" w:hAnsi="Lato"/>
                <w:color w:val="1F497D"/>
                <w:sz w:val="16"/>
                <w:szCs w:val="16"/>
              </w:rPr>
              <w:t>MW</w:t>
            </w:r>
          </w:p>
        </w:tc>
        <w:tc>
          <w:tcPr>
            <w:tcW w:w="992" w:type="pct"/>
            <w:tcBorders>
              <w:top w:val="nil"/>
              <w:left w:val="nil"/>
              <w:bottom w:val="single" w:sz="4" w:space="0" w:color="4F81BD"/>
              <w:right w:val="single" w:sz="4" w:space="0" w:color="4F81BD"/>
            </w:tcBorders>
            <w:shd w:val="clear" w:color="000000" w:fill="DCE6F1"/>
            <w:noWrap/>
            <w:vAlign w:val="center"/>
            <w:hideMark/>
          </w:tcPr>
          <w:p w:rsidR="0020251A" w:rsidRPr="007B4EB6" w:rsidRDefault="00D577AA" w:rsidP="0020251A">
            <w:pPr>
              <w:spacing w:line="240" w:lineRule="auto"/>
              <w:ind w:firstLine="0"/>
              <w:jc w:val="center"/>
              <w:rPr>
                <w:rFonts w:ascii="Lato" w:hAnsi="Lato"/>
                <w:color w:val="1F497D"/>
                <w:sz w:val="16"/>
                <w:szCs w:val="16"/>
              </w:rPr>
            </w:pPr>
            <w:r w:rsidRPr="007B4EB6">
              <w:rPr>
                <w:rFonts w:ascii="Lato" w:hAnsi="Lato"/>
                <w:color w:val="1F497D"/>
                <w:sz w:val="16"/>
                <w:szCs w:val="16"/>
              </w:rPr>
              <w:t>MWh/rok</w:t>
            </w:r>
          </w:p>
        </w:tc>
      </w:tr>
      <w:tr w:rsidR="007B4EB6" w:rsidRPr="007B4EB6" w:rsidTr="00B5219E">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rsidR="007B4EB6" w:rsidRPr="007B4EB6" w:rsidRDefault="007B4EB6" w:rsidP="0020251A">
            <w:pPr>
              <w:spacing w:line="240" w:lineRule="auto"/>
              <w:ind w:firstLine="0"/>
              <w:rPr>
                <w:rFonts w:ascii="Lato" w:hAnsi="Lato"/>
                <w:color w:val="1F497D"/>
                <w:sz w:val="16"/>
                <w:szCs w:val="16"/>
              </w:rPr>
            </w:pPr>
            <w:r w:rsidRPr="007B4EB6">
              <w:rPr>
                <w:rFonts w:ascii="Lato" w:hAnsi="Lato"/>
                <w:color w:val="1F497D"/>
                <w:sz w:val="16"/>
                <w:szCs w:val="16"/>
              </w:rPr>
              <w:t>Strefy mieszkaniowe</w:t>
            </w:r>
          </w:p>
        </w:tc>
        <w:tc>
          <w:tcPr>
            <w:tcW w:w="579"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7,88</w:t>
            </w:r>
          </w:p>
        </w:tc>
        <w:tc>
          <w:tcPr>
            <w:tcW w:w="991"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48 432,9</w:t>
            </w:r>
          </w:p>
        </w:tc>
        <w:tc>
          <w:tcPr>
            <w:tcW w:w="551"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2,27</w:t>
            </w:r>
          </w:p>
        </w:tc>
        <w:tc>
          <w:tcPr>
            <w:tcW w:w="992"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4 141,6</w:t>
            </w:r>
          </w:p>
        </w:tc>
      </w:tr>
      <w:tr w:rsidR="007B4EB6" w:rsidRPr="007B4EB6" w:rsidTr="00B5219E">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rsidR="007B4EB6" w:rsidRPr="007B4EB6" w:rsidRDefault="007B4EB6" w:rsidP="0020251A">
            <w:pPr>
              <w:spacing w:line="240" w:lineRule="auto"/>
              <w:ind w:firstLine="0"/>
              <w:rPr>
                <w:rFonts w:ascii="Lato" w:hAnsi="Lato"/>
                <w:color w:val="1F497D"/>
                <w:sz w:val="16"/>
                <w:szCs w:val="16"/>
              </w:rPr>
            </w:pPr>
            <w:r w:rsidRPr="007B4EB6">
              <w:rPr>
                <w:rFonts w:ascii="Lato" w:hAnsi="Lato"/>
                <w:color w:val="1F497D"/>
                <w:sz w:val="16"/>
                <w:szCs w:val="16"/>
              </w:rPr>
              <w:t>Strefy usługowe</w:t>
            </w:r>
          </w:p>
        </w:tc>
        <w:tc>
          <w:tcPr>
            <w:tcW w:w="579"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0,71</w:t>
            </w:r>
          </w:p>
        </w:tc>
        <w:tc>
          <w:tcPr>
            <w:tcW w:w="991"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3 616,5</w:t>
            </w:r>
          </w:p>
        </w:tc>
        <w:tc>
          <w:tcPr>
            <w:tcW w:w="551"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0,45</w:t>
            </w:r>
          </w:p>
        </w:tc>
        <w:tc>
          <w:tcPr>
            <w:tcW w:w="992"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521,0</w:t>
            </w:r>
          </w:p>
        </w:tc>
      </w:tr>
      <w:tr w:rsidR="007B4EB6" w:rsidRPr="007B4EB6" w:rsidTr="00B5219E">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rsidR="007B4EB6" w:rsidRPr="007B4EB6" w:rsidRDefault="007B4EB6" w:rsidP="0020251A">
            <w:pPr>
              <w:spacing w:line="240" w:lineRule="auto"/>
              <w:ind w:firstLine="0"/>
              <w:rPr>
                <w:rFonts w:ascii="Lato" w:hAnsi="Lato"/>
                <w:color w:val="1F497D"/>
                <w:sz w:val="16"/>
                <w:szCs w:val="16"/>
              </w:rPr>
            </w:pPr>
            <w:r w:rsidRPr="007B4EB6">
              <w:rPr>
                <w:rFonts w:ascii="Lato" w:hAnsi="Lato"/>
                <w:color w:val="1F497D"/>
                <w:sz w:val="16"/>
                <w:szCs w:val="16"/>
              </w:rPr>
              <w:t>Strefy produkcyjne</w:t>
            </w:r>
          </w:p>
        </w:tc>
        <w:tc>
          <w:tcPr>
            <w:tcW w:w="579"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2,15</w:t>
            </w:r>
          </w:p>
        </w:tc>
        <w:tc>
          <w:tcPr>
            <w:tcW w:w="991"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9 470,9</w:t>
            </w:r>
          </w:p>
        </w:tc>
        <w:tc>
          <w:tcPr>
            <w:tcW w:w="551"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1,88</w:t>
            </w:r>
          </w:p>
        </w:tc>
        <w:tc>
          <w:tcPr>
            <w:tcW w:w="992"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1 902,4</w:t>
            </w:r>
          </w:p>
        </w:tc>
      </w:tr>
      <w:tr w:rsidR="007B4EB6" w:rsidRPr="007B4EB6" w:rsidTr="00B5219E">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noWrap/>
            <w:vAlign w:val="center"/>
            <w:hideMark/>
          </w:tcPr>
          <w:p w:rsidR="007B4EB6" w:rsidRPr="007B4EB6" w:rsidRDefault="007B4EB6" w:rsidP="0020251A">
            <w:pPr>
              <w:spacing w:line="240" w:lineRule="auto"/>
              <w:ind w:firstLine="0"/>
              <w:jc w:val="center"/>
              <w:rPr>
                <w:rFonts w:ascii="Lato" w:hAnsi="Lato"/>
                <w:b/>
                <w:bCs/>
                <w:color w:val="1F497D"/>
                <w:sz w:val="20"/>
                <w:szCs w:val="20"/>
              </w:rPr>
            </w:pPr>
            <w:r w:rsidRPr="007B4EB6">
              <w:rPr>
                <w:rFonts w:ascii="Lato" w:hAnsi="Lato"/>
                <w:b/>
                <w:bCs/>
                <w:color w:val="1F497D"/>
                <w:sz w:val="20"/>
                <w:szCs w:val="20"/>
              </w:rPr>
              <w:t>SUMA</w:t>
            </w:r>
          </w:p>
        </w:tc>
        <w:tc>
          <w:tcPr>
            <w:tcW w:w="579"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10,73</w:t>
            </w:r>
          </w:p>
        </w:tc>
        <w:tc>
          <w:tcPr>
            <w:tcW w:w="991"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61 520,3</w:t>
            </w:r>
          </w:p>
        </w:tc>
        <w:tc>
          <w:tcPr>
            <w:tcW w:w="551"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4,60</w:t>
            </w:r>
          </w:p>
        </w:tc>
        <w:tc>
          <w:tcPr>
            <w:tcW w:w="992" w:type="pct"/>
            <w:tcBorders>
              <w:top w:val="nil"/>
              <w:left w:val="nil"/>
              <w:bottom w:val="single" w:sz="4" w:space="0" w:color="4F81BD"/>
              <w:right w:val="single" w:sz="4" w:space="0" w:color="4F81BD"/>
            </w:tcBorders>
            <w:shd w:val="clear" w:color="auto" w:fill="auto"/>
            <w:noWrap/>
            <w:vAlign w:val="center"/>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6 565,0</w:t>
            </w:r>
          </w:p>
        </w:tc>
      </w:tr>
    </w:tbl>
    <w:p w:rsidR="00DB35F5" w:rsidRDefault="00DB35F5" w:rsidP="00DB35F5">
      <w:pPr>
        <w:suppressAutoHyphens/>
        <w:ind w:firstLine="0"/>
        <w:jc w:val="center"/>
        <w:rPr>
          <w:rFonts w:ascii="Lato" w:hAnsi="Lato"/>
          <w:bCs/>
          <w:i/>
          <w:sz w:val="20"/>
          <w:szCs w:val="22"/>
        </w:rPr>
      </w:pPr>
      <w:r w:rsidRPr="00DB35F5">
        <w:rPr>
          <w:rFonts w:ascii="Lato" w:hAnsi="Lato"/>
          <w:bCs/>
          <w:i/>
          <w:sz w:val="20"/>
          <w:szCs w:val="22"/>
        </w:rPr>
        <w:t>Źródło: Analizy własne</w:t>
      </w:r>
    </w:p>
    <w:p w:rsidR="006B024A" w:rsidRPr="007B4EB6" w:rsidRDefault="006B024A" w:rsidP="006B024A">
      <w:pPr>
        <w:pStyle w:val="Lista2"/>
        <w:tabs>
          <w:tab w:val="left" w:pos="540"/>
        </w:tabs>
        <w:ind w:left="567" w:hanging="567"/>
        <w:jc w:val="both"/>
        <w:rPr>
          <w:rFonts w:ascii="Lato" w:hAnsi="Lato"/>
          <w:b/>
          <w:bCs/>
          <w:sz w:val="22"/>
          <w:szCs w:val="22"/>
        </w:rPr>
      </w:pPr>
    </w:p>
    <w:p w:rsidR="006B024A" w:rsidRPr="007B4EB6" w:rsidRDefault="006B024A" w:rsidP="003D0EFD">
      <w:pPr>
        <w:pStyle w:val="Lista2"/>
        <w:tabs>
          <w:tab w:val="left" w:pos="0"/>
        </w:tabs>
        <w:spacing w:line="240" w:lineRule="auto"/>
        <w:ind w:left="0" w:firstLine="0"/>
        <w:jc w:val="both"/>
        <w:rPr>
          <w:rFonts w:ascii="Lato" w:hAnsi="Lato"/>
          <w:color w:val="365F91"/>
        </w:rPr>
      </w:pPr>
      <w:bookmarkStart w:id="429" w:name="_Toc336419490"/>
      <w:bookmarkStart w:id="430" w:name="_Toc336943657"/>
      <w:bookmarkStart w:id="431" w:name="_Toc20219196"/>
      <w:r w:rsidRPr="007B4EB6">
        <w:rPr>
          <w:rFonts w:ascii="Lato" w:hAnsi="Lato"/>
          <w:b/>
          <w:bCs/>
          <w:color w:val="365F91"/>
        </w:rPr>
        <w:t xml:space="preserve">Tabela </w:t>
      </w:r>
      <w:r w:rsidR="004042AE" w:rsidRPr="007B4EB6">
        <w:rPr>
          <w:rFonts w:ascii="Lato" w:hAnsi="Lato"/>
          <w:b/>
          <w:bCs/>
          <w:color w:val="365F91"/>
        </w:rPr>
        <w:fldChar w:fldCharType="begin"/>
      </w:r>
      <w:r w:rsidR="005430ED" w:rsidRPr="007B4EB6">
        <w:rPr>
          <w:rFonts w:ascii="Lato" w:hAnsi="Lato"/>
          <w:b/>
          <w:bCs/>
          <w:color w:val="365F91"/>
        </w:rPr>
        <w:instrText xml:space="preserve"> STYLEREF 1 \s </w:instrText>
      </w:r>
      <w:r w:rsidR="004042AE" w:rsidRPr="007B4EB6">
        <w:rPr>
          <w:rFonts w:ascii="Lato" w:hAnsi="Lato"/>
          <w:b/>
          <w:bCs/>
          <w:color w:val="365F91"/>
        </w:rPr>
        <w:fldChar w:fldCharType="separate"/>
      </w:r>
      <w:r w:rsidR="0040205B">
        <w:rPr>
          <w:rFonts w:ascii="Lato" w:hAnsi="Lato"/>
          <w:b/>
          <w:bCs/>
          <w:noProof/>
          <w:color w:val="365F91"/>
        </w:rPr>
        <w:t>5</w:t>
      </w:r>
      <w:r w:rsidR="004042AE" w:rsidRPr="007B4EB6">
        <w:rPr>
          <w:rFonts w:ascii="Lato" w:hAnsi="Lato"/>
          <w:b/>
          <w:bCs/>
          <w:color w:val="365F91"/>
        </w:rPr>
        <w:fldChar w:fldCharType="end"/>
      </w:r>
      <w:r w:rsidR="005430ED" w:rsidRPr="007B4EB6">
        <w:rPr>
          <w:rFonts w:ascii="Lato" w:hAnsi="Lato"/>
          <w:b/>
          <w:bCs/>
          <w:color w:val="365F91"/>
        </w:rPr>
        <w:noBreakHyphen/>
      </w:r>
      <w:r w:rsidR="004042AE" w:rsidRPr="007B4EB6">
        <w:rPr>
          <w:rFonts w:ascii="Lato" w:hAnsi="Lato"/>
          <w:b/>
          <w:bCs/>
          <w:color w:val="365F91"/>
        </w:rPr>
        <w:fldChar w:fldCharType="begin"/>
      </w:r>
      <w:r w:rsidR="005430ED" w:rsidRPr="007B4EB6">
        <w:rPr>
          <w:rFonts w:ascii="Lato" w:hAnsi="Lato"/>
          <w:b/>
          <w:bCs/>
          <w:color w:val="365F91"/>
        </w:rPr>
        <w:instrText xml:space="preserve"> SEQ Tabela \* ARABIC \s 1 </w:instrText>
      </w:r>
      <w:r w:rsidR="004042AE" w:rsidRPr="007B4EB6">
        <w:rPr>
          <w:rFonts w:ascii="Lato" w:hAnsi="Lato"/>
          <w:b/>
          <w:bCs/>
          <w:color w:val="365F91"/>
        </w:rPr>
        <w:fldChar w:fldCharType="separate"/>
      </w:r>
      <w:r w:rsidR="0040205B">
        <w:rPr>
          <w:rFonts w:ascii="Lato" w:hAnsi="Lato"/>
          <w:b/>
          <w:bCs/>
          <w:noProof/>
          <w:color w:val="365F91"/>
        </w:rPr>
        <w:t>7</w:t>
      </w:r>
      <w:r w:rsidR="004042AE" w:rsidRPr="007B4EB6">
        <w:rPr>
          <w:rFonts w:ascii="Lato" w:hAnsi="Lato"/>
          <w:b/>
          <w:bCs/>
          <w:color w:val="365F91"/>
        </w:rPr>
        <w:fldChar w:fldCharType="end"/>
      </w:r>
      <w:r w:rsidRPr="007B4EB6">
        <w:rPr>
          <w:rFonts w:ascii="Lato" w:hAnsi="Lato"/>
          <w:b/>
          <w:color w:val="365F91"/>
        </w:rPr>
        <w:t xml:space="preserve"> Zestawienie zmian wskaźników zapotrzebowania na ciepło budynków mieszkalnych istniejących i</w:t>
      </w:r>
      <w:r w:rsidR="00120868" w:rsidRPr="007B4EB6">
        <w:rPr>
          <w:rFonts w:ascii="Lato" w:hAnsi="Lato"/>
          <w:b/>
          <w:color w:val="365F91"/>
        </w:rPr>
        <w:t> </w:t>
      </w:r>
      <w:r w:rsidRPr="007B4EB6">
        <w:rPr>
          <w:rFonts w:ascii="Lato" w:hAnsi="Lato"/>
          <w:b/>
          <w:color w:val="365F91"/>
        </w:rPr>
        <w:t>nowo wznoszonych w poszczególnych scenariuszach do roku 203</w:t>
      </w:r>
      <w:bookmarkEnd w:id="429"/>
      <w:bookmarkEnd w:id="430"/>
      <w:r w:rsidR="00B5219E" w:rsidRPr="007B4EB6">
        <w:rPr>
          <w:rFonts w:ascii="Lato" w:hAnsi="Lato"/>
          <w:b/>
          <w:color w:val="365F91"/>
        </w:rPr>
        <w:t>5</w:t>
      </w:r>
      <w:bookmarkEnd w:id="431"/>
    </w:p>
    <w:tbl>
      <w:tblPr>
        <w:tblW w:w="5000" w:type="pct"/>
        <w:jc w:val="center"/>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CellMar>
          <w:left w:w="70" w:type="dxa"/>
          <w:right w:w="70" w:type="dxa"/>
        </w:tblCellMar>
        <w:tblLook w:val="04A0" w:firstRow="1" w:lastRow="0" w:firstColumn="1" w:lastColumn="0" w:noHBand="0" w:noVBand="1"/>
      </w:tblPr>
      <w:tblGrid>
        <w:gridCol w:w="459"/>
        <w:gridCol w:w="3825"/>
        <w:gridCol w:w="1083"/>
        <w:gridCol w:w="1047"/>
        <w:gridCol w:w="1047"/>
        <w:gridCol w:w="1047"/>
        <w:gridCol w:w="1045"/>
      </w:tblGrid>
      <w:tr w:rsidR="001A78AA" w:rsidRPr="007B4EB6" w:rsidTr="00D153EC">
        <w:trPr>
          <w:trHeight w:val="408"/>
          <w:jc w:val="center"/>
        </w:trPr>
        <w:tc>
          <w:tcPr>
            <w:tcW w:w="240" w:type="pct"/>
            <w:shd w:val="clear" w:color="auto" w:fill="DBE5F1"/>
            <w:vAlign w:val="center"/>
            <w:hideMark/>
          </w:tcPr>
          <w:p w:rsidR="00334BEC" w:rsidRPr="007B4EB6" w:rsidRDefault="00334BEC" w:rsidP="00334BEC">
            <w:pPr>
              <w:spacing w:line="240" w:lineRule="auto"/>
              <w:ind w:firstLine="0"/>
              <w:jc w:val="center"/>
              <w:rPr>
                <w:rFonts w:ascii="Lato" w:hAnsi="Lato"/>
                <w:b/>
                <w:color w:val="365F91"/>
                <w:sz w:val="20"/>
                <w:szCs w:val="20"/>
              </w:rPr>
            </w:pPr>
            <w:r w:rsidRPr="007B4EB6">
              <w:rPr>
                <w:rFonts w:ascii="Lato" w:hAnsi="Lato"/>
                <w:b/>
                <w:color w:val="365F91"/>
                <w:sz w:val="20"/>
                <w:szCs w:val="20"/>
              </w:rPr>
              <w:t>Lp.</w:t>
            </w:r>
          </w:p>
        </w:tc>
        <w:tc>
          <w:tcPr>
            <w:tcW w:w="2002" w:type="pct"/>
            <w:shd w:val="clear" w:color="auto" w:fill="DBE5F1"/>
            <w:vAlign w:val="center"/>
            <w:hideMark/>
          </w:tcPr>
          <w:p w:rsidR="00334BEC" w:rsidRPr="007B4EB6" w:rsidRDefault="00334BEC" w:rsidP="00334BEC">
            <w:pPr>
              <w:spacing w:line="240" w:lineRule="auto"/>
              <w:ind w:firstLine="0"/>
              <w:jc w:val="center"/>
              <w:rPr>
                <w:rFonts w:ascii="Lato" w:hAnsi="Lato"/>
                <w:b/>
                <w:color w:val="365F91"/>
                <w:sz w:val="20"/>
                <w:szCs w:val="20"/>
              </w:rPr>
            </w:pPr>
            <w:r w:rsidRPr="007B4EB6">
              <w:rPr>
                <w:rFonts w:ascii="Lato" w:hAnsi="Lato"/>
                <w:b/>
                <w:color w:val="365F91"/>
                <w:sz w:val="20"/>
                <w:szCs w:val="20"/>
              </w:rPr>
              <w:t>Wyszczególnienie</w:t>
            </w:r>
          </w:p>
        </w:tc>
        <w:tc>
          <w:tcPr>
            <w:tcW w:w="567" w:type="pct"/>
            <w:shd w:val="clear" w:color="auto" w:fill="DBE5F1"/>
            <w:vAlign w:val="center"/>
            <w:hideMark/>
          </w:tcPr>
          <w:p w:rsidR="00334BEC" w:rsidRPr="007B4EB6" w:rsidRDefault="00334BEC" w:rsidP="00D47C2E">
            <w:pPr>
              <w:spacing w:line="240" w:lineRule="auto"/>
              <w:ind w:firstLine="0"/>
              <w:jc w:val="center"/>
              <w:rPr>
                <w:rFonts w:ascii="Lato" w:hAnsi="Lato"/>
                <w:b/>
                <w:color w:val="365F91"/>
                <w:sz w:val="20"/>
                <w:szCs w:val="20"/>
              </w:rPr>
            </w:pPr>
            <w:r w:rsidRPr="007B4EB6">
              <w:rPr>
                <w:rFonts w:ascii="Lato" w:hAnsi="Lato"/>
                <w:b/>
                <w:color w:val="365F91"/>
                <w:sz w:val="20"/>
                <w:szCs w:val="20"/>
              </w:rPr>
              <w:t>201</w:t>
            </w:r>
            <w:r w:rsidR="00D47C2E" w:rsidRPr="007B4EB6">
              <w:rPr>
                <w:rFonts w:ascii="Lato" w:hAnsi="Lato"/>
                <w:b/>
                <w:color w:val="365F91"/>
                <w:sz w:val="20"/>
                <w:szCs w:val="20"/>
              </w:rPr>
              <w:t>8</w:t>
            </w:r>
          </w:p>
        </w:tc>
        <w:tc>
          <w:tcPr>
            <w:tcW w:w="548" w:type="pct"/>
            <w:shd w:val="clear" w:color="auto" w:fill="DBE5F1"/>
            <w:vAlign w:val="center"/>
            <w:hideMark/>
          </w:tcPr>
          <w:p w:rsidR="00334BEC" w:rsidRPr="007B4EB6" w:rsidRDefault="00334BEC" w:rsidP="00B5219E">
            <w:pPr>
              <w:spacing w:line="240" w:lineRule="auto"/>
              <w:ind w:firstLine="0"/>
              <w:jc w:val="center"/>
              <w:rPr>
                <w:rFonts w:ascii="Lato" w:hAnsi="Lato"/>
                <w:b/>
                <w:color w:val="365F91"/>
                <w:sz w:val="20"/>
                <w:szCs w:val="20"/>
              </w:rPr>
            </w:pPr>
            <w:r w:rsidRPr="007B4EB6">
              <w:rPr>
                <w:rFonts w:ascii="Lato" w:hAnsi="Lato"/>
                <w:b/>
                <w:color w:val="365F91"/>
                <w:sz w:val="20"/>
                <w:szCs w:val="20"/>
              </w:rPr>
              <w:t>20</w:t>
            </w:r>
            <w:r w:rsidR="00B5219E" w:rsidRPr="007B4EB6">
              <w:rPr>
                <w:rFonts w:ascii="Lato" w:hAnsi="Lato"/>
                <w:b/>
                <w:color w:val="365F91"/>
                <w:sz w:val="20"/>
                <w:szCs w:val="20"/>
              </w:rPr>
              <w:t>20</w:t>
            </w:r>
          </w:p>
        </w:tc>
        <w:tc>
          <w:tcPr>
            <w:tcW w:w="548" w:type="pct"/>
            <w:shd w:val="clear" w:color="auto" w:fill="DBE5F1"/>
            <w:vAlign w:val="center"/>
            <w:hideMark/>
          </w:tcPr>
          <w:p w:rsidR="00334BEC" w:rsidRPr="007B4EB6" w:rsidRDefault="00B5219E" w:rsidP="00334BEC">
            <w:pPr>
              <w:spacing w:line="240" w:lineRule="auto"/>
              <w:ind w:firstLine="0"/>
              <w:jc w:val="center"/>
              <w:rPr>
                <w:rFonts w:ascii="Lato" w:hAnsi="Lato"/>
                <w:b/>
                <w:color w:val="365F91"/>
                <w:sz w:val="20"/>
                <w:szCs w:val="20"/>
              </w:rPr>
            </w:pPr>
            <w:r w:rsidRPr="007B4EB6">
              <w:rPr>
                <w:rFonts w:ascii="Lato" w:hAnsi="Lato"/>
                <w:b/>
                <w:color w:val="365F91"/>
                <w:sz w:val="20"/>
                <w:szCs w:val="20"/>
              </w:rPr>
              <w:t>2025</w:t>
            </w:r>
          </w:p>
        </w:tc>
        <w:tc>
          <w:tcPr>
            <w:tcW w:w="548" w:type="pct"/>
            <w:shd w:val="clear" w:color="auto" w:fill="DBE5F1"/>
            <w:vAlign w:val="center"/>
            <w:hideMark/>
          </w:tcPr>
          <w:p w:rsidR="00334BEC" w:rsidRPr="007B4EB6" w:rsidRDefault="00334BEC" w:rsidP="00B5219E">
            <w:pPr>
              <w:spacing w:line="240" w:lineRule="auto"/>
              <w:ind w:firstLine="0"/>
              <w:jc w:val="center"/>
              <w:rPr>
                <w:rFonts w:ascii="Lato" w:hAnsi="Lato"/>
                <w:b/>
                <w:color w:val="365F91"/>
                <w:sz w:val="20"/>
                <w:szCs w:val="20"/>
              </w:rPr>
            </w:pPr>
            <w:r w:rsidRPr="007B4EB6">
              <w:rPr>
                <w:rFonts w:ascii="Lato" w:hAnsi="Lato"/>
                <w:b/>
                <w:color w:val="365F91"/>
                <w:sz w:val="20"/>
                <w:szCs w:val="20"/>
              </w:rPr>
              <w:t>20</w:t>
            </w:r>
            <w:r w:rsidR="00B5219E" w:rsidRPr="007B4EB6">
              <w:rPr>
                <w:rFonts w:ascii="Lato" w:hAnsi="Lato"/>
                <w:b/>
                <w:color w:val="365F91"/>
                <w:sz w:val="20"/>
                <w:szCs w:val="20"/>
              </w:rPr>
              <w:t>30</w:t>
            </w:r>
          </w:p>
        </w:tc>
        <w:tc>
          <w:tcPr>
            <w:tcW w:w="547" w:type="pct"/>
            <w:shd w:val="clear" w:color="auto" w:fill="DBE5F1"/>
            <w:vAlign w:val="center"/>
            <w:hideMark/>
          </w:tcPr>
          <w:p w:rsidR="00334BEC" w:rsidRPr="007B4EB6" w:rsidRDefault="00334BEC" w:rsidP="00B5219E">
            <w:pPr>
              <w:spacing w:line="240" w:lineRule="auto"/>
              <w:ind w:firstLine="0"/>
              <w:jc w:val="center"/>
              <w:rPr>
                <w:rFonts w:ascii="Lato" w:hAnsi="Lato"/>
                <w:b/>
                <w:color w:val="365F91"/>
                <w:sz w:val="20"/>
                <w:szCs w:val="20"/>
              </w:rPr>
            </w:pPr>
            <w:r w:rsidRPr="007B4EB6">
              <w:rPr>
                <w:rFonts w:ascii="Lato" w:hAnsi="Lato"/>
                <w:b/>
                <w:color w:val="365F91"/>
                <w:sz w:val="20"/>
                <w:szCs w:val="20"/>
              </w:rPr>
              <w:t>203</w:t>
            </w:r>
            <w:r w:rsidR="00B5219E" w:rsidRPr="007B4EB6">
              <w:rPr>
                <w:rFonts w:ascii="Lato" w:hAnsi="Lato"/>
                <w:b/>
                <w:color w:val="365F91"/>
                <w:sz w:val="20"/>
                <w:szCs w:val="20"/>
              </w:rPr>
              <w:t>5</w:t>
            </w:r>
          </w:p>
        </w:tc>
      </w:tr>
      <w:tr w:rsidR="007B4EB6" w:rsidRPr="007B4EB6" w:rsidTr="00D153EC">
        <w:trPr>
          <w:trHeight w:val="285"/>
          <w:jc w:val="center"/>
        </w:trPr>
        <w:tc>
          <w:tcPr>
            <w:tcW w:w="240" w:type="pct"/>
            <w:shd w:val="clear" w:color="auto" w:fill="B8CCE4"/>
            <w:noWrap/>
            <w:vAlign w:val="bottom"/>
            <w:hideMark/>
          </w:tcPr>
          <w:p w:rsidR="007B4EB6" w:rsidRPr="007B4EB6" w:rsidRDefault="007B4EB6" w:rsidP="00334BEC">
            <w:pPr>
              <w:spacing w:line="240" w:lineRule="auto"/>
              <w:ind w:firstLine="0"/>
              <w:jc w:val="center"/>
              <w:rPr>
                <w:rFonts w:ascii="Lato" w:hAnsi="Lato"/>
                <w:color w:val="365F91"/>
                <w:sz w:val="20"/>
                <w:szCs w:val="20"/>
              </w:rPr>
            </w:pPr>
            <w:r w:rsidRPr="007B4EB6">
              <w:rPr>
                <w:rFonts w:ascii="Lato" w:hAnsi="Lato"/>
                <w:color w:val="365F91"/>
                <w:sz w:val="20"/>
                <w:szCs w:val="20"/>
              </w:rPr>
              <w:t>I</w:t>
            </w:r>
          </w:p>
        </w:tc>
        <w:tc>
          <w:tcPr>
            <w:tcW w:w="2002" w:type="pct"/>
            <w:shd w:val="clear" w:color="auto" w:fill="B8CCE4"/>
            <w:noWrap/>
            <w:vAlign w:val="bottom"/>
            <w:hideMark/>
          </w:tcPr>
          <w:p w:rsidR="007B4EB6" w:rsidRPr="007B4EB6" w:rsidRDefault="007B4EB6" w:rsidP="00334BEC">
            <w:pPr>
              <w:spacing w:line="240" w:lineRule="auto"/>
              <w:ind w:firstLine="0"/>
              <w:rPr>
                <w:rFonts w:ascii="Lato" w:hAnsi="Lato"/>
                <w:color w:val="365F91"/>
                <w:sz w:val="20"/>
                <w:szCs w:val="20"/>
              </w:rPr>
            </w:pPr>
            <w:r w:rsidRPr="007B4EB6">
              <w:rPr>
                <w:rFonts w:ascii="Lato" w:hAnsi="Lato"/>
                <w:color w:val="365F91"/>
                <w:sz w:val="20"/>
                <w:szCs w:val="20"/>
              </w:rPr>
              <w:t>Nowe budynki jednorodzinne, GJ/m</w:t>
            </w:r>
            <w:r w:rsidRPr="007B4EB6">
              <w:rPr>
                <w:rFonts w:ascii="Lato" w:hAnsi="Lato"/>
                <w:color w:val="365F91"/>
                <w:sz w:val="20"/>
                <w:szCs w:val="20"/>
                <w:vertAlign w:val="superscript"/>
              </w:rPr>
              <w:t>2</w:t>
            </w:r>
          </w:p>
        </w:tc>
        <w:tc>
          <w:tcPr>
            <w:tcW w:w="567" w:type="pct"/>
            <w:shd w:val="clear" w:color="auto" w:fill="B8CCE4"/>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0,33</w:t>
            </w:r>
          </w:p>
        </w:tc>
        <w:tc>
          <w:tcPr>
            <w:tcW w:w="548" w:type="pct"/>
            <w:shd w:val="clear" w:color="auto" w:fill="B8CCE4"/>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0,327</w:t>
            </w:r>
          </w:p>
        </w:tc>
        <w:tc>
          <w:tcPr>
            <w:tcW w:w="548" w:type="pct"/>
            <w:shd w:val="clear" w:color="auto" w:fill="B8CCE4"/>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0,320</w:t>
            </w:r>
          </w:p>
        </w:tc>
        <w:tc>
          <w:tcPr>
            <w:tcW w:w="548" w:type="pct"/>
            <w:shd w:val="clear" w:color="auto" w:fill="B8CCE4"/>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0,314</w:t>
            </w:r>
          </w:p>
        </w:tc>
        <w:tc>
          <w:tcPr>
            <w:tcW w:w="547" w:type="pct"/>
            <w:shd w:val="clear" w:color="auto" w:fill="B8CCE4"/>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0,307</w:t>
            </w:r>
          </w:p>
        </w:tc>
      </w:tr>
      <w:tr w:rsidR="007B4EB6" w:rsidRPr="007B4EB6" w:rsidTr="00D153EC">
        <w:trPr>
          <w:trHeight w:val="285"/>
          <w:jc w:val="center"/>
        </w:trPr>
        <w:tc>
          <w:tcPr>
            <w:tcW w:w="240" w:type="pct"/>
            <w:shd w:val="clear" w:color="auto" w:fill="auto"/>
            <w:noWrap/>
            <w:vAlign w:val="bottom"/>
            <w:hideMark/>
          </w:tcPr>
          <w:p w:rsidR="007B4EB6" w:rsidRPr="007B4EB6" w:rsidRDefault="007B4EB6" w:rsidP="00334BEC">
            <w:pPr>
              <w:spacing w:line="240" w:lineRule="auto"/>
              <w:ind w:firstLine="0"/>
              <w:jc w:val="center"/>
              <w:rPr>
                <w:rFonts w:ascii="Lato" w:hAnsi="Lato"/>
                <w:color w:val="365F91"/>
                <w:sz w:val="20"/>
                <w:szCs w:val="20"/>
              </w:rPr>
            </w:pPr>
            <w:r w:rsidRPr="007B4EB6">
              <w:rPr>
                <w:rFonts w:ascii="Lato" w:hAnsi="Lato"/>
                <w:color w:val="365F91"/>
                <w:sz w:val="20"/>
                <w:szCs w:val="20"/>
              </w:rPr>
              <w:t>1</w:t>
            </w:r>
          </w:p>
        </w:tc>
        <w:tc>
          <w:tcPr>
            <w:tcW w:w="2002" w:type="pct"/>
            <w:shd w:val="clear" w:color="auto" w:fill="auto"/>
            <w:vAlign w:val="center"/>
            <w:hideMark/>
          </w:tcPr>
          <w:p w:rsidR="007B4EB6" w:rsidRPr="007B4EB6" w:rsidRDefault="007B4EB6" w:rsidP="00D577AA">
            <w:pPr>
              <w:spacing w:line="240" w:lineRule="auto"/>
              <w:ind w:firstLine="0"/>
              <w:rPr>
                <w:rFonts w:ascii="Lato" w:hAnsi="Lato"/>
                <w:color w:val="365F91"/>
                <w:sz w:val="20"/>
                <w:szCs w:val="20"/>
              </w:rPr>
            </w:pPr>
            <w:r w:rsidRPr="007B4EB6">
              <w:rPr>
                <w:rFonts w:ascii="Lato" w:hAnsi="Lato"/>
                <w:color w:val="365F91"/>
                <w:sz w:val="20"/>
                <w:szCs w:val="20"/>
              </w:rPr>
              <w:t>Budynki jednorodzinne, GJ/m</w:t>
            </w:r>
            <w:r w:rsidRPr="007B4EB6">
              <w:rPr>
                <w:rFonts w:ascii="Lato" w:hAnsi="Lato"/>
                <w:color w:val="365F91"/>
                <w:sz w:val="20"/>
                <w:szCs w:val="20"/>
                <w:vertAlign w:val="superscript"/>
              </w:rPr>
              <w:t>2</w:t>
            </w:r>
            <w:r w:rsidRPr="007B4EB6">
              <w:rPr>
                <w:rFonts w:ascii="Lato" w:hAnsi="Lato"/>
                <w:color w:val="365F91"/>
                <w:sz w:val="20"/>
                <w:szCs w:val="20"/>
              </w:rPr>
              <w:t xml:space="preserve"> "A"</w:t>
            </w:r>
          </w:p>
        </w:tc>
        <w:tc>
          <w:tcPr>
            <w:tcW w:w="567"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0,41</w:t>
            </w:r>
          </w:p>
        </w:tc>
        <w:tc>
          <w:tcPr>
            <w:tcW w:w="548"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0,405</w:t>
            </w:r>
          </w:p>
        </w:tc>
        <w:tc>
          <w:tcPr>
            <w:tcW w:w="548"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0,399</w:t>
            </w:r>
          </w:p>
        </w:tc>
        <w:tc>
          <w:tcPr>
            <w:tcW w:w="548"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0,393</w:t>
            </w:r>
          </w:p>
        </w:tc>
        <w:tc>
          <w:tcPr>
            <w:tcW w:w="547"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0,387</w:t>
            </w:r>
          </w:p>
        </w:tc>
      </w:tr>
      <w:tr w:rsidR="007B4EB6" w:rsidRPr="007B4EB6" w:rsidTr="00D153EC">
        <w:trPr>
          <w:trHeight w:val="285"/>
          <w:jc w:val="center"/>
        </w:trPr>
        <w:tc>
          <w:tcPr>
            <w:tcW w:w="240" w:type="pct"/>
            <w:shd w:val="clear" w:color="auto" w:fill="auto"/>
            <w:noWrap/>
            <w:vAlign w:val="bottom"/>
            <w:hideMark/>
          </w:tcPr>
          <w:p w:rsidR="007B4EB6" w:rsidRPr="007B4EB6" w:rsidRDefault="007B4EB6" w:rsidP="00334BEC">
            <w:pPr>
              <w:spacing w:line="240" w:lineRule="auto"/>
              <w:ind w:firstLine="0"/>
              <w:jc w:val="center"/>
              <w:rPr>
                <w:rFonts w:ascii="Lato" w:hAnsi="Lato"/>
                <w:color w:val="365F91"/>
                <w:sz w:val="20"/>
                <w:szCs w:val="20"/>
              </w:rPr>
            </w:pPr>
            <w:r w:rsidRPr="007B4EB6">
              <w:rPr>
                <w:rFonts w:ascii="Lato" w:hAnsi="Lato"/>
                <w:color w:val="365F91"/>
                <w:sz w:val="20"/>
                <w:szCs w:val="20"/>
              </w:rPr>
              <w:t>2</w:t>
            </w:r>
          </w:p>
        </w:tc>
        <w:tc>
          <w:tcPr>
            <w:tcW w:w="2002" w:type="pct"/>
            <w:shd w:val="clear" w:color="auto" w:fill="auto"/>
            <w:vAlign w:val="center"/>
            <w:hideMark/>
          </w:tcPr>
          <w:p w:rsidR="007B4EB6" w:rsidRPr="007B4EB6" w:rsidRDefault="007B4EB6" w:rsidP="00D577AA">
            <w:pPr>
              <w:spacing w:line="240" w:lineRule="auto"/>
              <w:ind w:firstLine="0"/>
              <w:rPr>
                <w:rFonts w:ascii="Lato" w:hAnsi="Lato"/>
                <w:color w:val="365F91"/>
                <w:sz w:val="20"/>
                <w:szCs w:val="20"/>
              </w:rPr>
            </w:pPr>
            <w:r w:rsidRPr="007B4EB6">
              <w:rPr>
                <w:rFonts w:ascii="Lato" w:hAnsi="Lato"/>
                <w:color w:val="365F91"/>
                <w:sz w:val="20"/>
                <w:szCs w:val="20"/>
              </w:rPr>
              <w:t>Budynki jednorodzinne, GJ/m</w:t>
            </w:r>
            <w:r w:rsidRPr="007B4EB6">
              <w:rPr>
                <w:rFonts w:ascii="Lato" w:hAnsi="Lato"/>
                <w:color w:val="365F91"/>
                <w:sz w:val="20"/>
                <w:szCs w:val="20"/>
                <w:vertAlign w:val="superscript"/>
              </w:rPr>
              <w:t>2</w:t>
            </w:r>
            <w:r w:rsidRPr="007B4EB6">
              <w:rPr>
                <w:rFonts w:ascii="Lato" w:hAnsi="Lato"/>
                <w:color w:val="365F91"/>
                <w:sz w:val="20"/>
                <w:szCs w:val="20"/>
              </w:rPr>
              <w:t xml:space="preserve"> "B"</w:t>
            </w:r>
          </w:p>
        </w:tc>
        <w:tc>
          <w:tcPr>
            <w:tcW w:w="567"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0,41</w:t>
            </w:r>
          </w:p>
        </w:tc>
        <w:tc>
          <w:tcPr>
            <w:tcW w:w="548"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0,401</w:t>
            </w:r>
          </w:p>
        </w:tc>
        <w:tc>
          <w:tcPr>
            <w:tcW w:w="548"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0,385</w:t>
            </w:r>
          </w:p>
        </w:tc>
        <w:tc>
          <w:tcPr>
            <w:tcW w:w="548"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0,370</w:t>
            </w:r>
          </w:p>
        </w:tc>
        <w:tc>
          <w:tcPr>
            <w:tcW w:w="547"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0,355</w:t>
            </w:r>
          </w:p>
        </w:tc>
      </w:tr>
      <w:tr w:rsidR="007B4EB6" w:rsidRPr="007B4EB6" w:rsidTr="00D153EC">
        <w:trPr>
          <w:trHeight w:val="300"/>
          <w:jc w:val="center"/>
        </w:trPr>
        <w:tc>
          <w:tcPr>
            <w:tcW w:w="240" w:type="pct"/>
            <w:shd w:val="clear" w:color="auto" w:fill="auto"/>
            <w:noWrap/>
            <w:vAlign w:val="bottom"/>
            <w:hideMark/>
          </w:tcPr>
          <w:p w:rsidR="007B4EB6" w:rsidRPr="007B4EB6" w:rsidRDefault="007B4EB6" w:rsidP="00334BEC">
            <w:pPr>
              <w:spacing w:line="240" w:lineRule="auto"/>
              <w:ind w:firstLine="0"/>
              <w:jc w:val="center"/>
              <w:rPr>
                <w:rFonts w:ascii="Lato" w:hAnsi="Lato"/>
                <w:color w:val="365F91"/>
                <w:sz w:val="20"/>
                <w:szCs w:val="20"/>
              </w:rPr>
            </w:pPr>
            <w:r w:rsidRPr="007B4EB6">
              <w:rPr>
                <w:rFonts w:ascii="Lato" w:hAnsi="Lato"/>
                <w:color w:val="365F91"/>
                <w:sz w:val="20"/>
                <w:szCs w:val="20"/>
              </w:rPr>
              <w:t>3</w:t>
            </w:r>
          </w:p>
        </w:tc>
        <w:tc>
          <w:tcPr>
            <w:tcW w:w="2002" w:type="pct"/>
            <w:shd w:val="clear" w:color="auto" w:fill="auto"/>
            <w:vAlign w:val="center"/>
            <w:hideMark/>
          </w:tcPr>
          <w:p w:rsidR="007B4EB6" w:rsidRPr="007B4EB6" w:rsidRDefault="007B4EB6" w:rsidP="00D577AA">
            <w:pPr>
              <w:spacing w:line="240" w:lineRule="auto"/>
              <w:ind w:firstLine="0"/>
              <w:rPr>
                <w:rFonts w:ascii="Lato" w:hAnsi="Lato"/>
                <w:color w:val="365F91"/>
                <w:sz w:val="20"/>
                <w:szCs w:val="20"/>
              </w:rPr>
            </w:pPr>
            <w:r w:rsidRPr="007B4EB6">
              <w:rPr>
                <w:rFonts w:ascii="Lato" w:hAnsi="Lato"/>
                <w:color w:val="365F91"/>
                <w:sz w:val="20"/>
                <w:szCs w:val="20"/>
              </w:rPr>
              <w:t>Budynki jednorodzinne, GJ/m</w:t>
            </w:r>
            <w:r w:rsidRPr="007B4EB6">
              <w:rPr>
                <w:rFonts w:ascii="Lato" w:hAnsi="Lato"/>
                <w:color w:val="365F91"/>
                <w:sz w:val="20"/>
                <w:szCs w:val="20"/>
                <w:vertAlign w:val="superscript"/>
              </w:rPr>
              <w:t>2</w:t>
            </w:r>
            <w:r w:rsidRPr="007B4EB6">
              <w:rPr>
                <w:rFonts w:ascii="Lato" w:hAnsi="Lato"/>
                <w:color w:val="365F91"/>
                <w:sz w:val="20"/>
                <w:szCs w:val="20"/>
              </w:rPr>
              <w:t xml:space="preserve"> "C"</w:t>
            </w:r>
          </w:p>
        </w:tc>
        <w:tc>
          <w:tcPr>
            <w:tcW w:w="567"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0,41</w:t>
            </w:r>
          </w:p>
        </w:tc>
        <w:tc>
          <w:tcPr>
            <w:tcW w:w="548"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0,397</w:t>
            </w:r>
          </w:p>
        </w:tc>
        <w:tc>
          <w:tcPr>
            <w:tcW w:w="548"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0,366</w:t>
            </w:r>
          </w:p>
        </w:tc>
        <w:tc>
          <w:tcPr>
            <w:tcW w:w="548"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0,336</w:t>
            </w:r>
          </w:p>
        </w:tc>
        <w:tc>
          <w:tcPr>
            <w:tcW w:w="547" w:type="pct"/>
            <w:shd w:val="clear" w:color="auto" w:fill="auto"/>
            <w:noWrap/>
            <w:vAlign w:val="bottom"/>
            <w:hideMark/>
          </w:tcPr>
          <w:p w:rsidR="007B4EB6" w:rsidRPr="007B4EB6" w:rsidRDefault="007B4EB6" w:rsidP="007B4EB6">
            <w:pPr>
              <w:spacing w:line="240" w:lineRule="auto"/>
              <w:ind w:firstLine="0"/>
              <w:jc w:val="center"/>
              <w:rPr>
                <w:rFonts w:ascii="Lato" w:hAnsi="Lato"/>
                <w:color w:val="1F497D"/>
                <w:sz w:val="20"/>
                <w:szCs w:val="20"/>
              </w:rPr>
            </w:pPr>
            <w:r w:rsidRPr="007B4EB6">
              <w:rPr>
                <w:rFonts w:ascii="Lato" w:hAnsi="Lato"/>
                <w:color w:val="1F497D"/>
                <w:sz w:val="20"/>
                <w:szCs w:val="20"/>
              </w:rPr>
              <w:t>0,309</w:t>
            </w:r>
          </w:p>
        </w:tc>
      </w:tr>
    </w:tbl>
    <w:p w:rsidR="00DB35F5" w:rsidRDefault="00DB35F5" w:rsidP="00DB35F5">
      <w:pPr>
        <w:suppressAutoHyphens/>
        <w:ind w:firstLine="0"/>
        <w:jc w:val="center"/>
        <w:rPr>
          <w:rFonts w:ascii="Lato" w:hAnsi="Lato"/>
          <w:bCs/>
          <w:i/>
          <w:sz w:val="20"/>
          <w:szCs w:val="22"/>
        </w:rPr>
      </w:pPr>
      <w:r w:rsidRPr="00DB35F5">
        <w:rPr>
          <w:rFonts w:ascii="Lato" w:hAnsi="Lato"/>
          <w:bCs/>
          <w:i/>
          <w:sz w:val="20"/>
          <w:szCs w:val="22"/>
        </w:rPr>
        <w:t>Źródło: Analizy własne</w:t>
      </w:r>
    </w:p>
    <w:p w:rsidR="006B024A" w:rsidRPr="007B4EB6" w:rsidRDefault="006B024A" w:rsidP="006B024A">
      <w:pPr>
        <w:ind w:firstLine="0"/>
        <w:jc w:val="both"/>
        <w:rPr>
          <w:rFonts w:ascii="Lato" w:hAnsi="Lato"/>
        </w:rPr>
      </w:pPr>
    </w:p>
    <w:p w:rsidR="006B024A" w:rsidRPr="00D352C4" w:rsidRDefault="006B024A" w:rsidP="00D03562">
      <w:pPr>
        <w:ind w:firstLine="709"/>
        <w:jc w:val="both"/>
        <w:rPr>
          <w:rFonts w:ascii="Lato" w:hAnsi="Lato"/>
          <w:highlight w:val="yellow"/>
        </w:rPr>
      </w:pPr>
      <w:r w:rsidRPr="002A6BB0">
        <w:rPr>
          <w:rFonts w:ascii="Lato" w:hAnsi="Lato"/>
        </w:rPr>
        <w:t>Powyższe</w:t>
      </w:r>
      <w:r w:rsidRPr="002A6BB0">
        <w:rPr>
          <w:rFonts w:ascii="Lato" w:hAnsi="Lato"/>
          <w:noProof/>
        </w:rPr>
        <w:t xml:space="preserve"> scenariusze rozwoju społeczno</w:t>
      </w:r>
      <w:r w:rsidR="00631E84" w:rsidRPr="002A6BB0">
        <w:rPr>
          <w:rFonts w:ascii="Lato" w:hAnsi="Lato"/>
          <w:noProof/>
        </w:rPr>
        <w:t>-</w:t>
      </w:r>
      <w:r w:rsidRPr="002A6BB0">
        <w:rPr>
          <w:rFonts w:ascii="Lato" w:hAnsi="Lato"/>
          <w:noProof/>
        </w:rPr>
        <w:t xml:space="preserve">gospodarczego </w:t>
      </w:r>
      <w:r w:rsidR="00A32F52" w:rsidRPr="002A6BB0">
        <w:rPr>
          <w:rFonts w:ascii="Lato" w:hAnsi="Lato"/>
        </w:rPr>
        <w:t>gminy</w:t>
      </w:r>
      <w:r w:rsidRPr="002A6BB0">
        <w:rPr>
          <w:rFonts w:ascii="Lato" w:hAnsi="Lato"/>
          <w:noProof/>
        </w:rPr>
        <w:t xml:space="preserve"> posłużą jako baza do sporządzenia prognoz energetycznych.</w:t>
      </w:r>
    </w:p>
    <w:p w:rsidR="006B024A" w:rsidRPr="00D352C4" w:rsidRDefault="006B024A" w:rsidP="006B024A">
      <w:pPr>
        <w:ind w:firstLine="0"/>
        <w:jc w:val="both"/>
        <w:rPr>
          <w:rFonts w:ascii="Lato" w:hAnsi="Lato"/>
          <w:highlight w:val="yellow"/>
        </w:rPr>
        <w:sectPr w:rsidR="006B024A" w:rsidRPr="00D352C4" w:rsidSect="00206874">
          <w:headerReference w:type="default" r:id="rId74"/>
          <w:footerReference w:type="default" r:id="rId75"/>
          <w:pgSz w:w="11907" w:h="16840" w:code="9"/>
          <w:pgMar w:top="1247" w:right="1247" w:bottom="1247" w:left="1247" w:header="567" w:footer="567" w:gutter="0"/>
          <w:cols w:space="708"/>
        </w:sectPr>
      </w:pPr>
    </w:p>
    <w:p w:rsidR="006B024A" w:rsidRPr="002A6BB0" w:rsidRDefault="006B024A" w:rsidP="009318A3">
      <w:pPr>
        <w:pStyle w:val="Legenda"/>
        <w:rPr>
          <w:rFonts w:ascii="Lato" w:hAnsi="Lato"/>
          <w:noProof/>
          <w:color w:val="365F91"/>
          <w:sz w:val="20"/>
          <w:szCs w:val="20"/>
        </w:rPr>
      </w:pPr>
      <w:bookmarkStart w:id="432" w:name="_Toc336419491"/>
      <w:bookmarkStart w:id="433" w:name="_Toc336943658"/>
      <w:bookmarkStart w:id="434" w:name="_Toc20219197"/>
      <w:r w:rsidRPr="002A6BB0">
        <w:rPr>
          <w:rFonts w:ascii="Lato" w:hAnsi="Lato"/>
          <w:bCs/>
          <w:color w:val="365F91"/>
          <w:sz w:val="20"/>
          <w:szCs w:val="20"/>
        </w:rPr>
        <w:lastRenderedPageBreak/>
        <w:t xml:space="preserve">Tabela </w:t>
      </w:r>
      <w:r w:rsidR="004042AE" w:rsidRPr="002A6BB0">
        <w:rPr>
          <w:rFonts w:ascii="Lato" w:hAnsi="Lato"/>
          <w:bCs/>
          <w:color w:val="365F91"/>
          <w:sz w:val="20"/>
          <w:szCs w:val="20"/>
        </w:rPr>
        <w:fldChar w:fldCharType="begin"/>
      </w:r>
      <w:r w:rsidR="005430ED" w:rsidRPr="002A6BB0">
        <w:rPr>
          <w:rFonts w:ascii="Lato" w:hAnsi="Lato"/>
          <w:bCs/>
          <w:color w:val="365F91"/>
          <w:sz w:val="20"/>
          <w:szCs w:val="20"/>
        </w:rPr>
        <w:instrText xml:space="preserve"> STYLEREF 1 \s </w:instrText>
      </w:r>
      <w:r w:rsidR="004042AE" w:rsidRPr="002A6BB0">
        <w:rPr>
          <w:rFonts w:ascii="Lato" w:hAnsi="Lato"/>
          <w:bCs/>
          <w:color w:val="365F91"/>
          <w:sz w:val="20"/>
          <w:szCs w:val="20"/>
        </w:rPr>
        <w:fldChar w:fldCharType="separate"/>
      </w:r>
      <w:r w:rsidR="0040205B">
        <w:rPr>
          <w:rFonts w:ascii="Lato" w:hAnsi="Lato"/>
          <w:bCs/>
          <w:noProof/>
          <w:color w:val="365F91"/>
          <w:sz w:val="20"/>
          <w:szCs w:val="20"/>
        </w:rPr>
        <w:t>5</w:t>
      </w:r>
      <w:r w:rsidR="004042AE" w:rsidRPr="002A6BB0">
        <w:rPr>
          <w:rFonts w:ascii="Lato" w:hAnsi="Lato"/>
          <w:bCs/>
          <w:color w:val="365F91"/>
          <w:sz w:val="20"/>
          <w:szCs w:val="20"/>
        </w:rPr>
        <w:fldChar w:fldCharType="end"/>
      </w:r>
      <w:r w:rsidR="005430ED" w:rsidRPr="002A6BB0">
        <w:rPr>
          <w:rFonts w:ascii="Lato" w:hAnsi="Lato"/>
          <w:bCs/>
          <w:color w:val="365F91"/>
          <w:sz w:val="20"/>
          <w:szCs w:val="20"/>
        </w:rPr>
        <w:noBreakHyphen/>
      </w:r>
      <w:r w:rsidR="004042AE" w:rsidRPr="002A6BB0">
        <w:rPr>
          <w:rFonts w:ascii="Lato" w:hAnsi="Lato"/>
          <w:bCs/>
          <w:color w:val="365F91"/>
          <w:sz w:val="20"/>
          <w:szCs w:val="20"/>
        </w:rPr>
        <w:fldChar w:fldCharType="begin"/>
      </w:r>
      <w:r w:rsidR="005430ED" w:rsidRPr="002A6BB0">
        <w:rPr>
          <w:rFonts w:ascii="Lato" w:hAnsi="Lato"/>
          <w:bCs/>
          <w:color w:val="365F91"/>
          <w:sz w:val="20"/>
          <w:szCs w:val="20"/>
        </w:rPr>
        <w:instrText xml:space="preserve"> SEQ Tabela \* ARABIC \s 1 </w:instrText>
      </w:r>
      <w:r w:rsidR="004042AE" w:rsidRPr="002A6BB0">
        <w:rPr>
          <w:rFonts w:ascii="Lato" w:hAnsi="Lato"/>
          <w:bCs/>
          <w:color w:val="365F91"/>
          <w:sz w:val="20"/>
          <w:szCs w:val="20"/>
        </w:rPr>
        <w:fldChar w:fldCharType="separate"/>
      </w:r>
      <w:r w:rsidR="0040205B">
        <w:rPr>
          <w:rFonts w:ascii="Lato" w:hAnsi="Lato"/>
          <w:bCs/>
          <w:noProof/>
          <w:color w:val="365F91"/>
          <w:sz w:val="20"/>
          <w:szCs w:val="20"/>
        </w:rPr>
        <w:t>8</w:t>
      </w:r>
      <w:r w:rsidR="004042AE" w:rsidRPr="002A6BB0">
        <w:rPr>
          <w:rFonts w:ascii="Lato" w:hAnsi="Lato"/>
          <w:bCs/>
          <w:color w:val="365F91"/>
          <w:sz w:val="20"/>
          <w:szCs w:val="20"/>
        </w:rPr>
        <w:fldChar w:fldCharType="end"/>
      </w:r>
      <w:r w:rsidRPr="002A6BB0">
        <w:rPr>
          <w:rFonts w:ascii="Lato" w:hAnsi="Lato"/>
          <w:color w:val="365F91"/>
          <w:sz w:val="20"/>
          <w:szCs w:val="20"/>
        </w:rPr>
        <w:t xml:space="preserve"> Wskaźniki rozwoju n</w:t>
      </w:r>
      <w:r w:rsidR="001D1506" w:rsidRPr="002A6BB0">
        <w:rPr>
          <w:rFonts w:ascii="Lato" w:hAnsi="Lato"/>
          <w:color w:val="365F91"/>
          <w:sz w:val="20"/>
          <w:szCs w:val="20"/>
        </w:rPr>
        <w:t xml:space="preserve">owobudowanego mieszkalnictwa w </w:t>
      </w:r>
      <w:r w:rsidR="002F3023" w:rsidRPr="002A6BB0">
        <w:rPr>
          <w:rFonts w:ascii="Lato" w:hAnsi="Lato"/>
          <w:color w:val="365F91"/>
          <w:sz w:val="20"/>
          <w:szCs w:val="20"/>
          <w:lang w:val="pl-PL"/>
        </w:rPr>
        <w:t xml:space="preserve">Gminie </w:t>
      </w:r>
      <w:r w:rsidR="002A6BB0" w:rsidRPr="002A6BB0">
        <w:rPr>
          <w:rFonts w:ascii="Lato" w:hAnsi="Lato"/>
          <w:color w:val="365F91"/>
          <w:sz w:val="20"/>
          <w:szCs w:val="20"/>
          <w:lang w:val="pl-PL"/>
        </w:rPr>
        <w:t>Pabianice</w:t>
      </w:r>
      <w:r w:rsidRPr="002A6BB0">
        <w:rPr>
          <w:rFonts w:ascii="Lato" w:hAnsi="Lato"/>
          <w:color w:val="365F91"/>
          <w:sz w:val="20"/>
          <w:szCs w:val="20"/>
        </w:rPr>
        <w:t xml:space="preserve"> dla poszczególnych scenariuszy</w:t>
      </w:r>
      <w:bookmarkEnd w:id="432"/>
      <w:bookmarkEnd w:id="433"/>
      <w:bookmarkEnd w:id="434"/>
    </w:p>
    <w:tbl>
      <w:tblPr>
        <w:tblW w:w="17114" w:type="dxa"/>
        <w:tblInd w:w="70" w:type="dxa"/>
        <w:tblCellMar>
          <w:left w:w="70" w:type="dxa"/>
          <w:right w:w="70" w:type="dxa"/>
        </w:tblCellMar>
        <w:tblLook w:val="04A0" w:firstRow="1" w:lastRow="0" w:firstColumn="1" w:lastColumn="0" w:noHBand="0" w:noVBand="1"/>
      </w:tblPr>
      <w:tblGrid>
        <w:gridCol w:w="419"/>
        <w:gridCol w:w="1741"/>
        <w:gridCol w:w="870"/>
        <w:gridCol w:w="1223"/>
        <w:gridCol w:w="1276"/>
        <w:gridCol w:w="1275"/>
        <w:gridCol w:w="1276"/>
        <w:gridCol w:w="1134"/>
        <w:gridCol w:w="1230"/>
        <w:gridCol w:w="1346"/>
        <w:gridCol w:w="1346"/>
        <w:gridCol w:w="1346"/>
        <w:gridCol w:w="1316"/>
        <w:gridCol w:w="1316"/>
      </w:tblGrid>
      <w:tr w:rsidR="009318A3" w:rsidRPr="009B3C1C" w:rsidTr="009B3C1C">
        <w:trPr>
          <w:trHeight w:val="402"/>
        </w:trPr>
        <w:tc>
          <w:tcPr>
            <w:tcW w:w="8080" w:type="dxa"/>
            <w:gridSpan w:val="7"/>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Cs/>
                <w:sz w:val="20"/>
                <w:szCs w:val="20"/>
              </w:rPr>
            </w:pPr>
            <w:r w:rsidRPr="009B3C1C">
              <w:rPr>
                <w:rFonts w:ascii="Lato" w:hAnsi="Lato"/>
                <w:bCs/>
                <w:color w:val="365F91"/>
                <w:sz w:val="20"/>
                <w:szCs w:val="20"/>
              </w:rPr>
              <w:t>Wskaźniki rozwoju społecznego - scenariusz A - "Pasywny"</w:t>
            </w:r>
          </w:p>
        </w:tc>
        <w:tc>
          <w:tcPr>
            <w:tcW w:w="1134"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color w:val="FFFFFF"/>
                <w:sz w:val="20"/>
                <w:szCs w:val="20"/>
              </w:rPr>
            </w:pPr>
            <w:r w:rsidRPr="009B3C1C">
              <w:rPr>
                <w:rFonts w:ascii="Lato" w:hAnsi="Lato"/>
                <w:b/>
                <w:bCs/>
                <w:color w:val="FFFFFF"/>
                <w:sz w:val="20"/>
                <w:szCs w:val="20"/>
              </w:rPr>
              <w:t> </w:t>
            </w:r>
          </w:p>
        </w:tc>
        <w:tc>
          <w:tcPr>
            <w:tcW w:w="1230"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color w:val="FFFFFF"/>
                <w:sz w:val="20"/>
                <w:szCs w:val="20"/>
              </w:rPr>
            </w:pPr>
            <w:r w:rsidRPr="009B3C1C">
              <w:rPr>
                <w:rFonts w:ascii="Lato" w:hAnsi="Lato"/>
                <w:b/>
                <w:bCs/>
                <w:color w:val="FFFFFF"/>
                <w:sz w:val="20"/>
                <w:szCs w:val="20"/>
              </w:rPr>
              <w:t> </w:t>
            </w:r>
          </w:p>
        </w:tc>
        <w:tc>
          <w:tcPr>
            <w:tcW w:w="134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color w:val="FFFFFF"/>
                <w:sz w:val="20"/>
                <w:szCs w:val="20"/>
              </w:rPr>
            </w:pPr>
            <w:r w:rsidRPr="009B3C1C">
              <w:rPr>
                <w:rFonts w:ascii="Lato" w:hAnsi="Lato"/>
                <w:b/>
                <w:bCs/>
                <w:color w:val="FFFFFF"/>
                <w:sz w:val="20"/>
                <w:szCs w:val="20"/>
              </w:rPr>
              <w:t> </w:t>
            </w:r>
          </w:p>
        </w:tc>
        <w:tc>
          <w:tcPr>
            <w:tcW w:w="134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sz w:val="20"/>
                <w:szCs w:val="20"/>
              </w:rPr>
            </w:pPr>
            <w:r w:rsidRPr="009B3C1C">
              <w:rPr>
                <w:rFonts w:ascii="Lato" w:hAnsi="Lato"/>
                <w:b/>
                <w:bCs/>
                <w:sz w:val="20"/>
                <w:szCs w:val="20"/>
              </w:rPr>
              <w:t> </w:t>
            </w:r>
          </w:p>
        </w:tc>
        <w:tc>
          <w:tcPr>
            <w:tcW w:w="134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sz w:val="20"/>
                <w:szCs w:val="20"/>
              </w:rPr>
            </w:pPr>
            <w:r w:rsidRPr="009B3C1C">
              <w:rPr>
                <w:rFonts w:ascii="Lato" w:hAnsi="Lato"/>
                <w:b/>
                <w:bCs/>
                <w:sz w:val="20"/>
                <w:szCs w:val="20"/>
              </w:rPr>
              <w:t> </w:t>
            </w:r>
          </w:p>
        </w:tc>
        <w:tc>
          <w:tcPr>
            <w:tcW w:w="131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sz w:val="20"/>
                <w:szCs w:val="20"/>
              </w:rPr>
            </w:pPr>
            <w:r w:rsidRPr="009B3C1C">
              <w:rPr>
                <w:rFonts w:ascii="Lato" w:hAnsi="Lato"/>
                <w:b/>
                <w:bCs/>
                <w:sz w:val="20"/>
                <w:szCs w:val="20"/>
              </w:rPr>
              <w:t> </w:t>
            </w:r>
          </w:p>
        </w:tc>
        <w:tc>
          <w:tcPr>
            <w:tcW w:w="131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sz w:val="20"/>
                <w:szCs w:val="20"/>
              </w:rPr>
            </w:pPr>
            <w:r w:rsidRPr="009B3C1C">
              <w:rPr>
                <w:rFonts w:ascii="Lato" w:hAnsi="Lato"/>
                <w:b/>
                <w:bCs/>
                <w:sz w:val="20"/>
                <w:szCs w:val="20"/>
              </w:rPr>
              <w:t> </w:t>
            </w:r>
          </w:p>
        </w:tc>
      </w:tr>
      <w:tr w:rsidR="009318A3" w:rsidRPr="009B3C1C" w:rsidTr="009B3C1C">
        <w:trPr>
          <w:trHeight w:val="615"/>
        </w:trPr>
        <w:tc>
          <w:tcPr>
            <w:tcW w:w="419" w:type="dxa"/>
            <w:tcBorders>
              <w:top w:val="single" w:sz="4" w:space="0" w:color="4F81BD"/>
              <w:left w:val="single" w:sz="4" w:space="0" w:color="4F81BD"/>
              <w:bottom w:val="single" w:sz="4" w:space="0" w:color="4F81BD"/>
              <w:right w:val="single" w:sz="4" w:space="0" w:color="4F81BD"/>
            </w:tcBorders>
            <w:shd w:val="clear" w:color="000000" w:fill="95B3D7"/>
            <w:noWrap/>
            <w:vAlign w:val="center"/>
            <w:hideMark/>
          </w:tcPr>
          <w:p w:rsidR="009318A3" w:rsidRPr="009B3C1C" w:rsidRDefault="009318A3" w:rsidP="009318A3">
            <w:pPr>
              <w:spacing w:line="240" w:lineRule="auto"/>
              <w:ind w:firstLine="0"/>
              <w:jc w:val="center"/>
              <w:rPr>
                <w:rFonts w:ascii="Lato" w:hAnsi="Lato"/>
                <w:color w:val="1F497D"/>
                <w:sz w:val="20"/>
                <w:szCs w:val="20"/>
              </w:rPr>
            </w:pPr>
            <w:r w:rsidRPr="009B3C1C">
              <w:rPr>
                <w:rFonts w:ascii="Lato" w:hAnsi="Lato"/>
                <w:color w:val="1F497D"/>
                <w:sz w:val="20"/>
                <w:szCs w:val="20"/>
              </w:rPr>
              <w:t>Lp.</w:t>
            </w:r>
          </w:p>
        </w:tc>
        <w:tc>
          <w:tcPr>
            <w:tcW w:w="1741" w:type="dxa"/>
            <w:tcBorders>
              <w:top w:val="single" w:sz="4" w:space="0" w:color="4F81BD"/>
              <w:left w:val="nil"/>
              <w:bottom w:val="single" w:sz="4" w:space="0" w:color="4F81BD"/>
              <w:right w:val="single" w:sz="4" w:space="0" w:color="4F81BD"/>
            </w:tcBorders>
            <w:shd w:val="clear" w:color="000000" w:fill="95B3D7"/>
            <w:noWrap/>
            <w:vAlign w:val="center"/>
            <w:hideMark/>
          </w:tcPr>
          <w:p w:rsidR="009318A3" w:rsidRPr="009B3C1C" w:rsidRDefault="009318A3" w:rsidP="009318A3">
            <w:pPr>
              <w:spacing w:line="240" w:lineRule="auto"/>
              <w:ind w:firstLine="0"/>
              <w:jc w:val="center"/>
              <w:rPr>
                <w:rFonts w:ascii="Lato" w:hAnsi="Lato"/>
                <w:color w:val="1F497D"/>
                <w:sz w:val="20"/>
                <w:szCs w:val="20"/>
              </w:rPr>
            </w:pPr>
            <w:r w:rsidRPr="009B3C1C">
              <w:rPr>
                <w:rFonts w:ascii="Lato" w:hAnsi="Lato"/>
                <w:color w:val="1F497D"/>
                <w:sz w:val="20"/>
                <w:szCs w:val="20"/>
              </w:rPr>
              <w:t>Wyszczególnienie</w:t>
            </w:r>
          </w:p>
        </w:tc>
        <w:tc>
          <w:tcPr>
            <w:tcW w:w="870" w:type="dxa"/>
            <w:tcBorders>
              <w:top w:val="single" w:sz="4" w:space="0" w:color="4F81BD"/>
              <w:left w:val="nil"/>
              <w:bottom w:val="single" w:sz="4" w:space="0" w:color="4F81BD"/>
              <w:right w:val="single" w:sz="4" w:space="0" w:color="4F81BD"/>
            </w:tcBorders>
            <w:shd w:val="clear" w:color="000000" w:fill="95B3D7"/>
            <w:noWrap/>
            <w:vAlign w:val="center"/>
            <w:hideMark/>
          </w:tcPr>
          <w:p w:rsidR="009318A3" w:rsidRPr="009B3C1C" w:rsidRDefault="009318A3" w:rsidP="009318A3">
            <w:pPr>
              <w:spacing w:line="240" w:lineRule="auto"/>
              <w:ind w:firstLine="0"/>
              <w:jc w:val="center"/>
              <w:rPr>
                <w:rFonts w:ascii="Lato" w:hAnsi="Lato"/>
                <w:color w:val="1F497D"/>
                <w:sz w:val="16"/>
                <w:szCs w:val="16"/>
              </w:rPr>
            </w:pPr>
            <w:r w:rsidRPr="009B3C1C">
              <w:rPr>
                <w:rFonts w:ascii="Lato" w:hAnsi="Lato"/>
                <w:color w:val="1F497D"/>
                <w:sz w:val="16"/>
                <w:szCs w:val="16"/>
              </w:rPr>
              <w:t>Jednostka</w:t>
            </w:r>
          </w:p>
        </w:tc>
        <w:tc>
          <w:tcPr>
            <w:tcW w:w="1223" w:type="dxa"/>
            <w:tcBorders>
              <w:top w:val="single" w:sz="4" w:space="0" w:color="4F81BD"/>
              <w:left w:val="nil"/>
              <w:bottom w:val="single" w:sz="4" w:space="0" w:color="4F81BD"/>
              <w:right w:val="single" w:sz="4" w:space="0" w:color="4F81BD"/>
            </w:tcBorders>
            <w:shd w:val="clear" w:color="000000" w:fill="95B3D7"/>
            <w:noWrap/>
            <w:vAlign w:val="center"/>
            <w:hideMark/>
          </w:tcPr>
          <w:p w:rsidR="009318A3" w:rsidRPr="009B3C1C" w:rsidRDefault="009318A3" w:rsidP="009318A3">
            <w:pPr>
              <w:spacing w:line="240" w:lineRule="auto"/>
              <w:ind w:firstLine="0"/>
              <w:jc w:val="center"/>
              <w:rPr>
                <w:rFonts w:ascii="Lato" w:hAnsi="Lato"/>
                <w:color w:val="1F497D"/>
                <w:sz w:val="20"/>
                <w:szCs w:val="20"/>
              </w:rPr>
            </w:pPr>
            <w:r w:rsidRPr="009B3C1C">
              <w:rPr>
                <w:rFonts w:ascii="Lato" w:hAnsi="Lato"/>
                <w:color w:val="1F497D"/>
                <w:sz w:val="20"/>
                <w:szCs w:val="20"/>
              </w:rPr>
              <w:t>1995</w:t>
            </w:r>
          </w:p>
        </w:tc>
        <w:tc>
          <w:tcPr>
            <w:tcW w:w="1276" w:type="dxa"/>
            <w:tcBorders>
              <w:top w:val="single" w:sz="4" w:space="0" w:color="4F81BD"/>
              <w:left w:val="nil"/>
              <w:bottom w:val="single" w:sz="4" w:space="0" w:color="4F81BD"/>
              <w:right w:val="single" w:sz="4" w:space="0" w:color="4F81BD"/>
            </w:tcBorders>
            <w:shd w:val="clear" w:color="000000" w:fill="95B3D7"/>
            <w:noWrap/>
            <w:vAlign w:val="center"/>
            <w:hideMark/>
          </w:tcPr>
          <w:p w:rsidR="009318A3" w:rsidRPr="009B3C1C" w:rsidRDefault="009318A3" w:rsidP="009318A3">
            <w:pPr>
              <w:spacing w:line="240" w:lineRule="auto"/>
              <w:ind w:firstLine="0"/>
              <w:jc w:val="center"/>
              <w:rPr>
                <w:rFonts w:ascii="Lato" w:hAnsi="Lato"/>
                <w:color w:val="1F497D"/>
                <w:sz w:val="20"/>
                <w:szCs w:val="20"/>
              </w:rPr>
            </w:pPr>
            <w:r w:rsidRPr="009B3C1C">
              <w:rPr>
                <w:rFonts w:ascii="Lato" w:hAnsi="Lato"/>
                <w:color w:val="1F497D"/>
                <w:sz w:val="20"/>
                <w:szCs w:val="20"/>
              </w:rPr>
              <w:t>2000</w:t>
            </w:r>
          </w:p>
        </w:tc>
        <w:tc>
          <w:tcPr>
            <w:tcW w:w="1275" w:type="dxa"/>
            <w:tcBorders>
              <w:top w:val="single" w:sz="4" w:space="0" w:color="4F81BD"/>
              <w:left w:val="nil"/>
              <w:bottom w:val="single" w:sz="4" w:space="0" w:color="4F81BD"/>
              <w:right w:val="single" w:sz="4" w:space="0" w:color="4F81BD"/>
            </w:tcBorders>
            <w:shd w:val="clear" w:color="000000" w:fill="95B3D7"/>
            <w:noWrap/>
            <w:vAlign w:val="center"/>
            <w:hideMark/>
          </w:tcPr>
          <w:p w:rsidR="009318A3" w:rsidRPr="009B3C1C" w:rsidRDefault="009318A3" w:rsidP="009318A3">
            <w:pPr>
              <w:spacing w:line="240" w:lineRule="auto"/>
              <w:ind w:firstLine="0"/>
              <w:jc w:val="center"/>
              <w:rPr>
                <w:rFonts w:ascii="Lato" w:hAnsi="Lato"/>
                <w:color w:val="1F497D"/>
                <w:sz w:val="20"/>
                <w:szCs w:val="20"/>
              </w:rPr>
            </w:pPr>
            <w:r w:rsidRPr="009B3C1C">
              <w:rPr>
                <w:rFonts w:ascii="Lato" w:hAnsi="Lato"/>
                <w:color w:val="1F497D"/>
                <w:sz w:val="20"/>
                <w:szCs w:val="20"/>
              </w:rPr>
              <w:t>2005</w:t>
            </w:r>
          </w:p>
        </w:tc>
        <w:tc>
          <w:tcPr>
            <w:tcW w:w="1276" w:type="dxa"/>
            <w:tcBorders>
              <w:top w:val="single" w:sz="4" w:space="0" w:color="4F81BD"/>
              <w:left w:val="nil"/>
              <w:bottom w:val="single" w:sz="4" w:space="0" w:color="4F81BD"/>
              <w:right w:val="single" w:sz="4" w:space="0" w:color="4F81BD"/>
            </w:tcBorders>
            <w:shd w:val="clear" w:color="000000" w:fill="95B3D7"/>
            <w:noWrap/>
            <w:vAlign w:val="center"/>
            <w:hideMark/>
          </w:tcPr>
          <w:p w:rsidR="009318A3" w:rsidRPr="009B3C1C" w:rsidRDefault="009318A3" w:rsidP="009318A3">
            <w:pPr>
              <w:spacing w:line="240" w:lineRule="auto"/>
              <w:ind w:firstLine="0"/>
              <w:jc w:val="center"/>
              <w:rPr>
                <w:rFonts w:ascii="Lato" w:hAnsi="Lato"/>
                <w:color w:val="1F497D"/>
                <w:sz w:val="20"/>
                <w:szCs w:val="20"/>
              </w:rPr>
            </w:pPr>
            <w:r w:rsidRPr="009B3C1C">
              <w:rPr>
                <w:rFonts w:ascii="Lato" w:hAnsi="Lato"/>
                <w:color w:val="1F497D"/>
                <w:sz w:val="20"/>
                <w:szCs w:val="20"/>
              </w:rPr>
              <w:t>2010</w:t>
            </w:r>
          </w:p>
        </w:tc>
        <w:tc>
          <w:tcPr>
            <w:tcW w:w="1134" w:type="dxa"/>
            <w:tcBorders>
              <w:top w:val="single" w:sz="4" w:space="0" w:color="4F81BD"/>
              <w:left w:val="nil"/>
              <w:bottom w:val="single" w:sz="4" w:space="0" w:color="4F81BD"/>
              <w:right w:val="single" w:sz="4" w:space="0" w:color="4F81BD"/>
            </w:tcBorders>
            <w:shd w:val="clear" w:color="000000" w:fill="95B3D7"/>
            <w:noWrap/>
            <w:vAlign w:val="center"/>
            <w:hideMark/>
          </w:tcPr>
          <w:p w:rsidR="009318A3" w:rsidRPr="009B3C1C" w:rsidRDefault="004B4CB9" w:rsidP="002F3023">
            <w:pPr>
              <w:spacing w:line="240" w:lineRule="auto"/>
              <w:ind w:firstLine="0"/>
              <w:jc w:val="center"/>
              <w:rPr>
                <w:rFonts w:ascii="Lato" w:hAnsi="Lato"/>
                <w:color w:val="1F497D"/>
                <w:sz w:val="20"/>
                <w:szCs w:val="20"/>
              </w:rPr>
            </w:pPr>
            <w:r w:rsidRPr="009B3C1C">
              <w:rPr>
                <w:rFonts w:ascii="Lato" w:hAnsi="Lato"/>
                <w:color w:val="1F497D"/>
                <w:sz w:val="20"/>
                <w:szCs w:val="20"/>
              </w:rPr>
              <w:t>201</w:t>
            </w:r>
            <w:r w:rsidR="002F3023" w:rsidRPr="009B3C1C">
              <w:rPr>
                <w:rFonts w:ascii="Lato" w:hAnsi="Lato"/>
                <w:color w:val="1F497D"/>
                <w:sz w:val="20"/>
                <w:szCs w:val="20"/>
              </w:rPr>
              <w:t>7</w:t>
            </w:r>
          </w:p>
        </w:tc>
        <w:tc>
          <w:tcPr>
            <w:tcW w:w="1230" w:type="dxa"/>
            <w:tcBorders>
              <w:top w:val="single" w:sz="4" w:space="0" w:color="4F81BD"/>
              <w:left w:val="nil"/>
              <w:bottom w:val="single" w:sz="4" w:space="0" w:color="4F81BD"/>
              <w:right w:val="single" w:sz="4" w:space="0" w:color="4F81BD"/>
            </w:tcBorders>
            <w:shd w:val="clear" w:color="000000" w:fill="DCE6F1"/>
            <w:vAlign w:val="center"/>
            <w:hideMark/>
          </w:tcPr>
          <w:p w:rsidR="009318A3" w:rsidRPr="009B3C1C" w:rsidRDefault="00736A1E" w:rsidP="002F3023">
            <w:pPr>
              <w:spacing w:line="240" w:lineRule="auto"/>
              <w:ind w:firstLine="0"/>
              <w:jc w:val="center"/>
              <w:rPr>
                <w:rFonts w:ascii="Lato" w:hAnsi="Lato"/>
                <w:color w:val="1F497D"/>
                <w:sz w:val="20"/>
                <w:szCs w:val="20"/>
              </w:rPr>
            </w:pPr>
            <w:r w:rsidRPr="009B3C1C">
              <w:rPr>
                <w:rFonts w:ascii="Lato" w:hAnsi="Lato"/>
                <w:color w:val="1F497D"/>
                <w:sz w:val="20"/>
                <w:szCs w:val="20"/>
              </w:rPr>
              <w:t>W latach 201</w:t>
            </w:r>
            <w:r w:rsidR="002F3023" w:rsidRPr="009B3C1C">
              <w:rPr>
                <w:rFonts w:ascii="Lato" w:hAnsi="Lato"/>
                <w:color w:val="1F497D"/>
                <w:sz w:val="20"/>
                <w:szCs w:val="20"/>
              </w:rPr>
              <w:t>8</w:t>
            </w:r>
            <w:r w:rsidRPr="009B3C1C">
              <w:rPr>
                <w:rFonts w:ascii="Lato" w:hAnsi="Lato"/>
                <w:color w:val="1F497D"/>
                <w:sz w:val="20"/>
                <w:szCs w:val="20"/>
              </w:rPr>
              <w:t>-2020</w:t>
            </w:r>
          </w:p>
        </w:tc>
        <w:tc>
          <w:tcPr>
            <w:tcW w:w="1346" w:type="dxa"/>
            <w:tcBorders>
              <w:top w:val="single" w:sz="4" w:space="0" w:color="4F81BD"/>
              <w:left w:val="nil"/>
              <w:bottom w:val="single" w:sz="4" w:space="0" w:color="4F81BD"/>
              <w:right w:val="single" w:sz="4" w:space="0" w:color="4F81BD"/>
            </w:tcBorders>
            <w:shd w:val="clear" w:color="000000" w:fill="DCE6F1"/>
            <w:vAlign w:val="center"/>
            <w:hideMark/>
          </w:tcPr>
          <w:p w:rsidR="009318A3" w:rsidRPr="009B3C1C" w:rsidRDefault="009318A3" w:rsidP="00736A1E">
            <w:pPr>
              <w:spacing w:line="240" w:lineRule="auto"/>
              <w:ind w:firstLine="0"/>
              <w:jc w:val="center"/>
              <w:rPr>
                <w:rFonts w:ascii="Lato" w:hAnsi="Lato"/>
                <w:color w:val="1F497D"/>
                <w:sz w:val="20"/>
                <w:szCs w:val="20"/>
              </w:rPr>
            </w:pPr>
            <w:r w:rsidRPr="009B3C1C">
              <w:rPr>
                <w:rFonts w:ascii="Lato" w:hAnsi="Lato"/>
                <w:color w:val="1F497D"/>
                <w:sz w:val="20"/>
                <w:szCs w:val="20"/>
              </w:rPr>
              <w:t>W latach 20</w:t>
            </w:r>
            <w:r w:rsidR="00736A1E" w:rsidRPr="009B3C1C">
              <w:rPr>
                <w:rFonts w:ascii="Lato" w:hAnsi="Lato"/>
                <w:color w:val="1F497D"/>
                <w:sz w:val="20"/>
                <w:szCs w:val="20"/>
              </w:rPr>
              <w:t>21</w:t>
            </w:r>
            <w:r w:rsidRPr="009B3C1C">
              <w:rPr>
                <w:rFonts w:ascii="Lato" w:hAnsi="Lato"/>
                <w:color w:val="1F497D"/>
                <w:sz w:val="20"/>
                <w:szCs w:val="20"/>
              </w:rPr>
              <w:t>-202</w:t>
            </w:r>
            <w:r w:rsidR="00736A1E" w:rsidRPr="009B3C1C">
              <w:rPr>
                <w:rFonts w:ascii="Lato" w:hAnsi="Lato"/>
                <w:color w:val="1F497D"/>
                <w:sz w:val="20"/>
                <w:szCs w:val="20"/>
              </w:rPr>
              <w:t>5</w:t>
            </w:r>
          </w:p>
        </w:tc>
        <w:tc>
          <w:tcPr>
            <w:tcW w:w="1346" w:type="dxa"/>
            <w:tcBorders>
              <w:top w:val="single" w:sz="4" w:space="0" w:color="4F81BD"/>
              <w:left w:val="nil"/>
              <w:bottom w:val="single" w:sz="4" w:space="0" w:color="4F81BD"/>
              <w:right w:val="single" w:sz="4" w:space="0" w:color="4F81BD"/>
            </w:tcBorders>
            <w:shd w:val="clear" w:color="000000" w:fill="DCE6F1"/>
            <w:vAlign w:val="center"/>
            <w:hideMark/>
          </w:tcPr>
          <w:p w:rsidR="009318A3" w:rsidRPr="009B3C1C" w:rsidRDefault="009318A3" w:rsidP="00736A1E">
            <w:pPr>
              <w:spacing w:line="240" w:lineRule="auto"/>
              <w:ind w:firstLine="0"/>
              <w:jc w:val="center"/>
              <w:rPr>
                <w:rFonts w:ascii="Lato" w:hAnsi="Lato"/>
                <w:color w:val="1F497D"/>
                <w:sz w:val="20"/>
                <w:szCs w:val="20"/>
              </w:rPr>
            </w:pPr>
            <w:r w:rsidRPr="009B3C1C">
              <w:rPr>
                <w:rFonts w:ascii="Lato" w:hAnsi="Lato"/>
                <w:color w:val="1F497D"/>
                <w:sz w:val="20"/>
                <w:szCs w:val="20"/>
              </w:rPr>
              <w:t>W latach 20</w:t>
            </w:r>
            <w:r w:rsidR="00736A1E" w:rsidRPr="009B3C1C">
              <w:rPr>
                <w:rFonts w:ascii="Lato" w:hAnsi="Lato"/>
                <w:color w:val="1F497D"/>
                <w:sz w:val="20"/>
                <w:szCs w:val="20"/>
              </w:rPr>
              <w:t>26</w:t>
            </w:r>
            <w:r w:rsidRPr="009B3C1C">
              <w:rPr>
                <w:rFonts w:ascii="Lato" w:hAnsi="Lato"/>
                <w:color w:val="1F497D"/>
                <w:sz w:val="20"/>
                <w:szCs w:val="20"/>
              </w:rPr>
              <w:t>-20</w:t>
            </w:r>
            <w:r w:rsidR="00736A1E" w:rsidRPr="009B3C1C">
              <w:rPr>
                <w:rFonts w:ascii="Lato" w:hAnsi="Lato"/>
                <w:color w:val="1F497D"/>
                <w:sz w:val="20"/>
                <w:szCs w:val="20"/>
              </w:rPr>
              <w:t>30</w:t>
            </w:r>
          </w:p>
        </w:tc>
        <w:tc>
          <w:tcPr>
            <w:tcW w:w="1346" w:type="dxa"/>
            <w:tcBorders>
              <w:top w:val="single" w:sz="4" w:space="0" w:color="4F81BD"/>
              <w:left w:val="nil"/>
              <w:bottom w:val="single" w:sz="4" w:space="0" w:color="4F81BD"/>
              <w:right w:val="single" w:sz="4" w:space="0" w:color="4F81BD"/>
            </w:tcBorders>
            <w:shd w:val="clear" w:color="000000" w:fill="DCE6F1"/>
            <w:vAlign w:val="center"/>
            <w:hideMark/>
          </w:tcPr>
          <w:p w:rsidR="009318A3" w:rsidRPr="009B3C1C" w:rsidRDefault="009318A3" w:rsidP="00736A1E">
            <w:pPr>
              <w:spacing w:line="240" w:lineRule="auto"/>
              <w:ind w:firstLine="0"/>
              <w:jc w:val="center"/>
              <w:rPr>
                <w:rFonts w:ascii="Lato" w:hAnsi="Lato"/>
                <w:color w:val="1F497D"/>
                <w:sz w:val="20"/>
                <w:szCs w:val="20"/>
              </w:rPr>
            </w:pPr>
            <w:r w:rsidRPr="009B3C1C">
              <w:rPr>
                <w:rFonts w:ascii="Lato" w:hAnsi="Lato"/>
                <w:color w:val="1F497D"/>
                <w:sz w:val="20"/>
                <w:szCs w:val="20"/>
              </w:rPr>
              <w:t>W latach 20</w:t>
            </w:r>
            <w:r w:rsidR="00736A1E" w:rsidRPr="009B3C1C">
              <w:rPr>
                <w:rFonts w:ascii="Lato" w:hAnsi="Lato"/>
                <w:color w:val="1F497D"/>
                <w:sz w:val="20"/>
                <w:szCs w:val="20"/>
              </w:rPr>
              <w:t>31</w:t>
            </w:r>
            <w:r w:rsidRPr="009B3C1C">
              <w:rPr>
                <w:rFonts w:ascii="Lato" w:hAnsi="Lato"/>
                <w:color w:val="1F497D"/>
                <w:sz w:val="20"/>
                <w:szCs w:val="20"/>
              </w:rPr>
              <w:t>-203</w:t>
            </w:r>
            <w:r w:rsidR="00736A1E" w:rsidRPr="009B3C1C">
              <w:rPr>
                <w:rFonts w:ascii="Lato" w:hAnsi="Lato"/>
                <w:color w:val="1F497D"/>
                <w:sz w:val="20"/>
                <w:szCs w:val="20"/>
              </w:rPr>
              <w:t>5</w:t>
            </w:r>
          </w:p>
        </w:tc>
        <w:tc>
          <w:tcPr>
            <w:tcW w:w="1316" w:type="dxa"/>
            <w:vAlign w:val="center"/>
            <w:hideMark/>
          </w:tcPr>
          <w:p w:rsidR="009318A3" w:rsidRPr="009B3C1C" w:rsidRDefault="009318A3" w:rsidP="009318A3">
            <w:pPr>
              <w:spacing w:line="240" w:lineRule="auto"/>
              <w:ind w:firstLine="0"/>
              <w:rPr>
                <w:rFonts w:ascii="Lato" w:hAnsi="Lato"/>
                <w:sz w:val="20"/>
                <w:szCs w:val="20"/>
              </w:rPr>
            </w:pPr>
          </w:p>
        </w:tc>
        <w:tc>
          <w:tcPr>
            <w:tcW w:w="1316" w:type="dxa"/>
            <w:vAlign w:val="center"/>
            <w:hideMark/>
          </w:tcPr>
          <w:p w:rsidR="009318A3" w:rsidRPr="009B3C1C" w:rsidRDefault="009318A3" w:rsidP="009318A3">
            <w:pPr>
              <w:spacing w:line="240" w:lineRule="auto"/>
              <w:ind w:firstLine="0"/>
              <w:rPr>
                <w:rFonts w:ascii="Lato" w:hAnsi="Lato"/>
                <w:sz w:val="20"/>
                <w:szCs w:val="20"/>
              </w:rPr>
            </w:pPr>
          </w:p>
        </w:tc>
      </w:tr>
      <w:tr w:rsidR="009B3C1C" w:rsidRPr="009B3C1C" w:rsidTr="009B3C1C">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1</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Liczba ludności</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osób</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11950</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5312</w:t>
            </w:r>
          </w:p>
        </w:tc>
        <w:tc>
          <w:tcPr>
            <w:tcW w:w="1275"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5673</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6370</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7238</w:t>
            </w:r>
          </w:p>
        </w:tc>
        <w:tc>
          <w:tcPr>
            <w:tcW w:w="12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7194</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7104</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6989</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6853</w:t>
            </w:r>
          </w:p>
        </w:tc>
        <w:tc>
          <w:tcPr>
            <w:tcW w:w="1316"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9B3C1C" w:rsidTr="009B3C1C">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2</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 xml:space="preserve">Ilość oddawanych mieszkań </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szt./rok</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21</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10</w:t>
            </w:r>
          </w:p>
        </w:tc>
        <w:tc>
          <w:tcPr>
            <w:tcW w:w="1275"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43</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42</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74</w:t>
            </w:r>
          </w:p>
        </w:tc>
        <w:tc>
          <w:tcPr>
            <w:tcW w:w="12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118</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196</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196</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196</w:t>
            </w:r>
          </w:p>
        </w:tc>
        <w:tc>
          <w:tcPr>
            <w:tcW w:w="1316"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9B3C1C" w:rsidTr="009B3C1C">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3</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 xml:space="preserve">Powierzchnia oddawanych mieszkań </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m</w:t>
            </w:r>
            <w:r w:rsidRPr="009B3C1C">
              <w:rPr>
                <w:rFonts w:ascii="Lato" w:hAnsi="Lato"/>
                <w:color w:val="1F497D"/>
                <w:sz w:val="20"/>
                <w:szCs w:val="20"/>
                <w:vertAlign w:val="superscript"/>
              </w:rPr>
              <w:t>2</w:t>
            </w:r>
            <w:r w:rsidRPr="009B3C1C">
              <w:rPr>
                <w:rFonts w:ascii="Lato" w:hAnsi="Lato"/>
                <w:color w:val="1F497D"/>
                <w:sz w:val="20"/>
                <w:szCs w:val="20"/>
              </w:rPr>
              <w:t>/rok</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2032</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1022</w:t>
            </w:r>
          </w:p>
        </w:tc>
        <w:tc>
          <w:tcPr>
            <w:tcW w:w="1275"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6677</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5 945</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11 246</w:t>
            </w:r>
          </w:p>
        </w:tc>
        <w:tc>
          <w:tcPr>
            <w:tcW w:w="12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16796</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27994</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27994</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27994</w:t>
            </w:r>
          </w:p>
        </w:tc>
        <w:tc>
          <w:tcPr>
            <w:tcW w:w="1316"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9B3C1C" w:rsidTr="009B3C1C">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4</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Ilość mieszkań ogółem</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szt.</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1476</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1509</w:t>
            </w:r>
          </w:p>
        </w:tc>
        <w:tc>
          <w:tcPr>
            <w:tcW w:w="1275"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1739</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1982</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2394</w:t>
            </w:r>
          </w:p>
        </w:tc>
        <w:tc>
          <w:tcPr>
            <w:tcW w:w="12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2512</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2708</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2904</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3100</w:t>
            </w:r>
          </w:p>
        </w:tc>
        <w:tc>
          <w:tcPr>
            <w:tcW w:w="1316"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9B3C1C" w:rsidTr="009B3C1C">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5</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Powierzchnia użytkowa mieszkań ogółem</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 xml:space="preserve"> m</w:t>
            </w:r>
            <w:r w:rsidRPr="009B3C1C">
              <w:rPr>
                <w:rFonts w:ascii="Lato" w:hAnsi="Lato"/>
                <w:color w:val="1F497D"/>
                <w:sz w:val="20"/>
                <w:szCs w:val="20"/>
                <w:vertAlign w:val="superscript"/>
              </w:rPr>
              <w:t>2</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114 779</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119 024</w:t>
            </w:r>
          </w:p>
        </w:tc>
        <w:tc>
          <w:tcPr>
            <w:tcW w:w="1275"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151 675</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185 081</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244 683</w:t>
            </w:r>
          </w:p>
        </w:tc>
        <w:tc>
          <w:tcPr>
            <w:tcW w:w="12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261 479</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289 474</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317 468</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345 462</w:t>
            </w:r>
          </w:p>
        </w:tc>
        <w:tc>
          <w:tcPr>
            <w:tcW w:w="1316"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318A3" w:rsidRPr="009B3C1C" w:rsidTr="009B3C1C">
        <w:trPr>
          <w:trHeight w:val="195"/>
        </w:trPr>
        <w:tc>
          <w:tcPr>
            <w:tcW w:w="419"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color w:val="FFFFFF"/>
                <w:sz w:val="20"/>
                <w:szCs w:val="20"/>
              </w:rPr>
            </w:pPr>
            <w:r w:rsidRPr="009B3C1C">
              <w:rPr>
                <w:rFonts w:ascii="Lato" w:hAnsi="Lato"/>
                <w:color w:val="FFFFFF"/>
                <w:sz w:val="20"/>
                <w:szCs w:val="20"/>
              </w:rPr>
              <w:t> </w:t>
            </w:r>
          </w:p>
        </w:tc>
        <w:tc>
          <w:tcPr>
            <w:tcW w:w="1741"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color w:val="FFFFFF"/>
                <w:sz w:val="20"/>
                <w:szCs w:val="20"/>
              </w:rPr>
            </w:pPr>
            <w:r w:rsidRPr="009B3C1C">
              <w:rPr>
                <w:rFonts w:ascii="Lato" w:hAnsi="Lato"/>
                <w:color w:val="FFFFFF"/>
                <w:sz w:val="20"/>
                <w:szCs w:val="20"/>
              </w:rPr>
              <w:t> </w:t>
            </w:r>
          </w:p>
        </w:tc>
        <w:tc>
          <w:tcPr>
            <w:tcW w:w="870"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color w:val="FFFFFF"/>
                <w:sz w:val="20"/>
                <w:szCs w:val="20"/>
              </w:rPr>
            </w:pPr>
            <w:r w:rsidRPr="009B3C1C">
              <w:rPr>
                <w:rFonts w:ascii="Lato" w:hAnsi="Lato"/>
                <w:color w:val="FFFFFF"/>
                <w:sz w:val="20"/>
                <w:szCs w:val="20"/>
              </w:rPr>
              <w:t> </w:t>
            </w:r>
          </w:p>
        </w:tc>
        <w:tc>
          <w:tcPr>
            <w:tcW w:w="1223"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jc w:val="right"/>
              <w:rPr>
                <w:rFonts w:ascii="Lato" w:hAnsi="Lato"/>
                <w:color w:val="FFFFFF"/>
                <w:sz w:val="20"/>
                <w:szCs w:val="20"/>
              </w:rPr>
            </w:pPr>
            <w:r w:rsidRPr="009B3C1C">
              <w:rPr>
                <w:rFonts w:ascii="Lato" w:hAnsi="Lato"/>
                <w:color w:val="FFFFFF"/>
                <w:sz w:val="20"/>
                <w:szCs w:val="20"/>
              </w:rPr>
              <w:t>59</w:t>
            </w:r>
          </w:p>
        </w:tc>
        <w:tc>
          <w:tcPr>
            <w:tcW w:w="127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jc w:val="right"/>
              <w:rPr>
                <w:rFonts w:ascii="Lato" w:hAnsi="Lato"/>
                <w:color w:val="FFFFFF"/>
                <w:sz w:val="20"/>
                <w:szCs w:val="20"/>
              </w:rPr>
            </w:pPr>
            <w:r w:rsidRPr="009B3C1C">
              <w:rPr>
                <w:rFonts w:ascii="Lato" w:hAnsi="Lato"/>
                <w:color w:val="FFFFFF"/>
                <w:sz w:val="20"/>
                <w:szCs w:val="20"/>
              </w:rPr>
              <w:t>59</w:t>
            </w:r>
          </w:p>
        </w:tc>
        <w:tc>
          <w:tcPr>
            <w:tcW w:w="1275"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jc w:val="right"/>
              <w:rPr>
                <w:rFonts w:ascii="Lato" w:hAnsi="Lato"/>
                <w:color w:val="FFFFFF"/>
                <w:sz w:val="20"/>
                <w:szCs w:val="20"/>
              </w:rPr>
            </w:pPr>
            <w:r w:rsidRPr="009B3C1C">
              <w:rPr>
                <w:rFonts w:ascii="Lato" w:hAnsi="Lato"/>
                <w:color w:val="FFFFFF"/>
                <w:sz w:val="20"/>
                <w:szCs w:val="20"/>
              </w:rPr>
              <w:t>60</w:t>
            </w:r>
          </w:p>
        </w:tc>
        <w:tc>
          <w:tcPr>
            <w:tcW w:w="127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color w:val="FFFFFF"/>
                <w:sz w:val="20"/>
                <w:szCs w:val="20"/>
              </w:rPr>
            </w:pPr>
            <w:r w:rsidRPr="009B3C1C">
              <w:rPr>
                <w:rFonts w:ascii="Lato" w:hAnsi="Lato"/>
                <w:color w:val="FFFFFF"/>
                <w:sz w:val="20"/>
                <w:szCs w:val="20"/>
              </w:rPr>
              <w:t> </w:t>
            </w:r>
          </w:p>
        </w:tc>
        <w:tc>
          <w:tcPr>
            <w:tcW w:w="1134"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color w:val="FFFFFF"/>
                <w:sz w:val="20"/>
                <w:szCs w:val="20"/>
              </w:rPr>
            </w:pPr>
            <w:r w:rsidRPr="009B3C1C">
              <w:rPr>
                <w:rFonts w:ascii="Lato" w:hAnsi="Lato"/>
                <w:color w:val="FFFFFF"/>
                <w:sz w:val="20"/>
                <w:szCs w:val="20"/>
              </w:rPr>
              <w:t> </w:t>
            </w:r>
          </w:p>
        </w:tc>
        <w:tc>
          <w:tcPr>
            <w:tcW w:w="1230"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jc w:val="right"/>
              <w:rPr>
                <w:rFonts w:ascii="Lato" w:hAnsi="Lato"/>
                <w:color w:val="FFFFFF"/>
                <w:sz w:val="20"/>
                <w:szCs w:val="20"/>
              </w:rPr>
            </w:pPr>
            <w:r w:rsidRPr="009B3C1C">
              <w:rPr>
                <w:rFonts w:ascii="Lato" w:hAnsi="Lato"/>
                <w:color w:val="FFFFFF"/>
                <w:sz w:val="20"/>
                <w:szCs w:val="20"/>
              </w:rPr>
              <w:t>97,3599325</w:t>
            </w:r>
          </w:p>
        </w:tc>
        <w:tc>
          <w:tcPr>
            <w:tcW w:w="134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jc w:val="right"/>
              <w:rPr>
                <w:rFonts w:ascii="Lato" w:hAnsi="Lato"/>
                <w:color w:val="FFFFFF"/>
                <w:sz w:val="20"/>
                <w:szCs w:val="20"/>
              </w:rPr>
            </w:pPr>
            <w:r w:rsidRPr="009B3C1C">
              <w:rPr>
                <w:rFonts w:ascii="Lato" w:hAnsi="Lato"/>
                <w:color w:val="FFFFFF"/>
                <w:sz w:val="20"/>
                <w:szCs w:val="20"/>
              </w:rPr>
              <w:t>-0,485799326</w:t>
            </w:r>
          </w:p>
        </w:tc>
        <w:tc>
          <w:tcPr>
            <w:tcW w:w="134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jc w:val="right"/>
              <w:rPr>
                <w:rFonts w:ascii="Lato" w:hAnsi="Lato"/>
                <w:color w:val="FFFFFF"/>
                <w:sz w:val="20"/>
                <w:szCs w:val="20"/>
              </w:rPr>
            </w:pPr>
            <w:r w:rsidRPr="009B3C1C">
              <w:rPr>
                <w:rFonts w:ascii="Lato" w:hAnsi="Lato"/>
                <w:color w:val="FFFFFF"/>
                <w:sz w:val="20"/>
                <w:szCs w:val="20"/>
              </w:rPr>
              <w:t>-0,424812231</w:t>
            </w:r>
          </w:p>
        </w:tc>
        <w:tc>
          <w:tcPr>
            <w:tcW w:w="134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jc w:val="right"/>
              <w:rPr>
                <w:rFonts w:ascii="Lato" w:hAnsi="Lato"/>
                <w:color w:val="FFFFFF"/>
                <w:sz w:val="20"/>
                <w:szCs w:val="20"/>
              </w:rPr>
            </w:pPr>
            <w:r w:rsidRPr="009B3C1C">
              <w:rPr>
                <w:rFonts w:ascii="Lato" w:hAnsi="Lato"/>
                <w:color w:val="FFFFFF"/>
                <w:sz w:val="20"/>
                <w:szCs w:val="20"/>
              </w:rPr>
              <w:t>-0,346640459</w:t>
            </w:r>
          </w:p>
        </w:tc>
        <w:tc>
          <w:tcPr>
            <w:tcW w:w="1316" w:type="dxa"/>
            <w:vAlign w:val="center"/>
            <w:hideMark/>
          </w:tcPr>
          <w:p w:rsidR="009318A3" w:rsidRPr="009B3C1C" w:rsidRDefault="009318A3" w:rsidP="009318A3">
            <w:pPr>
              <w:spacing w:line="240" w:lineRule="auto"/>
              <w:ind w:firstLine="0"/>
              <w:rPr>
                <w:rFonts w:ascii="Lato" w:hAnsi="Lato"/>
                <w:sz w:val="20"/>
                <w:szCs w:val="20"/>
              </w:rPr>
            </w:pPr>
          </w:p>
        </w:tc>
        <w:tc>
          <w:tcPr>
            <w:tcW w:w="1316" w:type="dxa"/>
            <w:vAlign w:val="center"/>
            <w:hideMark/>
          </w:tcPr>
          <w:p w:rsidR="009318A3" w:rsidRPr="009B3C1C" w:rsidRDefault="009318A3" w:rsidP="009318A3">
            <w:pPr>
              <w:spacing w:line="240" w:lineRule="auto"/>
              <w:ind w:firstLine="0"/>
              <w:rPr>
                <w:rFonts w:ascii="Lato" w:hAnsi="Lato"/>
                <w:sz w:val="20"/>
                <w:szCs w:val="20"/>
              </w:rPr>
            </w:pPr>
          </w:p>
        </w:tc>
      </w:tr>
      <w:tr w:rsidR="009318A3" w:rsidRPr="009B3C1C" w:rsidTr="009B3C1C">
        <w:trPr>
          <w:trHeight w:val="402"/>
        </w:trPr>
        <w:tc>
          <w:tcPr>
            <w:tcW w:w="8080" w:type="dxa"/>
            <w:gridSpan w:val="7"/>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Cs/>
                <w:sz w:val="20"/>
                <w:szCs w:val="20"/>
              </w:rPr>
            </w:pPr>
            <w:r w:rsidRPr="009B3C1C">
              <w:rPr>
                <w:rFonts w:ascii="Lato" w:hAnsi="Lato"/>
                <w:bCs/>
                <w:color w:val="365F91"/>
                <w:sz w:val="20"/>
                <w:szCs w:val="20"/>
              </w:rPr>
              <w:t>Wskaźniki rozwoju społecznego - scenariusz B - "Umiarkowany"</w:t>
            </w:r>
          </w:p>
        </w:tc>
        <w:tc>
          <w:tcPr>
            <w:tcW w:w="1134"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color w:val="FFFFFF"/>
                <w:sz w:val="20"/>
                <w:szCs w:val="20"/>
              </w:rPr>
            </w:pPr>
            <w:r w:rsidRPr="009B3C1C">
              <w:rPr>
                <w:rFonts w:ascii="Lato" w:hAnsi="Lato"/>
                <w:b/>
                <w:bCs/>
                <w:color w:val="FFFFFF"/>
                <w:sz w:val="20"/>
                <w:szCs w:val="20"/>
              </w:rPr>
              <w:t> </w:t>
            </w:r>
          </w:p>
        </w:tc>
        <w:tc>
          <w:tcPr>
            <w:tcW w:w="1230"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color w:val="FFFFFF"/>
                <w:sz w:val="20"/>
                <w:szCs w:val="20"/>
              </w:rPr>
            </w:pPr>
            <w:r w:rsidRPr="009B3C1C">
              <w:rPr>
                <w:rFonts w:ascii="Lato" w:hAnsi="Lato"/>
                <w:b/>
                <w:bCs/>
                <w:color w:val="FFFFFF"/>
                <w:sz w:val="20"/>
                <w:szCs w:val="20"/>
              </w:rPr>
              <w:t> </w:t>
            </w:r>
          </w:p>
        </w:tc>
        <w:tc>
          <w:tcPr>
            <w:tcW w:w="134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color w:val="FFFFFF"/>
                <w:sz w:val="20"/>
                <w:szCs w:val="20"/>
              </w:rPr>
            </w:pPr>
            <w:r w:rsidRPr="009B3C1C">
              <w:rPr>
                <w:rFonts w:ascii="Lato" w:hAnsi="Lato"/>
                <w:b/>
                <w:bCs/>
                <w:color w:val="FFFFFF"/>
                <w:sz w:val="20"/>
                <w:szCs w:val="20"/>
              </w:rPr>
              <w:t> </w:t>
            </w:r>
          </w:p>
        </w:tc>
        <w:tc>
          <w:tcPr>
            <w:tcW w:w="134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jc w:val="right"/>
              <w:rPr>
                <w:rFonts w:ascii="Lato" w:hAnsi="Lato"/>
                <w:b/>
                <w:bCs/>
                <w:color w:val="FFFFFF"/>
                <w:sz w:val="20"/>
                <w:szCs w:val="20"/>
              </w:rPr>
            </w:pPr>
            <w:r w:rsidRPr="009B3C1C">
              <w:rPr>
                <w:rFonts w:ascii="Lato" w:hAnsi="Lato"/>
                <w:b/>
                <w:bCs/>
                <w:color w:val="FFFFFF"/>
                <w:sz w:val="20"/>
                <w:szCs w:val="20"/>
              </w:rPr>
              <w:t>-16733</w:t>
            </w:r>
          </w:p>
        </w:tc>
        <w:tc>
          <w:tcPr>
            <w:tcW w:w="134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jc w:val="right"/>
              <w:rPr>
                <w:rFonts w:ascii="Lato" w:hAnsi="Lato"/>
                <w:b/>
                <w:bCs/>
                <w:color w:val="FFFFFF"/>
                <w:sz w:val="20"/>
                <w:szCs w:val="20"/>
              </w:rPr>
            </w:pPr>
            <w:r w:rsidRPr="009B3C1C">
              <w:rPr>
                <w:rFonts w:ascii="Lato" w:hAnsi="Lato"/>
                <w:b/>
                <w:bCs/>
                <w:color w:val="FFFFFF"/>
                <w:sz w:val="20"/>
                <w:szCs w:val="20"/>
              </w:rPr>
              <w:t>-3558</w:t>
            </w:r>
          </w:p>
        </w:tc>
        <w:tc>
          <w:tcPr>
            <w:tcW w:w="131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jc w:val="right"/>
              <w:rPr>
                <w:rFonts w:ascii="Lato" w:hAnsi="Lato"/>
                <w:b/>
                <w:bCs/>
                <w:color w:val="FFFFFF"/>
                <w:sz w:val="20"/>
                <w:szCs w:val="20"/>
              </w:rPr>
            </w:pPr>
            <w:r w:rsidRPr="009B3C1C">
              <w:rPr>
                <w:rFonts w:ascii="Lato" w:hAnsi="Lato"/>
                <w:b/>
                <w:bCs/>
                <w:color w:val="FFFFFF"/>
                <w:sz w:val="20"/>
                <w:szCs w:val="20"/>
              </w:rPr>
              <w:t>-4068</w:t>
            </w:r>
          </w:p>
        </w:tc>
        <w:tc>
          <w:tcPr>
            <w:tcW w:w="131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jc w:val="right"/>
              <w:rPr>
                <w:rFonts w:ascii="Lato" w:hAnsi="Lato"/>
                <w:b/>
                <w:bCs/>
                <w:color w:val="FFFFFF"/>
                <w:sz w:val="20"/>
                <w:szCs w:val="20"/>
              </w:rPr>
            </w:pPr>
            <w:r w:rsidRPr="009B3C1C">
              <w:rPr>
                <w:rFonts w:ascii="Lato" w:hAnsi="Lato"/>
                <w:b/>
                <w:bCs/>
                <w:color w:val="FFFFFF"/>
                <w:sz w:val="20"/>
                <w:szCs w:val="20"/>
              </w:rPr>
              <w:t>-4986</w:t>
            </w:r>
          </w:p>
        </w:tc>
      </w:tr>
      <w:tr w:rsidR="00736A1E" w:rsidRPr="009B3C1C" w:rsidTr="009B3C1C">
        <w:trPr>
          <w:trHeight w:val="615"/>
        </w:trPr>
        <w:tc>
          <w:tcPr>
            <w:tcW w:w="419" w:type="dxa"/>
            <w:tcBorders>
              <w:top w:val="single" w:sz="4" w:space="0" w:color="4F81BD"/>
              <w:left w:val="single" w:sz="4" w:space="0" w:color="4F81BD"/>
              <w:bottom w:val="single" w:sz="4" w:space="0" w:color="4F81BD"/>
              <w:right w:val="single" w:sz="4" w:space="0" w:color="4F81BD"/>
            </w:tcBorders>
            <w:shd w:val="clear" w:color="000000" w:fill="95B3D7"/>
            <w:noWrap/>
            <w:vAlign w:val="center"/>
            <w:hideMark/>
          </w:tcPr>
          <w:p w:rsidR="00736A1E" w:rsidRPr="009B3C1C" w:rsidRDefault="00736A1E" w:rsidP="009318A3">
            <w:pPr>
              <w:spacing w:line="240" w:lineRule="auto"/>
              <w:ind w:firstLine="0"/>
              <w:jc w:val="center"/>
              <w:rPr>
                <w:rFonts w:ascii="Lato" w:hAnsi="Lato"/>
                <w:color w:val="1F497D"/>
                <w:sz w:val="20"/>
                <w:szCs w:val="20"/>
              </w:rPr>
            </w:pPr>
            <w:r w:rsidRPr="009B3C1C">
              <w:rPr>
                <w:rFonts w:ascii="Lato" w:hAnsi="Lato"/>
                <w:color w:val="1F497D"/>
                <w:sz w:val="20"/>
                <w:szCs w:val="20"/>
              </w:rPr>
              <w:t>Lp.</w:t>
            </w:r>
          </w:p>
        </w:tc>
        <w:tc>
          <w:tcPr>
            <w:tcW w:w="1741"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9318A3">
            <w:pPr>
              <w:spacing w:line="240" w:lineRule="auto"/>
              <w:ind w:firstLine="0"/>
              <w:jc w:val="center"/>
              <w:rPr>
                <w:rFonts w:ascii="Lato" w:hAnsi="Lato"/>
                <w:color w:val="1F497D"/>
                <w:sz w:val="20"/>
                <w:szCs w:val="20"/>
              </w:rPr>
            </w:pPr>
            <w:r w:rsidRPr="009B3C1C">
              <w:rPr>
                <w:rFonts w:ascii="Lato" w:hAnsi="Lato"/>
                <w:color w:val="1F497D"/>
                <w:sz w:val="20"/>
                <w:szCs w:val="20"/>
              </w:rPr>
              <w:t>Wyszczególnienie</w:t>
            </w:r>
          </w:p>
        </w:tc>
        <w:tc>
          <w:tcPr>
            <w:tcW w:w="870"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9318A3">
            <w:pPr>
              <w:spacing w:line="240" w:lineRule="auto"/>
              <w:ind w:firstLine="0"/>
              <w:jc w:val="center"/>
              <w:rPr>
                <w:rFonts w:ascii="Lato" w:hAnsi="Lato"/>
                <w:color w:val="1F497D"/>
                <w:sz w:val="16"/>
                <w:szCs w:val="16"/>
              </w:rPr>
            </w:pPr>
            <w:r w:rsidRPr="009B3C1C">
              <w:rPr>
                <w:rFonts w:ascii="Lato" w:hAnsi="Lato"/>
                <w:color w:val="1F497D"/>
                <w:sz w:val="16"/>
                <w:szCs w:val="16"/>
              </w:rPr>
              <w:t>Jednostka</w:t>
            </w:r>
          </w:p>
        </w:tc>
        <w:tc>
          <w:tcPr>
            <w:tcW w:w="1223"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1995</w:t>
            </w:r>
          </w:p>
        </w:tc>
        <w:tc>
          <w:tcPr>
            <w:tcW w:w="1276"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2000</w:t>
            </w:r>
          </w:p>
        </w:tc>
        <w:tc>
          <w:tcPr>
            <w:tcW w:w="1275"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2005</w:t>
            </w:r>
          </w:p>
        </w:tc>
        <w:tc>
          <w:tcPr>
            <w:tcW w:w="1276"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2010</w:t>
            </w:r>
          </w:p>
        </w:tc>
        <w:tc>
          <w:tcPr>
            <w:tcW w:w="1134"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201</w:t>
            </w:r>
            <w:r w:rsidR="002F3023" w:rsidRPr="009B3C1C">
              <w:rPr>
                <w:rFonts w:ascii="Lato" w:hAnsi="Lato"/>
                <w:color w:val="1F497D"/>
                <w:sz w:val="20"/>
                <w:szCs w:val="20"/>
              </w:rPr>
              <w:t>7</w:t>
            </w:r>
          </w:p>
        </w:tc>
        <w:tc>
          <w:tcPr>
            <w:tcW w:w="1230" w:type="dxa"/>
            <w:tcBorders>
              <w:top w:val="single" w:sz="4" w:space="0" w:color="4F81BD"/>
              <w:left w:val="nil"/>
              <w:bottom w:val="single" w:sz="4" w:space="0" w:color="4F81BD"/>
              <w:right w:val="single" w:sz="4" w:space="0" w:color="4F81BD"/>
            </w:tcBorders>
            <w:shd w:val="clear" w:color="000000" w:fill="DCE6F1"/>
            <w:vAlign w:val="center"/>
            <w:hideMark/>
          </w:tcPr>
          <w:p w:rsidR="00736A1E" w:rsidRPr="009B3C1C" w:rsidRDefault="00736A1E" w:rsidP="002F3023">
            <w:pPr>
              <w:spacing w:line="240" w:lineRule="auto"/>
              <w:ind w:firstLine="0"/>
              <w:jc w:val="center"/>
              <w:rPr>
                <w:rFonts w:ascii="Lato" w:hAnsi="Lato"/>
                <w:color w:val="1F497D"/>
                <w:sz w:val="20"/>
                <w:szCs w:val="20"/>
              </w:rPr>
            </w:pPr>
            <w:r w:rsidRPr="009B3C1C">
              <w:rPr>
                <w:rFonts w:ascii="Lato" w:hAnsi="Lato"/>
                <w:color w:val="1F497D"/>
                <w:sz w:val="20"/>
                <w:szCs w:val="20"/>
              </w:rPr>
              <w:t>W latach 201</w:t>
            </w:r>
            <w:r w:rsidR="002F3023" w:rsidRPr="009B3C1C">
              <w:rPr>
                <w:rFonts w:ascii="Lato" w:hAnsi="Lato"/>
                <w:color w:val="1F497D"/>
                <w:sz w:val="20"/>
                <w:szCs w:val="20"/>
              </w:rPr>
              <w:t>8</w:t>
            </w:r>
            <w:r w:rsidRPr="009B3C1C">
              <w:rPr>
                <w:rFonts w:ascii="Lato" w:hAnsi="Lato"/>
                <w:color w:val="1F497D"/>
                <w:sz w:val="20"/>
                <w:szCs w:val="20"/>
              </w:rPr>
              <w:t>-2020</w:t>
            </w:r>
          </w:p>
        </w:tc>
        <w:tc>
          <w:tcPr>
            <w:tcW w:w="1346" w:type="dxa"/>
            <w:tcBorders>
              <w:top w:val="single" w:sz="4" w:space="0" w:color="4F81BD"/>
              <w:left w:val="nil"/>
              <w:bottom w:val="single" w:sz="4" w:space="0" w:color="4F81BD"/>
              <w:right w:val="single" w:sz="4" w:space="0" w:color="4F81BD"/>
            </w:tcBorders>
            <w:shd w:val="clear" w:color="000000" w:fill="DCE6F1"/>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W latach 2021-2025</w:t>
            </w:r>
          </w:p>
        </w:tc>
        <w:tc>
          <w:tcPr>
            <w:tcW w:w="1346" w:type="dxa"/>
            <w:tcBorders>
              <w:top w:val="single" w:sz="4" w:space="0" w:color="4F81BD"/>
              <w:left w:val="nil"/>
              <w:bottom w:val="single" w:sz="4" w:space="0" w:color="4F81BD"/>
              <w:right w:val="single" w:sz="4" w:space="0" w:color="4F81BD"/>
            </w:tcBorders>
            <w:shd w:val="clear" w:color="000000" w:fill="DCE6F1"/>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W latach 2026-2030</w:t>
            </w:r>
          </w:p>
        </w:tc>
        <w:tc>
          <w:tcPr>
            <w:tcW w:w="1346" w:type="dxa"/>
            <w:tcBorders>
              <w:top w:val="single" w:sz="4" w:space="0" w:color="4F81BD"/>
              <w:left w:val="nil"/>
              <w:bottom w:val="single" w:sz="4" w:space="0" w:color="4F81BD"/>
              <w:right w:val="single" w:sz="4" w:space="0" w:color="4F81BD"/>
            </w:tcBorders>
            <w:shd w:val="clear" w:color="000000" w:fill="DCE6F1"/>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W latach 2031-2035</w:t>
            </w:r>
          </w:p>
        </w:tc>
        <w:tc>
          <w:tcPr>
            <w:tcW w:w="1316" w:type="dxa"/>
            <w:vAlign w:val="center"/>
            <w:hideMark/>
          </w:tcPr>
          <w:p w:rsidR="00736A1E" w:rsidRPr="009B3C1C" w:rsidRDefault="00736A1E" w:rsidP="009318A3">
            <w:pPr>
              <w:spacing w:line="240" w:lineRule="auto"/>
              <w:ind w:firstLine="0"/>
              <w:rPr>
                <w:rFonts w:ascii="Lato" w:hAnsi="Lato"/>
                <w:sz w:val="20"/>
                <w:szCs w:val="20"/>
              </w:rPr>
            </w:pPr>
          </w:p>
        </w:tc>
        <w:tc>
          <w:tcPr>
            <w:tcW w:w="1316" w:type="dxa"/>
            <w:vAlign w:val="center"/>
            <w:hideMark/>
          </w:tcPr>
          <w:p w:rsidR="00736A1E" w:rsidRPr="009B3C1C" w:rsidRDefault="00736A1E" w:rsidP="009318A3">
            <w:pPr>
              <w:spacing w:line="240" w:lineRule="auto"/>
              <w:ind w:firstLine="0"/>
              <w:rPr>
                <w:rFonts w:ascii="Lato" w:hAnsi="Lato"/>
                <w:sz w:val="20"/>
                <w:szCs w:val="20"/>
              </w:rPr>
            </w:pPr>
          </w:p>
        </w:tc>
      </w:tr>
      <w:tr w:rsidR="009B3C1C" w:rsidRPr="009B3C1C" w:rsidTr="009B3C1C">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1</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Liczba ludności</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osób</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11950</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5312</w:t>
            </w:r>
          </w:p>
        </w:tc>
        <w:tc>
          <w:tcPr>
            <w:tcW w:w="1275"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5673</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6370</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7238</w:t>
            </w:r>
          </w:p>
        </w:tc>
        <w:tc>
          <w:tcPr>
            <w:tcW w:w="12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7376</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7599</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7809</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8008</w:t>
            </w:r>
          </w:p>
        </w:tc>
        <w:tc>
          <w:tcPr>
            <w:tcW w:w="1316"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9B3C1C" w:rsidTr="009B3C1C">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2</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 xml:space="preserve">Ilość oddawanych mieszkań </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szt./rok</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21</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10</w:t>
            </w:r>
          </w:p>
        </w:tc>
        <w:tc>
          <w:tcPr>
            <w:tcW w:w="1275"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43</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42</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74</w:t>
            </w:r>
          </w:p>
        </w:tc>
        <w:tc>
          <w:tcPr>
            <w:tcW w:w="12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168</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280</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280</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280</w:t>
            </w:r>
          </w:p>
        </w:tc>
        <w:tc>
          <w:tcPr>
            <w:tcW w:w="1316"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9B3C1C" w:rsidTr="009B3C1C">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3</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 xml:space="preserve">Powierzchnia oddawanych mieszkań </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m</w:t>
            </w:r>
            <w:r w:rsidRPr="009B3C1C">
              <w:rPr>
                <w:rFonts w:ascii="Lato" w:hAnsi="Lato"/>
                <w:color w:val="1F497D"/>
                <w:sz w:val="20"/>
                <w:szCs w:val="20"/>
                <w:vertAlign w:val="superscript"/>
              </w:rPr>
              <w:t>2</w:t>
            </w:r>
            <w:r w:rsidRPr="009B3C1C">
              <w:rPr>
                <w:rFonts w:ascii="Lato" w:hAnsi="Lato"/>
                <w:color w:val="1F497D"/>
                <w:sz w:val="20"/>
                <w:szCs w:val="20"/>
              </w:rPr>
              <w:t>/rok</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2032</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1022</w:t>
            </w:r>
          </w:p>
        </w:tc>
        <w:tc>
          <w:tcPr>
            <w:tcW w:w="1275"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6677</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5945</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11246</w:t>
            </w:r>
          </w:p>
        </w:tc>
        <w:tc>
          <w:tcPr>
            <w:tcW w:w="12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17501</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29169</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29169</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29169</w:t>
            </w:r>
          </w:p>
        </w:tc>
        <w:tc>
          <w:tcPr>
            <w:tcW w:w="1316"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9B3C1C" w:rsidTr="009B3C1C">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4</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Ilość mieszkań ogółem</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szt.</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1476</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1509</w:t>
            </w:r>
          </w:p>
        </w:tc>
        <w:tc>
          <w:tcPr>
            <w:tcW w:w="1275"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1739</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1982</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2394</w:t>
            </w:r>
          </w:p>
        </w:tc>
        <w:tc>
          <w:tcPr>
            <w:tcW w:w="12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2562</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2842</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3122</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3402</w:t>
            </w:r>
          </w:p>
        </w:tc>
        <w:tc>
          <w:tcPr>
            <w:tcW w:w="1316"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D352C4" w:rsidTr="009B3C1C">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5</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Powierzchnia użytkowa mieszkań ogółem</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 xml:space="preserve"> m</w:t>
            </w:r>
            <w:r w:rsidRPr="009B3C1C">
              <w:rPr>
                <w:rFonts w:ascii="Lato" w:hAnsi="Lato"/>
                <w:sz w:val="20"/>
                <w:szCs w:val="20"/>
                <w:vertAlign w:val="superscript"/>
              </w:rPr>
              <w:t>2</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114 779</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119 024</w:t>
            </w:r>
          </w:p>
        </w:tc>
        <w:tc>
          <w:tcPr>
            <w:tcW w:w="1275"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151 675</w:t>
            </w:r>
          </w:p>
        </w:tc>
        <w:tc>
          <w:tcPr>
            <w:tcW w:w="127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185 081</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244 683</w:t>
            </w:r>
          </w:p>
        </w:tc>
        <w:tc>
          <w:tcPr>
            <w:tcW w:w="12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262 184</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291 353</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320 522</w:t>
            </w:r>
          </w:p>
        </w:tc>
        <w:tc>
          <w:tcPr>
            <w:tcW w:w="1346"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349 691</w:t>
            </w:r>
          </w:p>
        </w:tc>
        <w:tc>
          <w:tcPr>
            <w:tcW w:w="1316"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bl>
    <w:p w:rsidR="009318A3" w:rsidRPr="00D352C4" w:rsidRDefault="009318A3" w:rsidP="009318A3">
      <w:pPr>
        <w:ind w:firstLine="0"/>
        <w:rPr>
          <w:rFonts w:ascii="Lato" w:hAnsi="Lato"/>
          <w:highlight w:val="yellow"/>
        </w:rPr>
      </w:pPr>
    </w:p>
    <w:tbl>
      <w:tblPr>
        <w:tblW w:w="16028" w:type="dxa"/>
        <w:tblInd w:w="70" w:type="dxa"/>
        <w:tblCellMar>
          <w:left w:w="70" w:type="dxa"/>
          <w:right w:w="70" w:type="dxa"/>
        </w:tblCellMar>
        <w:tblLook w:val="04A0" w:firstRow="1" w:lastRow="0" w:firstColumn="1" w:lastColumn="0" w:noHBand="0" w:noVBand="1"/>
      </w:tblPr>
      <w:tblGrid>
        <w:gridCol w:w="419"/>
        <w:gridCol w:w="1741"/>
        <w:gridCol w:w="870"/>
        <w:gridCol w:w="1223"/>
        <w:gridCol w:w="1134"/>
        <w:gridCol w:w="1134"/>
        <w:gridCol w:w="1134"/>
        <w:gridCol w:w="1130"/>
        <w:gridCol w:w="1118"/>
        <w:gridCol w:w="1437"/>
        <w:gridCol w:w="1701"/>
        <w:gridCol w:w="1418"/>
        <w:gridCol w:w="253"/>
        <w:gridCol w:w="1316"/>
      </w:tblGrid>
      <w:tr w:rsidR="009318A3" w:rsidRPr="009B3C1C" w:rsidTr="004B4CB9">
        <w:trPr>
          <w:trHeight w:val="402"/>
        </w:trPr>
        <w:tc>
          <w:tcPr>
            <w:tcW w:w="7655" w:type="dxa"/>
            <w:gridSpan w:val="7"/>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Cs/>
                <w:sz w:val="20"/>
                <w:szCs w:val="20"/>
              </w:rPr>
            </w:pPr>
            <w:r w:rsidRPr="009B3C1C">
              <w:rPr>
                <w:rFonts w:ascii="Lato" w:hAnsi="Lato"/>
                <w:bCs/>
                <w:color w:val="365F91"/>
                <w:sz w:val="20"/>
                <w:szCs w:val="20"/>
              </w:rPr>
              <w:lastRenderedPageBreak/>
              <w:t>Wskaźniki rozwoju społecznego - scenariusz C - "Aktywny"</w:t>
            </w:r>
          </w:p>
        </w:tc>
        <w:tc>
          <w:tcPr>
            <w:tcW w:w="1130"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sz w:val="20"/>
                <w:szCs w:val="20"/>
              </w:rPr>
            </w:pPr>
            <w:r w:rsidRPr="009B3C1C">
              <w:rPr>
                <w:rFonts w:ascii="Lato" w:hAnsi="Lato"/>
                <w:b/>
                <w:bCs/>
                <w:sz w:val="20"/>
                <w:szCs w:val="20"/>
              </w:rPr>
              <w:t> </w:t>
            </w:r>
          </w:p>
        </w:tc>
        <w:tc>
          <w:tcPr>
            <w:tcW w:w="1118"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sz w:val="20"/>
                <w:szCs w:val="20"/>
              </w:rPr>
            </w:pPr>
            <w:r w:rsidRPr="009B3C1C">
              <w:rPr>
                <w:rFonts w:ascii="Lato" w:hAnsi="Lato"/>
                <w:b/>
                <w:bCs/>
                <w:sz w:val="20"/>
                <w:szCs w:val="20"/>
              </w:rPr>
              <w:t> </w:t>
            </w:r>
          </w:p>
        </w:tc>
        <w:tc>
          <w:tcPr>
            <w:tcW w:w="1437"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sz w:val="20"/>
                <w:szCs w:val="20"/>
              </w:rPr>
            </w:pPr>
            <w:r w:rsidRPr="009B3C1C">
              <w:rPr>
                <w:rFonts w:ascii="Lato" w:hAnsi="Lato"/>
                <w:b/>
                <w:bCs/>
                <w:sz w:val="20"/>
                <w:szCs w:val="20"/>
              </w:rPr>
              <w:t> </w:t>
            </w:r>
          </w:p>
        </w:tc>
        <w:tc>
          <w:tcPr>
            <w:tcW w:w="1701"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color w:val="FF0000"/>
                <w:sz w:val="20"/>
                <w:szCs w:val="20"/>
              </w:rPr>
            </w:pPr>
            <w:r w:rsidRPr="009B3C1C">
              <w:rPr>
                <w:rFonts w:ascii="Lato" w:hAnsi="Lato"/>
                <w:b/>
                <w:bCs/>
                <w:color w:val="FF0000"/>
                <w:sz w:val="20"/>
                <w:szCs w:val="20"/>
              </w:rPr>
              <w:t> </w:t>
            </w:r>
          </w:p>
        </w:tc>
        <w:tc>
          <w:tcPr>
            <w:tcW w:w="1418"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sz w:val="20"/>
                <w:szCs w:val="20"/>
              </w:rPr>
            </w:pPr>
            <w:r w:rsidRPr="009B3C1C">
              <w:rPr>
                <w:rFonts w:ascii="Lato" w:hAnsi="Lato"/>
                <w:b/>
                <w:bCs/>
                <w:sz w:val="20"/>
                <w:szCs w:val="20"/>
              </w:rPr>
              <w:t> </w:t>
            </w:r>
          </w:p>
        </w:tc>
        <w:tc>
          <w:tcPr>
            <w:tcW w:w="253"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sz w:val="20"/>
                <w:szCs w:val="20"/>
              </w:rPr>
            </w:pPr>
            <w:r w:rsidRPr="009B3C1C">
              <w:rPr>
                <w:rFonts w:ascii="Lato" w:hAnsi="Lato"/>
                <w:b/>
                <w:bCs/>
                <w:sz w:val="20"/>
                <w:szCs w:val="20"/>
              </w:rPr>
              <w:t> </w:t>
            </w:r>
          </w:p>
        </w:tc>
        <w:tc>
          <w:tcPr>
            <w:tcW w:w="1316" w:type="dxa"/>
            <w:tcBorders>
              <w:top w:val="nil"/>
              <w:left w:val="nil"/>
              <w:bottom w:val="nil"/>
              <w:right w:val="nil"/>
            </w:tcBorders>
            <w:shd w:val="clear" w:color="000000" w:fill="FFFFFF"/>
            <w:noWrap/>
            <w:vAlign w:val="center"/>
            <w:hideMark/>
          </w:tcPr>
          <w:p w:rsidR="009318A3" w:rsidRPr="009B3C1C" w:rsidRDefault="009318A3" w:rsidP="009318A3">
            <w:pPr>
              <w:spacing w:line="240" w:lineRule="auto"/>
              <w:ind w:firstLine="0"/>
              <w:rPr>
                <w:rFonts w:ascii="Lato" w:hAnsi="Lato"/>
                <w:b/>
                <w:bCs/>
                <w:sz w:val="20"/>
                <w:szCs w:val="20"/>
              </w:rPr>
            </w:pPr>
            <w:r w:rsidRPr="009B3C1C">
              <w:rPr>
                <w:rFonts w:ascii="Lato" w:hAnsi="Lato"/>
                <w:b/>
                <w:bCs/>
                <w:sz w:val="20"/>
                <w:szCs w:val="20"/>
              </w:rPr>
              <w:t> </w:t>
            </w:r>
          </w:p>
        </w:tc>
      </w:tr>
      <w:tr w:rsidR="00736A1E" w:rsidRPr="009B3C1C" w:rsidTr="004B4CB9">
        <w:trPr>
          <w:trHeight w:val="615"/>
        </w:trPr>
        <w:tc>
          <w:tcPr>
            <w:tcW w:w="419" w:type="dxa"/>
            <w:tcBorders>
              <w:top w:val="single" w:sz="4" w:space="0" w:color="4F81BD"/>
              <w:left w:val="single" w:sz="4" w:space="0" w:color="4F81BD"/>
              <w:bottom w:val="single" w:sz="4" w:space="0" w:color="4F81BD"/>
              <w:right w:val="single" w:sz="4" w:space="0" w:color="4F81BD"/>
            </w:tcBorders>
            <w:shd w:val="clear" w:color="000000" w:fill="95B3D7"/>
            <w:noWrap/>
            <w:vAlign w:val="center"/>
            <w:hideMark/>
          </w:tcPr>
          <w:p w:rsidR="00736A1E" w:rsidRPr="009B3C1C" w:rsidRDefault="00736A1E" w:rsidP="009318A3">
            <w:pPr>
              <w:spacing w:line="240" w:lineRule="auto"/>
              <w:ind w:firstLine="0"/>
              <w:jc w:val="center"/>
              <w:rPr>
                <w:rFonts w:ascii="Lato" w:hAnsi="Lato"/>
                <w:color w:val="1F497D"/>
                <w:sz w:val="20"/>
                <w:szCs w:val="20"/>
              </w:rPr>
            </w:pPr>
            <w:r w:rsidRPr="009B3C1C">
              <w:rPr>
                <w:rFonts w:ascii="Lato" w:hAnsi="Lato"/>
                <w:color w:val="1F497D"/>
                <w:sz w:val="20"/>
                <w:szCs w:val="20"/>
              </w:rPr>
              <w:t>Lp.</w:t>
            </w:r>
          </w:p>
        </w:tc>
        <w:tc>
          <w:tcPr>
            <w:tcW w:w="1741"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9318A3">
            <w:pPr>
              <w:spacing w:line="240" w:lineRule="auto"/>
              <w:ind w:firstLine="0"/>
              <w:jc w:val="center"/>
              <w:rPr>
                <w:rFonts w:ascii="Lato" w:hAnsi="Lato"/>
                <w:color w:val="1F497D"/>
                <w:sz w:val="20"/>
                <w:szCs w:val="20"/>
              </w:rPr>
            </w:pPr>
            <w:r w:rsidRPr="009B3C1C">
              <w:rPr>
                <w:rFonts w:ascii="Lato" w:hAnsi="Lato"/>
                <w:color w:val="1F497D"/>
                <w:sz w:val="20"/>
                <w:szCs w:val="20"/>
              </w:rPr>
              <w:t>Wyszczególnienie</w:t>
            </w:r>
          </w:p>
        </w:tc>
        <w:tc>
          <w:tcPr>
            <w:tcW w:w="870"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9318A3">
            <w:pPr>
              <w:spacing w:line="240" w:lineRule="auto"/>
              <w:ind w:firstLine="0"/>
              <w:jc w:val="center"/>
              <w:rPr>
                <w:rFonts w:ascii="Lato" w:hAnsi="Lato"/>
                <w:color w:val="1F497D"/>
                <w:sz w:val="16"/>
                <w:szCs w:val="16"/>
              </w:rPr>
            </w:pPr>
            <w:r w:rsidRPr="009B3C1C">
              <w:rPr>
                <w:rFonts w:ascii="Lato" w:hAnsi="Lato"/>
                <w:color w:val="1F497D"/>
                <w:sz w:val="16"/>
                <w:szCs w:val="16"/>
              </w:rPr>
              <w:t>Jednostka</w:t>
            </w:r>
          </w:p>
        </w:tc>
        <w:tc>
          <w:tcPr>
            <w:tcW w:w="1223"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1995</w:t>
            </w:r>
          </w:p>
        </w:tc>
        <w:tc>
          <w:tcPr>
            <w:tcW w:w="1134"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2000</w:t>
            </w:r>
          </w:p>
        </w:tc>
        <w:tc>
          <w:tcPr>
            <w:tcW w:w="1134"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2005</w:t>
            </w:r>
          </w:p>
        </w:tc>
        <w:tc>
          <w:tcPr>
            <w:tcW w:w="1134"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2010</w:t>
            </w:r>
          </w:p>
        </w:tc>
        <w:tc>
          <w:tcPr>
            <w:tcW w:w="1130" w:type="dxa"/>
            <w:tcBorders>
              <w:top w:val="single" w:sz="4" w:space="0" w:color="4F81BD"/>
              <w:left w:val="nil"/>
              <w:bottom w:val="single" w:sz="4" w:space="0" w:color="4F81BD"/>
              <w:right w:val="single" w:sz="4" w:space="0" w:color="4F81BD"/>
            </w:tcBorders>
            <w:shd w:val="clear" w:color="000000" w:fill="95B3D7"/>
            <w:noWrap/>
            <w:vAlign w:val="center"/>
            <w:hideMark/>
          </w:tcPr>
          <w:p w:rsidR="00736A1E" w:rsidRPr="009B3C1C" w:rsidRDefault="00736A1E" w:rsidP="002F3023">
            <w:pPr>
              <w:spacing w:line="240" w:lineRule="auto"/>
              <w:ind w:firstLine="0"/>
              <w:jc w:val="center"/>
              <w:rPr>
                <w:rFonts w:ascii="Lato" w:hAnsi="Lato"/>
                <w:color w:val="1F497D"/>
                <w:sz w:val="20"/>
                <w:szCs w:val="20"/>
              </w:rPr>
            </w:pPr>
            <w:r w:rsidRPr="009B3C1C">
              <w:rPr>
                <w:rFonts w:ascii="Lato" w:hAnsi="Lato"/>
                <w:color w:val="1F497D"/>
                <w:sz w:val="20"/>
                <w:szCs w:val="20"/>
              </w:rPr>
              <w:t>201</w:t>
            </w:r>
            <w:r w:rsidR="002F3023" w:rsidRPr="009B3C1C">
              <w:rPr>
                <w:rFonts w:ascii="Lato" w:hAnsi="Lato"/>
                <w:color w:val="1F497D"/>
                <w:sz w:val="20"/>
                <w:szCs w:val="20"/>
              </w:rPr>
              <w:t>7</w:t>
            </w:r>
          </w:p>
        </w:tc>
        <w:tc>
          <w:tcPr>
            <w:tcW w:w="1118" w:type="dxa"/>
            <w:tcBorders>
              <w:top w:val="single" w:sz="4" w:space="0" w:color="4F81BD"/>
              <w:left w:val="nil"/>
              <w:bottom w:val="single" w:sz="4" w:space="0" w:color="4F81BD"/>
              <w:right w:val="single" w:sz="4" w:space="0" w:color="4F81BD"/>
            </w:tcBorders>
            <w:shd w:val="clear" w:color="000000" w:fill="DCE6F1"/>
            <w:vAlign w:val="center"/>
            <w:hideMark/>
          </w:tcPr>
          <w:p w:rsidR="00736A1E" w:rsidRPr="009B3C1C" w:rsidRDefault="00736A1E" w:rsidP="002F3023">
            <w:pPr>
              <w:spacing w:line="240" w:lineRule="auto"/>
              <w:ind w:firstLine="0"/>
              <w:jc w:val="center"/>
              <w:rPr>
                <w:rFonts w:ascii="Lato" w:hAnsi="Lato"/>
                <w:color w:val="1F497D"/>
                <w:sz w:val="20"/>
                <w:szCs w:val="20"/>
              </w:rPr>
            </w:pPr>
            <w:r w:rsidRPr="009B3C1C">
              <w:rPr>
                <w:rFonts w:ascii="Lato" w:hAnsi="Lato"/>
                <w:color w:val="1F497D"/>
                <w:sz w:val="20"/>
                <w:szCs w:val="20"/>
              </w:rPr>
              <w:t>W latach 201</w:t>
            </w:r>
            <w:r w:rsidR="002F3023" w:rsidRPr="009B3C1C">
              <w:rPr>
                <w:rFonts w:ascii="Lato" w:hAnsi="Lato"/>
                <w:color w:val="1F497D"/>
                <w:sz w:val="20"/>
                <w:szCs w:val="20"/>
              </w:rPr>
              <w:t>8</w:t>
            </w:r>
            <w:r w:rsidRPr="009B3C1C">
              <w:rPr>
                <w:rFonts w:ascii="Lato" w:hAnsi="Lato"/>
                <w:color w:val="1F497D"/>
                <w:sz w:val="20"/>
                <w:szCs w:val="20"/>
              </w:rPr>
              <w:t>-2020</w:t>
            </w:r>
          </w:p>
        </w:tc>
        <w:tc>
          <w:tcPr>
            <w:tcW w:w="1437" w:type="dxa"/>
            <w:tcBorders>
              <w:top w:val="single" w:sz="4" w:space="0" w:color="4F81BD"/>
              <w:left w:val="nil"/>
              <w:bottom w:val="single" w:sz="4" w:space="0" w:color="4F81BD"/>
              <w:right w:val="single" w:sz="4" w:space="0" w:color="4F81BD"/>
            </w:tcBorders>
            <w:shd w:val="clear" w:color="000000" w:fill="DCE6F1"/>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W latach 2021-2025</w:t>
            </w:r>
          </w:p>
        </w:tc>
        <w:tc>
          <w:tcPr>
            <w:tcW w:w="1701" w:type="dxa"/>
            <w:tcBorders>
              <w:top w:val="single" w:sz="4" w:space="0" w:color="4F81BD"/>
              <w:left w:val="nil"/>
              <w:bottom w:val="single" w:sz="4" w:space="0" w:color="4F81BD"/>
              <w:right w:val="single" w:sz="4" w:space="0" w:color="4F81BD"/>
            </w:tcBorders>
            <w:shd w:val="clear" w:color="000000" w:fill="DCE6F1"/>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W latach 2026-2030</w:t>
            </w:r>
          </w:p>
        </w:tc>
        <w:tc>
          <w:tcPr>
            <w:tcW w:w="1418" w:type="dxa"/>
            <w:tcBorders>
              <w:top w:val="single" w:sz="4" w:space="0" w:color="4F81BD"/>
              <w:left w:val="nil"/>
              <w:bottom w:val="single" w:sz="4" w:space="0" w:color="4F81BD"/>
              <w:right w:val="single" w:sz="4" w:space="0" w:color="4F81BD"/>
            </w:tcBorders>
            <w:shd w:val="clear" w:color="000000" w:fill="DCE6F1"/>
            <w:vAlign w:val="center"/>
            <w:hideMark/>
          </w:tcPr>
          <w:p w:rsidR="00736A1E" w:rsidRPr="009B3C1C" w:rsidRDefault="00736A1E" w:rsidP="005A356D">
            <w:pPr>
              <w:spacing w:line="240" w:lineRule="auto"/>
              <w:ind w:firstLine="0"/>
              <w:jc w:val="center"/>
              <w:rPr>
                <w:rFonts w:ascii="Lato" w:hAnsi="Lato"/>
                <w:color w:val="1F497D"/>
                <w:sz w:val="20"/>
                <w:szCs w:val="20"/>
              </w:rPr>
            </w:pPr>
            <w:r w:rsidRPr="009B3C1C">
              <w:rPr>
                <w:rFonts w:ascii="Lato" w:hAnsi="Lato"/>
                <w:color w:val="1F497D"/>
                <w:sz w:val="20"/>
                <w:szCs w:val="20"/>
              </w:rPr>
              <w:t>W latach 2031-2035</w:t>
            </w:r>
          </w:p>
        </w:tc>
        <w:tc>
          <w:tcPr>
            <w:tcW w:w="253" w:type="dxa"/>
            <w:vAlign w:val="center"/>
            <w:hideMark/>
          </w:tcPr>
          <w:p w:rsidR="00736A1E" w:rsidRPr="009B3C1C" w:rsidRDefault="00736A1E" w:rsidP="009318A3">
            <w:pPr>
              <w:spacing w:line="240" w:lineRule="auto"/>
              <w:ind w:firstLine="0"/>
              <w:rPr>
                <w:rFonts w:ascii="Lato" w:hAnsi="Lato"/>
                <w:sz w:val="20"/>
                <w:szCs w:val="20"/>
              </w:rPr>
            </w:pPr>
          </w:p>
        </w:tc>
        <w:tc>
          <w:tcPr>
            <w:tcW w:w="1316" w:type="dxa"/>
            <w:vAlign w:val="center"/>
            <w:hideMark/>
          </w:tcPr>
          <w:p w:rsidR="00736A1E" w:rsidRPr="009B3C1C" w:rsidRDefault="00736A1E" w:rsidP="009318A3">
            <w:pPr>
              <w:spacing w:line="240" w:lineRule="auto"/>
              <w:ind w:firstLine="0"/>
              <w:rPr>
                <w:rFonts w:ascii="Lato" w:hAnsi="Lato"/>
                <w:sz w:val="20"/>
                <w:szCs w:val="20"/>
              </w:rPr>
            </w:pPr>
          </w:p>
        </w:tc>
      </w:tr>
      <w:tr w:rsidR="009B3C1C" w:rsidRPr="009B3C1C" w:rsidTr="00736A1E">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1</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Liczba ludności</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osób</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11950</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5312</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5673</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6370</w:t>
            </w:r>
          </w:p>
        </w:tc>
        <w:tc>
          <w:tcPr>
            <w:tcW w:w="11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7238</w:t>
            </w:r>
          </w:p>
        </w:tc>
        <w:tc>
          <w:tcPr>
            <w:tcW w:w="1118"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7559</w:t>
            </w:r>
          </w:p>
        </w:tc>
        <w:tc>
          <w:tcPr>
            <w:tcW w:w="1437"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8094</w:t>
            </w:r>
          </w:p>
        </w:tc>
        <w:tc>
          <w:tcPr>
            <w:tcW w:w="1701"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8629</w:t>
            </w:r>
          </w:p>
        </w:tc>
        <w:tc>
          <w:tcPr>
            <w:tcW w:w="1418"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9164</w:t>
            </w:r>
          </w:p>
        </w:tc>
        <w:tc>
          <w:tcPr>
            <w:tcW w:w="253"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9B3C1C" w:rsidTr="00736A1E">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2</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Ilość oddawanych mieszkań</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szt./rok</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21</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10</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43</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42</w:t>
            </w:r>
          </w:p>
        </w:tc>
        <w:tc>
          <w:tcPr>
            <w:tcW w:w="11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74</w:t>
            </w:r>
          </w:p>
        </w:tc>
        <w:tc>
          <w:tcPr>
            <w:tcW w:w="1118"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252</w:t>
            </w:r>
          </w:p>
        </w:tc>
        <w:tc>
          <w:tcPr>
            <w:tcW w:w="1437"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420</w:t>
            </w:r>
          </w:p>
        </w:tc>
        <w:tc>
          <w:tcPr>
            <w:tcW w:w="1701"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420</w:t>
            </w:r>
          </w:p>
        </w:tc>
        <w:tc>
          <w:tcPr>
            <w:tcW w:w="1418"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420</w:t>
            </w:r>
          </w:p>
        </w:tc>
        <w:tc>
          <w:tcPr>
            <w:tcW w:w="253"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9B3C1C" w:rsidTr="00736A1E">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3</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 xml:space="preserve">Powierzchnia oddawanych mieszkań </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m</w:t>
            </w:r>
            <w:r w:rsidRPr="009B3C1C">
              <w:rPr>
                <w:rFonts w:ascii="Lato" w:hAnsi="Lato"/>
                <w:color w:val="1F497D"/>
                <w:sz w:val="20"/>
                <w:szCs w:val="20"/>
                <w:vertAlign w:val="superscript"/>
              </w:rPr>
              <w:t>2</w:t>
            </w:r>
            <w:r w:rsidRPr="009B3C1C">
              <w:rPr>
                <w:rFonts w:ascii="Lato" w:hAnsi="Lato"/>
                <w:color w:val="1F497D"/>
                <w:sz w:val="20"/>
                <w:szCs w:val="20"/>
              </w:rPr>
              <w:t>/rok</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2032</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1022</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6677</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5945</w:t>
            </w:r>
          </w:p>
        </w:tc>
        <w:tc>
          <w:tcPr>
            <w:tcW w:w="11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11246</w:t>
            </w:r>
          </w:p>
        </w:tc>
        <w:tc>
          <w:tcPr>
            <w:tcW w:w="1118"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26252</w:t>
            </w:r>
          </w:p>
        </w:tc>
        <w:tc>
          <w:tcPr>
            <w:tcW w:w="1437"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43753</w:t>
            </w:r>
          </w:p>
        </w:tc>
        <w:tc>
          <w:tcPr>
            <w:tcW w:w="1701"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43753</w:t>
            </w:r>
          </w:p>
        </w:tc>
        <w:tc>
          <w:tcPr>
            <w:tcW w:w="1418"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43753</w:t>
            </w:r>
          </w:p>
        </w:tc>
        <w:tc>
          <w:tcPr>
            <w:tcW w:w="253"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9B3C1C" w:rsidTr="00736A1E">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4</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Ilość mieszkań ogółem</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szt.</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1476</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1509</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1739</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1982</w:t>
            </w:r>
          </w:p>
        </w:tc>
        <w:tc>
          <w:tcPr>
            <w:tcW w:w="11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2394</w:t>
            </w:r>
          </w:p>
        </w:tc>
        <w:tc>
          <w:tcPr>
            <w:tcW w:w="1118"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2646</w:t>
            </w:r>
          </w:p>
        </w:tc>
        <w:tc>
          <w:tcPr>
            <w:tcW w:w="1437"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3066</w:t>
            </w:r>
          </w:p>
        </w:tc>
        <w:tc>
          <w:tcPr>
            <w:tcW w:w="1701"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3486</w:t>
            </w:r>
          </w:p>
        </w:tc>
        <w:tc>
          <w:tcPr>
            <w:tcW w:w="1418"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3906</w:t>
            </w:r>
          </w:p>
        </w:tc>
        <w:tc>
          <w:tcPr>
            <w:tcW w:w="253"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r w:rsidR="009B3C1C" w:rsidRPr="00D352C4" w:rsidTr="00736A1E">
        <w:trPr>
          <w:trHeight w:val="499"/>
        </w:trPr>
        <w:tc>
          <w:tcPr>
            <w:tcW w:w="419" w:type="dxa"/>
            <w:tcBorders>
              <w:top w:val="nil"/>
              <w:left w:val="single" w:sz="4" w:space="0" w:color="4F81BD"/>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5</w:t>
            </w:r>
          </w:p>
        </w:tc>
        <w:tc>
          <w:tcPr>
            <w:tcW w:w="1741" w:type="dxa"/>
            <w:tcBorders>
              <w:top w:val="nil"/>
              <w:left w:val="nil"/>
              <w:bottom w:val="single" w:sz="4" w:space="0" w:color="4F81BD"/>
              <w:right w:val="single" w:sz="4" w:space="0" w:color="4F81BD"/>
            </w:tcBorders>
            <w:shd w:val="clear" w:color="auto" w:fill="auto"/>
            <w:vAlign w:val="center"/>
            <w:hideMark/>
          </w:tcPr>
          <w:p w:rsidR="009B3C1C" w:rsidRPr="009B3C1C" w:rsidRDefault="009B3C1C" w:rsidP="009318A3">
            <w:pPr>
              <w:spacing w:line="240" w:lineRule="auto"/>
              <w:ind w:firstLine="0"/>
              <w:rPr>
                <w:rFonts w:ascii="Lato" w:hAnsi="Lato"/>
                <w:color w:val="1F497D"/>
                <w:sz w:val="20"/>
                <w:szCs w:val="20"/>
              </w:rPr>
            </w:pPr>
            <w:r w:rsidRPr="009B3C1C">
              <w:rPr>
                <w:rFonts w:ascii="Lato" w:hAnsi="Lato"/>
                <w:color w:val="1F497D"/>
                <w:sz w:val="20"/>
                <w:szCs w:val="20"/>
              </w:rPr>
              <w:t>Powierzchnia użytkowa mieszkań ogółem</w:t>
            </w:r>
          </w:p>
        </w:tc>
        <w:tc>
          <w:tcPr>
            <w:tcW w:w="870" w:type="dxa"/>
            <w:tcBorders>
              <w:top w:val="nil"/>
              <w:left w:val="nil"/>
              <w:bottom w:val="single" w:sz="4" w:space="0" w:color="4F81BD"/>
              <w:right w:val="single" w:sz="4" w:space="0" w:color="4F81BD"/>
            </w:tcBorders>
            <w:shd w:val="clear" w:color="auto" w:fill="auto"/>
            <w:noWrap/>
            <w:vAlign w:val="center"/>
            <w:hideMark/>
          </w:tcPr>
          <w:p w:rsidR="009B3C1C" w:rsidRPr="009B3C1C" w:rsidRDefault="009B3C1C" w:rsidP="009318A3">
            <w:pPr>
              <w:spacing w:line="240" w:lineRule="auto"/>
              <w:ind w:firstLine="0"/>
              <w:jc w:val="center"/>
              <w:rPr>
                <w:rFonts w:ascii="Lato" w:hAnsi="Lato"/>
                <w:color w:val="1F497D"/>
                <w:sz w:val="20"/>
                <w:szCs w:val="20"/>
              </w:rPr>
            </w:pPr>
            <w:r w:rsidRPr="009B3C1C">
              <w:rPr>
                <w:rFonts w:ascii="Lato" w:hAnsi="Lato"/>
                <w:color w:val="1F497D"/>
                <w:sz w:val="20"/>
                <w:szCs w:val="20"/>
              </w:rPr>
              <w:t xml:space="preserve"> m</w:t>
            </w:r>
            <w:r w:rsidRPr="009B3C1C">
              <w:rPr>
                <w:rFonts w:ascii="Lato" w:hAnsi="Lato"/>
                <w:sz w:val="20"/>
                <w:szCs w:val="20"/>
                <w:vertAlign w:val="superscript"/>
              </w:rPr>
              <w:t>2</w:t>
            </w:r>
          </w:p>
        </w:tc>
        <w:tc>
          <w:tcPr>
            <w:tcW w:w="1223"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114 779</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119 024</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151 675</w:t>
            </w:r>
          </w:p>
        </w:tc>
        <w:tc>
          <w:tcPr>
            <w:tcW w:w="1134"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185081</w:t>
            </w:r>
          </w:p>
        </w:tc>
        <w:tc>
          <w:tcPr>
            <w:tcW w:w="1130"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244683</w:t>
            </w:r>
          </w:p>
        </w:tc>
        <w:tc>
          <w:tcPr>
            <w:tcW w:w="1118"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270 935</w:t>
            </w:r>
          </w:p>
        </w:tc>
        <w:tc>
          <w:tcPr>
            <w:tcW w:w="1437"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314 688</w:t>
            </w:r>
          </w:p>
        </w:tc>
        <w:tc>
          <w:tcPr>
            <w:tcW w:w="1701"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358 441</w:t>
            </w:r>
          </w:p>
        </w:tc>
        <w:tc>
          <w:tcPr>
            <w:tcW w:w="1418" w:type="dxa"/>
            <w:tcBorders>
              <w:top w:val="nil"/>
              <w:left w:val="nil"/>
              <w:bottom w:val="single" w:sz="4" w:space="0" w:color="4F81BD"/>
              <w:right w:val="single" w:sz="4" w:space="0" w:color="4F81BD"/>
            </w:tcBorders>
            <w:shd w:val="clear" w:color="auto" w:fill="auto"/>
            <w:noWrap/>
            <w:vAlign w:val="center"/>
          </w:tcPr>
          <w:p w:rsidR="009B3C1C" w:rsidRPr="009B3C1C" w:rsidRDefault="009B3C1C" w:rsidP="009B3C1C">
            <w:pPr>
              <w:spacing w:line="240" w:lineRule="auto"/>
              <w:ind w:firstLine="0"/>
              <w:jc w:val="center"/>
              <w:rPr>
                <w:rFonts w:ascii="Lato" w:hAnsi="Lato"/>
                <w:color w:val="1F497D"/>
                <w:sz w:val="20"/>
                <w:szCs w:val="20"/>
              </w:rPr>
            </w:pPr>
            <w:r w:rsidRPr="009B3C1C">
              <w:rPr>
                <w:rFonts w:ascii="Lato" w:hAnsi="Lato"/>
                <w:color w:val="1F497D"/>
                <w:sz w:val="20"/>
                <w:szCs w:val="20"/>
              </w:rPr>
              <w:t>402 195</w:t>
            </w:r>
          </w:p>
        </w:tc>
        <w:tc>
          <w:tcPr>
            <w:tcW w:w="253" w:type="dxa"/>
            <w:vAlign w:val="center"/>
            <w:hideMark/>
          </w:tcPr>
          <w:p w:rsidR="009B3C1C" w:rsidRPr="009B3C1C" w:rsidRDefault="009B3C1C" w:rsidP="009318A3">
            <w:pPr>
              <w:spacing w:line="240" w:lineRule="auto"/>
              <w:ind w:firstLine="0"/>
              <w:rPr>
                <w:rFonts w:ascii="Lato" w:hAnsi="Lato"/>
                <w:sz w:val="20"/>
                <w:szCs w:val="20"/>
              </w:rPr>
            </w:pPr>
          </w:p>
        </w:tc>
        <w:tc>
          <w:tcPr>
            <w:tcW w:w="1316" w:type="dxa"/>
            <w:vAlign w:val="center"/>
            <w:hideMark/>
          </w:tcPr>
          <w:p w:rsidR="009B3C1C" w:rsidRPr="009B3C1C" w:rsidRDefault="009B3C1C" w:rsidP="009318A3">
            <w:pPr>
              <w:spacing w:line="240" w:lineRule="auto"/>
              <w:ind w:firstLine="0"/>
              <w:rPr>
                <w:rFonts w:ascii="Lato" w:hAnsi="Lato"/>
                <w:sz w:val="20"/>
                <w:szCs w:val="20"/>
              </w:rPr>
            </w:pPr>
          </w:p>
        </w:tc>
      </w:tr>
    </w:tbl>
    <w:p w:rsidR="006B024A" w:rsidRPr="000E2AE3" w:rsidRDefault="000E2AE3" w:rsidP="000E2AE3">
      <w:pPr>
        <w:spacing w:line="360" w:lineRule="auto"/>
        <w:ind w:firstLine="0"/>
        <w:jc w:val="center"/>
        <w:rPr>
          <w:rFonts w:ascii="Lato" w:hAnsi="Lato"/>
          <w:i/>
          <w:noProof/>
          <w:sz w:val="20"/>
        </w:rPr>
      </w:pPr>
      <w:r w:rsidRPr="000E2AE3">
        <w:rPr>
          <w:rFonts w:ascii="Lato" w:hAnsi="Lato"/>
          <w:i/>
          <w:noProof/>
          <w:sz w:val="20"/>
        </w:rPr>
        <w:t>Źródło: Analizy własne</w:t>
      </w:r>
    </w:p>
    <w:p w:rsidR="000E2AE3" w:rsidRPr="000E2AE3" w:rsidRDefault="000E2AE3" w:rsidP="000E2AE3">
      <w:pPr>
        <w:spacing w:line="360" w:lineRule="auto"/>
        <w:ind w:firstLine="0"/>
        <w:jc w:val="center"/>
        <w:rPr>
          <w:rFonts w:ascii="Lato" w:hAnsi="Lato"/>
          <w:i/>
          <w:noProof/>
          <w:highlight w:val="yellow"/>
        </w:rPr>
      </w:pPr>
    </w:p>
    <w:p w:rsidR="006B024A" w:rsidRPr="00D352C4" w:rsidRDefault="006B024A" w:rsidP="006B024A">
      <w:pPr>
        <w:pStyle w:val="Stopka"/>
        <w:spacing w:line="360" w:lineRule="auto"/>
        <w:jc w:val="both"/>
        <w:rPr>
          <w:rFonts w:ascii="Lato" w:hAnsi="Lato"/>
          <w:i/>
          <w:szCs w:val="22"/>
          <w:highlight w:val="yellow"/>
        </w:rPr>
      </w:pPr>
    </w:p>
    <w:p w:rsidR="006B024A" w:rsidRPr="00D352C4" w:rsidRDefault="006B024A" w:rsidP="006B024A">
      <w:pPr>
        <w:ind w:firstLine="0"/>
        <w:jc w:val="both"/>
        <w:rPr>
          <w:rFonts w:ascii="Lato" w:hAnsi="Lato"/>
          <w:highlight w:val="yellow"/>
        </w:rPr>
        <w:sectPr w:rsidR="006B024A" w:rsidRPr="00D352C4" w:rsidSect="00206874">
          <w:headerReference w:type="default" r:id="rId76"/>
          <w:pgSz w:w="16840" w:h="11907" w:orient="landscape" w:code="9"/>
          <w:pgMar w:top="1247" w:right="1247" w:bottom="1247" w:left="1247" w:header="567" w:footer="567" w:gutter="0"/>
          <w:cols w:space="708"/>
        </w:sectPr>
      </w:pPr>
    </w:p>
    <w:p w:rsidR="00510E6D" w:rsidRPr="006B4D13" w:rsidRDefault="00510E6D" w:rsidP="00281998">
      <w:pPr>
        <w:pStyle w:val="Tekstpodstawowy"/>
        <w:tabs>
          <w:tab w:val="left" w:pos="1980"/>
        </w:tabs>
        <w:ind w:firstLine="709"/>
        <w:rPr>
          <w:rFonts w:ascii="Lato" w:hAnsi="Lato" w:cs="Times New Roman"/>
        </w:rPr>
      </w:pPr>
      <w:r w:rsidRPr="006B4D13">
        <w:rPr>
          <w:rFonts w:ascii="Lato" w:hAnsi="Lato" w:cs="Times New Roman"/>
        </w:rPr>
        <w:lastRenderedPageBreak/>
        <w:t xml:space="preserve">Na terenie Gminy </w:t>
      </w:r>
      <w:r w:rsidR="002A6BB0" w:rsidRPr="006B4D13">
        <w:rPr>
          <w:rFonts w:ascii="Lato" w:hAnsi="Lato" w:cs="Times New Roman"/>
        </w:rPr>
        <w:t>Pabianice</w:t>
      </w:r>
      <w:r w:rsidRPr="006B4D13">
        <w:rPr>
          <w:rFonts w:ascii="Lato" w:hAnsi="Lato" w:cs="Times New Roman"/>
        </w:rPr>
        <w:t xml:space="preserve"> występują obecnie dwa sieciowe nośniki energii wykorzystywane lokalnie przez społeczeństwo oraz podmioty działające na terenie gminy: gaz ziemny i energia elektryczna. Wielkość zapotrzebowania na poszczególne nośniki wyznaczają następujące czynniki: cena jednostkowa za dany nośnik energii, aktywność gospodarcza (wielkość produkcji i usług) lub społeczna (liczba mieszkańców korzystających z usług energetycznych i pochodne komfortu życia jak np. wielkość powierzchni mieszkalnej, wyposażenie gospodarstw domowych) oraz energochłonność produkcji i usług lub energochłonność usługi energetycznej w gospodarstwach domowych (np. jednostkowe zużycie ciepła na ogrzewanie mieszkań, jednostkowe zużycie energii elektrycz</w:t>
      </w:r>
      <w:r w:rsidR="006B4D13" w:rsidRPr="006B4D13">
        <w:rPr>
          <w:rFonts w:ascii="Lato" w:hAnsi="Lato" w:cs="Times New Roman"/>
        </w:rPr>
        <w:t>nej do przygotowania posiłków i </w:t>
      </w:r>
      <w:r w:rsidRPr="006B4D13">
        <w:rPr>
          <w:rFonts w:ascii="Lato" w:hAnsi="Lato" w:cs="Times New Roman"/>
        </w:rPr>
        <w:t>c.w.u., jednostkowe zużycie energii elektrycznej na oświetlenie i napędy sprzętu gospodarstwa domowego itp.). Przyjęto następujący podział grup odbiorców dla sieciowego nośnika energii oraz paliw:</w:t>
      </w:r>
    </w:p>
    <w:p w:rsidR="00510E6D" w:rsidRPr="003F7B25" w:rsidRDefault="00510E6D" w:rsidP="003F7B25">
      <w:pPr>
        <w:pStyle w:val="Tekstpodstawowy"/>
        <w:numPr>
          <w:ilvl w:val="0"/>
          <w:numId w:val="83"/>
        </w:numPr>
        <w:tabs>
          <w:tab w:val="clear" w:pos="360"/>
        </w:tabs>
        <w:ind w:left="709" w:hanging="425"/>
        <w:rPr>
          <w:rFonts w:ascii="Lato" w:hAnsi="Lato" w:cs="Times New Roman"/>
        </w:rPr>
      </w:pPr>
      <w:r w:rsidRPr="003F7B25">
        <w:rPr>
          <w:rFonts w:ascii="Lato" w:hAnsi="Lato" w:cs="Times New Roman"/>
        </w:rPr>
        <w:t>gospodarstwa domowe – mieszkalnictwo,</w:t>
      </w:r>
    </w:p>
    <w:p w:rsidR="00510E6D" w:rsidRPr="003F7B25" w:rsidRDefault="00510E6D" w:rsidP="003F7B25">
      <w:pPr>
        <w:pStyle w:val="Tekstpodstawowy"/>
        <w:numPr>
          <w:ilvl w:val="0"/>
          <w:numId w:val="83"/>
        </w:numPr>
        <w:tabs>
          <w:tab w:val="clear" w:pos="360"/>
        </w:tabs>
        <w:ind w:left="709" w:hanging="425"/>
        <w:rPr>
          <w:rFonts w:ascii="Lato" w:hAnsi="Lato" w:cs="Times New Roman"/>
        </w:rPr>
      </w:pPr>
      <w:r w:rsidRPr="003F7B25">
        <w:rPr>
          <w:rFonts w:ascii="Lato" w:hAnsi="Lato" w:cs="Times New Roman"/>
        </w:rPr>
        <w:t>handel, usługi, przedsiębiorstwa</w:t>
      </w:r>
    </w:p>
    <w:p w:rsidR="00510E6D" w:rsidRPr="003F7B25" w:rsidRDefault="00510E6D" w:rsidP="003F7B25">
      <w:pPr>
        <w:pStyle w:val="Tekstpodstawowy"/>
        <w:numPr>
          <w:ilvl w:val="0"/>
          <w:numId w:val="83"/>
        </w:numPr>
        <w:tabs>
          <w:tab w:val="clear" w:pos="360"/>
        </w:tabs>
        <w:ind w:left="709" w:hanging="425"/>
        <w:rPr>
          <w:rFonts w:ascii="Lato" w:hAnsi="Lato" w:cs="Times New Roman"/>
        </w:rPr>
      </w:pPr>
      <w:r w:rsidRPr="003F7B25">
        <w:rPr>
          <w:rFonts w:ascii="Lato" w:hAnsi="Lato" w:cs="Times New Roman"/>
        </w:rPr>
        <w:t>użyteczność publiczna,</w:t>
      </w:r>
    </w:p>
    <w:p w:rsidR="00510E6D" w:rsidRPr="003F7B25" w:rsidRDefault="00510E6D" w:rsidP="003F7B25">
      <w:pPr>
        <w:pStyle w:val="Tekstpodstawowy"/>
        <w:numPr>
          <w:ilvl w:val="0"/>
          <w:numId w:val="83"/>
        </w:numPr>
        <w:tabs>
          <w:tab w:val="clear" w:pos="360"/>
        </w:tabs>
        <w:ind w:left="709" w:hanging="425"/>
        <w:rPr>
          <w:rFonts w:ascii="Lato" w:hAnsi="Lato" w:cs="Times New Roman"/>
        </w:rPr>
      </w:pPr>
      <w:r w:rsidRPr="003F7B25">
        <w:rPr>
          <w:rFonts w:ascii="Lato" w:hAnsi="Lato" w:cs="Times New Roman"/>
        </w:rPr>
        <w:t>oświetlenie ulic.</w:t>
      </w:r>
    </w:p>
    <w:p w:rsidR="00510E6D" w:rsidRPr="006B4D13" w:rsidRDefault="00510E6D" w:rsidP="00510E6D">
      <w:pPr>
        <w:pStyle w:val="Tekstpodstawowy"/>
        <w:rPr>
          <w:rFonts w:ascii="Lato" w:hAnsi="Lato" w:cs="Times New Roman"/>
        </w:rPr>
      </w:pPr>
      <w:r w:rsidRPr="006B4D13">
        <w:rPr>
          <w:rFonts w:ascii="Lato" w:hAnsi="Lato" w:cs="Times New Roman"/>
        </w:rPr>
        <w:t>Zmiany energochłonności przyjęto kierując się następującymi uwarunkowaniami i opracowaniami:</w:t>
      </w:r>
    </w:p>
    <w:p w:rsidR="00510E6D" w:rsidRPr="003F7B25" w:rsidRDefault="00510E6D" w:rsidP="003F7B25">
      <w:pPr>
        <w:pStyle w:val="Tekstpodstawowy"/>
        <w:numPr>
          <w:ilvl w:val="0"/>
          <w:numId w:val="83"/>
        </w:numPr>
        <w:tabs>
          <w:tab w:val="clear" w:pos="360"/>
        </w:tabs>
        <w:ind w:left="709" w:hanging="425"/>
        <w:rPr>
          <w:rFonts w:ascii="Lato" w:hAnsi="Lato" w:cs="Times New Roman"/>
        </w:rPr>
      </w:pPr>
      <w:r w:rsidRPr="003F7B25">
        <w:rPr>
          <w:rFonts w:ascii="Lato" w:hAnsi="Lato" w:cs="Times New Roman"/>
        </w:rPr>
        <w:t>Istniejącym potencjałem racjonalizacji zużycia sieciowych nośników energii,</w:t>
      </w:r>
    </w:p>
    <w:p w:rsidR="00510E6D" w:rsidRPr="003F7B25" w:rsidRDefault="00510E6D" w:rsidP="003F7B25">
      <w:pPr>
        <w:pStyle w:val="Tekstpodstawowy"/>
        <w:numPr>
          <w:ilvl w:val="0"/>
          <w:numId w:val="83"/>
        </w:numPr>
        <w:tabs>
          <w:tab w:val="clear" w:pos="360"/>
        </w:tabs>
        <w:ind w:left="709" w:hanging="425"/>
        <w:rPr>
          <w:rFonts w:ascii="Lato" w:hAnsi="Lato" w:cs="Times New Roman"/>
        </w:rPr>
      </w:pPr>
      <w:r w:rsidRPr="003F7B25">
        <w:rPr>
          <w:rFonts w:ascii="Lato" w:hAnsi="Lato" w:cs="Times New Roman"/>
        </w:rPr>
        <w:t>Polityka Energetyczna Polski do 2030 roku,</w:t>
      </w:r>
    </w:p>
    <w:p w:rsidR="00510E6D" w:rsidRPr="003F7B25" w:rsidRDefault="00510E6D" w:rsidP="003F7B25">
      <w:pPr>
        <w:pStyle w:val="Tekstpodstawowy"/>
        <w:numPr>
          <w:ilvl w:val="0"/>
          <w:numId w:val="83"/>
        </w:numPr>
        <w:tabs>
          <w:tab w:val="clear" w:pos="360"/>
        </w:tabs>
        <w:ind w:left="709" w:hanging="425"/>
        <w:rPr>
          <w:rFonts w:ascii="Lato" w:hAnsi="Lato" w:cs="Times New Roman"/>
        </w:rPr>
      </w:pPr>
      <w:r w:rsidRPr="003F7B25">
        <w:rPr>
          <w:rFonts w:ascii="Lato" w:hAnsi="Lato" w:cs="Times New Roman"/>
        </w:rPr>
        <w:t>Miejscowymi planami zagospodarowania przestrzennego,</w:t>
      </w:r>
    </w:p>
    <w:p w:rsidR="00510E6D" w:rsidRPr="003F7B25" w:rsidRDefault="00510E6D" w:rsidP="003F7B25">
      <w:pPr>
        <w:pStyle w:val="Tekstpodstawowy"/>
        <w:numPr>
          <w:ilvl w:val="0"/>
          <w:numId w:val="83"/>
        </w:numPr>
        <w:tabs>
          <w:tab w:val="clear" w:pos="360"/>
        </w:tabs>
        <w:ind w:left="709" w:hanging="425"/>
        <w:rPr>
          <w:rFonts w:ascii="Lato" w:hAnsi="Lato" w:cs="Times New Roman"/>
        </w:rPr>
      </w:pPr>
      <w:r w:rsidRPr="003F7B25">
        <w:rPr>
          <w:rFonts w:ascii="Lato" w:hAnsi="Lato" w:cs="Times New Roman"/>
        </w:rPr>
        <w:t>Studium Uwarunkowań i Kierunków Zagospodarowania Przestrzennego.</w:t>
      </w:r>
    </w:p>
    <w:p w:rsidR="00510E6D" w:rsidRPr="006B4D13" w:rsidRDefault="00510E6D" w:rsidP="00510E6D">
      <w:pPr>
        <w:pStyle w:val="Stopka"/>
        <w:tabs>
          <w:tab w:val="clear" w:pos="4536"/>
          <w:tab w:val="clear" w:pos="9072"/>
        </w:tabs>
        <w:ind w:left="361" w:firstLine="0"/>
        <w:jc w:val="both"/>
        <w:rPr>
          <w:rFonts w:ascii="Lato" w:hAnsi="Lato"/>
        </w:rPr>
      </w:pPr>
    </w:p>
    <w:p w:rsidR="006B024A" w:rsidRPr="006B4D13" w:rsidRDefault="00510E6D" w:rsidP="00281998">
      <w:pPr>
        <w:pStyle w:val="Tekstpodstawowy"/>
        <w:tabs>
          <w:tab w:val="left" w:pos="426"/>
        </w:tabs>
        <w:ind w:firstLine="709"/>
        <w:rPr>
          <w:rFonts w:ascii="Lato" w:hAnsi="Lato" w:cs="Times New Roman"/>
        </w:rPr>
      </w:pPr>
      <w:r w:rsidRPr="006B4D13">
        <w:rPr>
          <w:rFonts w:ascii="Lato" w:hAnsi="Lato" w:cs="Times New Roman"/>
        </w:rPr>
        <w:t>Scenariusze zapotrzebowania na sieciowe nośniki energii sporządzono z wykorzystaniem założeń opisanych w rozdziale 5.</w:t>
      </w:r>
      <w:r w:rsidR="008B17BA" w:rsidRPr="006B4D13">
        <w:rPr>
          <w:rFonts w:ascii="Lato" w:hAnsi="Lato" w:cs="Times New Roman"/>
        </w:rPr>
        <w:t>2</w:t>
      </w:r>
      <w:r w:rsidRPr="006B4D13">
        <w:rPr>
          <w:rFonts w:ascii="Lato" w:hAnsi="Lato" w:cs="Times New Roman"/>
        </w:rPr>
        <w:t>. „</w:t>
      </w:r>
      <w:r w:rsidR="008B17BA" w:rsidRPr="006B4D13">
        <w:rPr>
          <w:rFonts w:ascii="Lato" w:hAnsi="Lato" w:cs="Times New Roman"/>
        </w:rPr>
        <w:t>O</w:t>
      </w:r>
      <w:r w:rsidRPr="006B4D13">
        <w:rPr>
          <w:rFonts w:ascii="Lato" w:hAnsi="Lato" w:cs="Times New Roman"/>
        </w:rPr>
        <w:t>gólne kierunki rozwoju i moder</w:t>
      </w:r>
      <w:r w:rsidR="00D03562">
        <w:rPr>
          <w:rFonts w:ascii="Lato" w:hAnsi="Lato" w:cs="Times New Roman"/>
        </w:rPr>
        <w:t>nizacji systemów zaopatrzenia w </w:t>
      </w:r>
      <w:r w:rsidRPr="006B4D13">
        <w:rPr>
          <w:rFonts w:ascii="Lato" w:hAnsi="Lato" w:cs="Times New Roman"/>
        </w:rPr>
        <w:t xml:space="preserve">energię”. Zbiorczą prognozę zużycia nośników energii </w:t>
      </w:r>
      <w:r w:rsidR="00D03562">
        <w:rPr>
          <w:rFonts w:ascii="Lato" w:hAnsi="Lato" w:cs="Times New Roman"/>
        </w:rPr>
        <w:t>przedstawiono tabelarycznie dla </w:t>
      </w:r>
      <w:r w:rsidRPr="006B4D13">
        <w:rPr>
          <w:rFonts w:ascii="Lato" w:hAnsi="Lato" w:cs="Times New Roman"/>
        </w:rPr>
        <w:t>poszczególnych scenariuszy rozwoju (tabele 5-9 do 5-11) oraz zilustrowano graficznie na rysunkach 5-1 do 5-2 (prognoza dla przyszłego zużycia sieciowych nośników energii – energii elektrycznej oraz gazu).</w:t>
      </w:r>
    </w:p>
    <w:p w:rsidR="006B024A" w:rsidRPr="00D352C4" w:rsidRDefault="006B024A" w:rsidP="006B024A">
      <w:pPr>
        <w:jc w:val="both"/>
        <w:rPr>
          <w:rFonts w:ascii="Lato" w:hAnsi="Lato"/>
          <w:highlight w:val="yellow"/>
        </w:rPr>
      </w:pPr>
    </w:p>
    <w:p w:rsidR="006B024A" w:rsidRPr="009B3C1C" w:rsidRDefault="003256E4" w:rsidP="00C54B26">
      <w:pPr>
        <w:pStyle w:val="Legenda"/>
        <w:rPr>
          <w:rFonts w:ascii="Lato" w:hAnsi="Lato"/>
          <w:color w:val="365F91"/>
          <w:sz w:val="20"/>
          <w:szCs w:val="20"/>
        </w:rPr>
      </w:pPr>
      <w:bookmarkStart w:id="435" w:name="_Toc336419492"/>
      <w:bookmarkStart w:id="436" w:name="_Toc336943659"/>
      <w:r w:rsidRPr="00D352C4">
        <w:rPr>
          <w:rFonts w:ascii="Lato" w:hAnsi="Lato"/>
          <w:bCs/>
          <w:color w:val="365F91"/>
          <w:sz w:val="20"/>
          <w:szCs w:val="20"/>
          <w:highlight w:val="yellow"/>
        </w:rPr>
        <w:br w:type="page"/>
      </w:r>
      <w:bookmarkStart w:id="437" w:name="_Toc20219198"/>
      <w:r w:rsidR="006B024A" w:rsidRPr="009B3C1C">
        <w:rPr>
          <w:rFonts w:ascii="Lato" w:hAnsi="Lato"/>
          <w:bCs/>
          <w:color w:val="365F91"/>
          <w:sz w:val="20"/>
          <w:szCs w:val="20"/>
        </w:rPr>
        <w:lastRenderedPageBreak/>
        <w:t xml:space="preserve">Tabela </w:t>
      </w:r>
      <w:r w:rsidR="004042AE" w:rsidRPr="009B3C1C">
        <w:rPr>
          <w:rFonts w:ascii="Lato" w:hAnsi="Lato"/>
          <w:bCs/>
          <w:color w:val="365F91"/>
          <w:sz w:val="20"/>
          <w:szCs w:val="20"/>
        </w:rPr>
        <w:fldChar w:fldCharType="begin"/>
      </w:r>
      <w:r w:rsidR="005430ED" w:rsidRPr="009B3C1C">
        <w:rPr>
          <w:rFonts w:ascii="Lato" w:hAnsi="Lato"/>
          <w:bCs/>
          <w:color w:val="365F91"/>
          <w:sz w:val="20"/>
          <w:szCs w:val="20"/>
        </w:rPr>
        <w:instrText xml:space="preserve"> STYLEREF 1 \s </w:instrText>
      </w:r>
      <w:r w:rsidR="004042AE" w:rsidRPr="009B3C1C">
        <w:rPr>
          <w:rFonts w:ascii="Lato" w:hAnsi="Lato"/>
          <w:bCs/>
          <w:color w:val="365F91"/>
          <w:sz w:val="20"/>
          <w:szCs w:val="20"/>
        </w:rPr>
        <w:fldChar w:fldCharType="separate"/>
      </w:r>
      <w:r w:rsidR="0040205B">
        <w:rPr>
          <w:rFonts w:ascii="Lato" w:hAnsi="Lato"/>
          <w:bCs/>
          <w:noProof/>
          <w:color w:val="365F91"/>
          <w:sz w:val="20"/>
          <w:szCs w:val="20"/>
        </w:rPr>
        <w:t>5</w:t>
      </w:r>
      <w:r w:rsidR="004042AE" w:rsidRPr="009B3C1C">
        <w:rPr>
          <w:rFonts w:ascii="Lato" w:hAnsi="Lato"/>
          <w:bCs/>
          <w:color w:val="365F91"/>
          <w:sz w:val="20"/>
          <w:szCs w:val="20"/>
        </w:rPr>
        <w:fldChar w:fldCharType="end"/>
      </w:r>
      <w:r w:rsidR="005430ED" w:rsidRPr="009B3C1C">
        <w:rPr>
          <w:rFonts w:ascii="Lato" w:hAnsi="Lato"/>
          <w:bCs/>
          <w:color w:val="365F91"/>
          <w:sz w:val="20"/>
          <w:szCs w:val="20"/>
        </w:rPr>
        <w:noBreakHyphen/>
      </w:r>
      <w:r w:rsidR="004042AE" w:rsidRPr="009B3C1C">
        <w:rPr>
          <w:rFonts w:ascii="Lato" w:hAnsi="Lato"/>
          <w:bCs/>
          <w:color w:val="365F91"/>
          <w:sz w:val="20"/>
          <w:szCs w:val="20"/>
        </w:rPr>
        <w:fldChar w:fldCharType="begin"/>
      </w:r>
      <w:r w:rsidR="005430ED" w:rsidRPr="009B3C1C">
        <w:rPr>
          <w:rFonts w:ascii="Lato" w:hAnsi="Lato"/>
          <w:bCs/>
          <w:color w:val="365F91"/>
          <w:sz w:val="20"/>
          <w:szCs w:val="20"/>
        </w:rPr>
        <w:instrText xml:space="preserve"> SEQ Tabela \* ARABIC \s 1 </w:instrText>
      </w:r>
      <w:r w:rsidR="004042AE" w:rsidRPr="009B3C1C">
        <w:rPr>
          <w:rFonts w:ascii="Lato" w:hAnsi="Lato"/>
          <w:bCs/>
          <w:color w:val="365F91"/>
          <w:sz w:val="20"/>
          <w:szCs w:val="20"/>
        </w:rPr>
        <w:fldChar w:fldCharType="separate"/>
      </w:r>
      <w:r w:rsidR="0040205B">
        <w:rPr>
          <w:rFonts w:ascii="Lato" w:hAnsi="Lato"/>
          <w:bCs/>
          <w:noProof/>
          <w:color w:val="365F91"/>
          <w:sz w:val="20"/>
          <w:szCs w:val="20"/>
        </w:rPr>
        <w:t>9</w:t>
      </w:r>
      <w:r w:rsidR="004042AE" w:rsidRPr="009B3C1C">
        <w:rPr>
          <w:rFonts w:ascii="Lato" w:hAnsi="Lato"/>
          <w:bCs/>
          <w:color w:val="365F91"/>
          <w:sz w:val="20"/>
          <w:szCs w:val="20"/>
        </w:rPr>
        <w:fldChar w:fldCharType="end"/>
      </w:r>
      <w:r w:rsidR="006B024A" w:rsidRPr="009B3C1C">
        <w:rPr>
          <w:rFonts w:ascii="Lato" w:hAnsi="Lato"/>
          <w:color w:val="365F91"/>
          <w:sz w:val="20"/>
          <w:szCs w:val="20"/>
        </w:rPr>
        <w:t xml:space="preserve"> Zestawienie prognoz zużycia nośników energii na obszarze </w:t>
      </w:r>
      <w:r w:rsidR="008B17BA" w:rsidRPr="009B3C1C">
        <w:rPr>
          <w:rFonts w:ascii="Lato" w:hAnsi="Lato"/>
          <w:color w:val="365F91"/>
          <w:sz w:val="20"/>
          <w:szCs w:val="20"/>
          <w:lang w:val="pl-PL"/>
        </w:rPr>
        <w:t xml:space="preserve">Gminy </w:t>
      </w:r>
      <w:r w:rsidR="009B3C1C">
        <w:rPr>
          <w:rFonts w:ascii="Lato" w:hAnsi="Lato"/>
          <w:color w:val="365F91"/>
          <w:sz w:val="20"/>
          <w:szCs w:val="20"/>
          <w:lang w:val="pl-PL"/>
        </w:rPr>
        <w:t>Pabianice</w:t>
      </w:r>
      <w:r w:rsidR="006B024A" w:rsidRPr="009B3C1C">
        <w:rPr>
          <w:rFonts w:ascii="Lato" w:hAnsi="Lato"/>
          <w:color w:val="365F91"/>
          <w:sz w:val="20"/>
          <w:szCs w:val="20"/>
        </w:rPr>
        <w:t xml:space="preserve"> - scenariusz A – „Pasywny”</w:t>
      </w:r>
      <w:bookmarkEnd w:id="435"/>
      <w:bookmarkEnd w:id="436"/>
      <w:bookmarkEnd w:id="437"/>
    </w:p>
    <w:p w:rsidR="005A356D" w:rsidRPr="006B4D13" w:rsidRDefault="009B3C1C" w:rsidP="009B3C1C">
      <w:pPr>
        <w:ind w:firstLine="0"/>
        <w:rPr>
          <w:highlight w:val="yellow"/>
        </w:rPr>
      </w:pPr>
      <w:bookmarkStart w:id="438" w:name="_Toc336419493"/>
      <w:bookmarkStart w:id="439" w:name="_Toc336943660"/>
      <w:r w:rsidRPr="009B3C1C">
        <w:rPr>
          <w:noProof/>
        </w:rPr>
        <w:drawing>
          <wp:inline distT="0" distB="0" distL="0" distR="0" wp14:anchorId="03E56C6A" wp14:editId="137CDF53">
            <wp:extent cx="6264275" cy="6362086"/>
            <wp:effectExtent l="0" t="0" r="3175"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64275" cy="6362086"/>
                    </a:xfrm>
                    <a:prstGeom prst="rect">
                      <a:avLst/>
                    </a:prstGeom>
                    <a:noFill/>
                    <a:ln>
                      <a:noFill/>
                    </a:ln>
                  </pic:spPr>
                </pic:pic>
              </a:graphicData>
            </a:graphic>
          </wp:inline>
        </w:drawing>
      </w:r>
    </w:p>
    <w:p w:rsidR="000E2AE3" w:rsidRDefault="000E2AE3" w:rsidP="000E2AE3">
      <w:pPr>
        <w:suppressAutoHyphens/>
        <w:ind w:firstLine="0"/>
        <w:jc w:val="center"/>
        <w:rPr>
          <w:rFonts w:ascii="Lato" w:hAnsi="Lato"/>
          <w:bCs/>
          <w:i/>
          <w:sz w:val="20"/>
          <w:szCs w:val="22"/>
        </w:rPr>
      </w:pPr>
      <w:r w:rsidRPr="00DB35F5">
        <w:rPr>
          <w:rFonts w:ascii="Lato" w:hAnsi="Lato"/>
          <w:bCs/>
          <w:i/>
          <w:sz w:val="20"/>
          <w:szCs w:val="22"/>
        </w:rPr>
        <w:t>Źródło: Analizy własne</w:t>
      </w:r>
    </w:p>
    <w:p w:rsidR="006B4D13" w:rsidRPr="006B4D13" w:rsidRDefault="006B4D13" w:rsidP="009B3C1C">
      <w:pPr>
        <w:ind w:firstLine="0"/>
        <w:rPr>
          <w:highlight w:val="yellow"/>
        </w:rPr>
      </w:pPr>
    </w:p>
    <w:p w:rsidR="00A23F68" w:rsidRDefault="005A356D" w:rsidP="00A23F68">
      <w:pPr>
        <w:spacing w:line="240" w:lineRule="auto"/>
        <w:ind w:left="11" w:hanging="11"/>
        <w:jc w:val="both"/>
        <w:rPr>
          <w:rFonts w:ascii="Lato" w:hAnsi="Lato"/>
          <w:b/>
          <w:color w:val="365F91"/>
          <w:spacing w:val="-2"/>
          <w:sz w:val="20"/>
          <w:szCs w:val="20"/>
          <w:lang w:eastAsia="x-none"/>
        </w:rPr>
      </w:pPr>
      <w:r w:rsidRPr="00D352C4">
        <w:rPr>
          <w:rFonts w:ascii="Lato" w:hAnsi="Lato"/>
          <w:b/>
          <w:color w:val="365F91"/>
          <w:sz w:val="20"/>
          <w:szCs w:val="20"/>
          <w:highlight w:val="yellow"/>
        </w:rPr>
        <w:br w:type="page"/>
      </w:r>
      <w:bookmarkStart w:id="440" w:name="_Toc20219199"/>
      <w:r w:rsidR="006B024A" w:rsidRPr="009B3C1C">
        <w:rPr>
          <w:rFonts w:ascii="Lato" w:hAnsi="Lato"/>
          <w:b/>
          <w:color w:val="365F91"/>
          <w:sz w:val="20"/>
          <w:szCs w:val="20"/>
        </w:rPr>
        <w:lastRenderedPageBreak/>
        <w:t xml:space="preserve">Tabela </w:t>
      </w:r>
      <w:r w:rsidR="004042AE" w:rsidRPr="009B3C1C">
        <w:rPr>
          <w:rFonts w:ascii="Lato" w:hAnsi="Lato"/>
          <w:b/>
          <w:color w:val="365F91"/>
          <w:sz w:val="20"/>
          <w:szCs w:val="20"/>
        </w:rPr>
        <w:fldChar w:fldCharType="begin"/>
      </w:r>
      <w:r w:rsidR="005430ED" w:rsidRPr="009B3C1C">
        <w:rPr>
          <w:rFonts w:ascii="Lato" w:hAnsi="Lato"/>
          <w:b/>
          <w:color w:val="365F91"/>
          <w:sz w:val="20"/>
          <w:szCs w:val="20"/>
        </w:rPr>
        <w:instrText xml:space="preserve"> STYLEREF 1 \s </w:instrText>
      </w:r>
      <w:r w:rsidR="004042AE" w:rsidRPr="009B3C1C">
        <w:rPr>
          <w:rFonts w:ascii="Lato" w:hAnsi="Lato"/>
          <w:b/>
          <w:color w:val="365F91"/>
          <w:sz w:val="20"/>
          <w:szCs w:val="20"/>
        </w:rPr>
        <w:fldChar w:fldCharType="separate"/>
      </w:r>
      <w:r w:rsidR="0040205B">
        <w:rPr>
          <w:rFonts w:ascii="Lato" w:hAnsi="Lato"/>
          <w:b/>
          <w:noProof/>
          <w:color w:val="365F91"/>
          <w:sz w:val="20"/>
          <w:szCs w:val="20"/>
        </w:rPr>
        <w:t>5</w:t>
      </w:r>
      <w:r w:rsidR="004042AE" w:rsidRPr="009B3C1C">
        <w:rPr>
          <w:rFonts w:ascii="Lato" w:hAnsi="Lato"/>
          <w:b/>
          <w:color w:val="365F91"/>
          <w:sz w:val="20"/>
          <w:szCs w:val="20"/>
        </w:rPr>
        <w:fldChar w:fldCharType="end"/>
      </w:r>
      <w:r w:rsidR="005430ED" w:rsidRPr="009B3C1C">
        <w:rPr>
          <w:rFonts w:ascii="Lato" w:hAnsi="Lato"/>
          <w:b/>
          <w:color w:val="365F91"/>
          <w:sz w:val="20"/>
          <w:szCs w:val="20"/>
        </w:rPr>
        <w:noBreakHyphen/>
      </w:r>
      <w:r w:rsidR="004042AE" w:rsidRPr="009B3C1C">
        <w:rPr>
          <w:rFonts w:ascii="Lato" w:hAnsi="Lato"/>
          <w:b/>
          <w:color w:val="365F91"/>
          <w:sz w:val="20"/>
          <w:szCs w:val="20"/>
        </w:rPr>
        <w:fldChar w:fldCharType="begin"/>
      </w:r>
      <w:r w:rsidR="005430ED" w:rsidRPr="009B3C1C">
        <w:rPr>
          <w:rFonts w:ascii="Lato" w:hAnsi="Lato"/>
          <w:b/>
          <w:color w:val="365F91"/>
          <w:sz w:val="20"/>
          <w:szCs w:val="20"/>
        </w:rPr>
        <w:instrText xml:space="preserve"> SEQ Tabela \* ARABIC \s 1 </w:instrText>
      </w:r>
      <w:r w:rsidR="004042AE" w:rsidRPr="009B3C1C">
        <w:rPr>
          <w:rFonts w:ascii="Lato" w:hAnsi="Lato"/>
          <w:b/>
          <w:color w:val="365F91"/>
          <w:sz w:val="20"/>
          <w:szCs w:val="20"/>
        </w:rPr>
        <w:fldChar w:fldCharType="separate"/>
      </w:r>
      <w:r w:rsidR="0040205B">
        <w:rPr>
          <w:rFonts w:ascii="Lato" w:hAnsi="Lato"/>
          <w:b/>
          <w:noProof/>
          <w:color w:val="365F91"/>
          <w:sz w:val="20"/>
          <w:szCs w:val="20"/>
        </w:rPr>
        <w:t>10</w:t>
      </w:r>
      <w:r w:rsidR="004042AE" w:rsidRPr="009B3C1C">
        <w:rPr>
          <w:rFonts w:ascii="Lato" w:hAnsi="Lato"/>
          <w:b/>
          <w:color w:val="365F91"/>
          <w:sz w:val="20"/>
          <w:szCs w:val="20"/>
        </w:rPr>
        <w:fldChar w:fldCharType="end"/>
      </w:r>
      <w:r w:rsidR="00120868" w:rsidRPr="009B3C1C">
        <w:rPr>
          <w:rFonts w:ascii="Lato" w:hAnsi="Lato"/>
          <w:b/>
          <w:color w:val="365F91"/>
          <w:sz w:val="20"/>
          <w:szCs w:val="20"/>
        </w:rPr>
        <w:t xml:space="preserve"> </w:t>
      </w:r>
      <w:r w:rsidR="006B024A" w:rsidRPr="009B3C1C">
        <w:rPr>
          <w:rFonts w:ascii="Lato" w:hAnsi="Lato"/>
          <w:b/>
          <w:color w:val="365F91"/>
          <w:sz w:val="20"/>
          <w:szCs w:val="20"/>
        </w:rPr>
        <w:t xml:space="preserve">Zestawienie prognoz zużycia nośników energii na obszarze </w:t>
      </w:r>
      <w:r w:rsidR="008B17BA" w:rsidRPr="009B3C1C">
        <w:rPr>
          <w:rFonts w:ascii="Lato" w:hAnsi="Lato"/>
          <w:b/>
          <w:color w:val="365F91"/>
          <w:sz w:val="20"/>
          <w:szCs w:val="20"/>
        </w:rPr>
        <w:t xml:space="preserve">Gminy </w:t>
      </w:r>
      <w:r w:rsidR="009B3C1C" w:rsidRPr="009B3C1C">
        <w:rPr>
          <w:rFonts w:ascii="Lato" w:hAnsi="Lato"/>
          <w:b/>
          <w:color w:val="365F91"/>
          <w:sz w:val="20"/>
          <w:szCs w:val="20"/>
        </w:rPr>
        <w:t>Pabianice</w:t>
      </w:r>
      <w:r w:rsidR="008B17BA" w:rsidRPr="009B3C1C">
        <w:rPr>
          <w:rFonts w:ascii="Lato" w:hAnsi="Lato"/>
          <w:b/>
          <w:color w:val="365F91"/>
          <w:sz w:val="20"/>
          <w:szCs w:val="20"/>
        </w:rPr>
        <w:t xml:space="preserve"> </w:t>
      </w:r>
      <w:r w:rsidR="006B024A" w:rsidRPr="009B3C1C">
        <w:rPr>
          <w:rFonts w:ascii="Lato" w:hAnsi="Lato"/>
          <w:b/>
          <w:color w:val="365F91"/>
          <w:sz w:val="20"/>
          <w:szCs w:val="20"/>
        </w:rPr>
        <w:t>– scenariusz B – „</w:t>
      </w:r>
      <w:r w:rsidR="006B024A" w:rsidRPr="009B3C1C">
        <w:rPr>
          <w:rFonts w:ascii="Lato" w:hAnsi="Lato"/>
          <w:b/>
          <w:color w:val="365F91"/>
          <w:spacing w:val="-2"/>
          <w:sz w:val="20"/>
          <w:szCs w:val="20"/>
          <w:lang w:val="x-none" w:eastAsia="x-none"/>
        </w:rPr>
        <w:t>Umiarkowany”</w:t>
      </w:r>
      <w:bookmarkEnd w:id="438"/>
      <w:bookmarkEnd w:id="439"/>
      <w:bookmarkEnd w:id="440"/>
    </w:p>
    <w:p w:rsidR="000E2AE3" w:rsidRPr="000E2AE3" w:rsidRDefault="000E2AE3" w:rsidP="00A23F68">
      <w:pPr>
        <w:spacing w:line="240" w:lineRule="auto"/>
        <w:ind w:left="11" w:hanging="11"/>
        <w:jc w:val="both"/>
        <w:rPr>
          <w:rFonts w:ascii="Lato" w:hAnsi="Lato"/>
          <w:b/>
          <w:color w:val="365F91"/>
          <w:spacing w:val="-2"/>
          <w:sz w:val="20"/>
          <w:szCs w:val="20"/>
          <w:highlight w:val="yellow"/>
          <w:lang w:eastAsia="x-none"/>
        </w:rPr>
      </w:pPr>
    </w:p>
    <w:p w:rsidR="00F42DD9" w:rsidRDefault="009B3C1C" w:rsidP="009B3C1C">
      <w:pPr>
        <w:ind w:firstLine="0"/>
        <w:rPr>
          <w:bCs/>
          <w:highlight w:val="yellow"/>
        </w:rPr>
      </w:pPr>
      <w:bookmarkStart w:id="441" w:name="_Toc14095493"/>
      <w:r w:rsidRPr="009B3C1C">
        <w:rPr>
          <w:noProof/>
        </w:rPr>
        <w:drawing>
          <wp:inline distT="0" distB="0" distL="0" distR="0" wp14:anchorId="38902B33" wp14:editId="0DD61846">
            <wp:extent cx="6264275" cy="6247973"/>
            <wp:effectExtent l="0" t="0" r="3175"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64275" cy="6247973"/>
                    </a:xfrm>
                    <a:prstGeom prst="rect">
                      <a:avLst/>
                    </a:prstGeom>
                    <a:noFill/>
                    <a:ln>
                      <a:noFill/>
                    </a:ln>
                  </pic:spPr>
                </pic:pic>
              </a:graphicData>
            </a:graphic>
          </wp:inline>
        </w:drawing>
      </w:r>
    </w:p>
    <w:p w:rsidR="000E2AE3" w:rsidRDefault="000E2AE3" w:rsidP="000E2AE3">
      <w:pPr>
        <w:suppressAutoHyphens/>
        <w:ind w:firstLine="0"/>
        <w:jc w:val="center"/>
        <w:rPr>
          <w:rFonts w:ascii="Lato" w:hAnsi="Lato"/>
          <w:bCs/>
          <w:i/>
          <w:sz w:val="20"/>
          <w:szCs w:val="22"/>
        </w:rPr>
      </w:pPr>
      <w:r w:rsidRPr="00DB35F5">
        <w:rPr>
          <w:rFonts w:ascii="Lato" w:hAnsi="Lato"/>
          <w:bCs/>
          <w:i/>
          <w:sz w:val="20"/>
          <w:szCs w:val="22"/>
        </w:rPr>
        <w:t>Źródło: Analizy własne</w:t>
      </w:r>
    </w:p>
    <w:p w:rsidR="000E2AE3" w:rsidRDefault="000E2AE3" w:rsidP="009B3C1C">
      <w:pPr>
        <w:ind w:firstLine="0"/>
        <w:rPr>
          <w:bCs/>
          <w:highlight w:val="yellow"/>
        </w:rPr>
      </w:pPr>
    </w:p>
    <w:p w:rsidR="006B024A" w:rsidRDefault="006B024A" w:rsidP="006B4D13">
      <w:pPr>
        <w:spacing w:line="240" w:lineRule="auto"/>
        <w:ind w:left="11" w:hanging="11"/>
        <w:jc w:val="both"/>
        <w:rPr>
          <w:rFonts w:ascii="Lato" w:hAnsi="Lato"/>
          <w:b/>
          <w:color w:val="365F91"/>
          <w:sz w:val="20"/>
          <w:szCs w:val="20"/>
        </w:rPr>
      </w:pPr>
      <w:r w:rsidRPr="00D352C4">
        <w:rPr>
          <w:bCs/>
          <w:highlight w:val="yellow"/>
        </w:rPr>
        <w:br w:type="page"/>
      </w:r>
      <w:bookmarkStart w:id="442" w:name="_Toc336419494"/>
      <w:bookmarkStart w:id="443" w:name="_Toc336943661"/>
      <w:bookmarkStart w:id="444" w:name="_Toc20219200"/>
      <w:r w:rsidRPr="009B3C1C">
        <w:rPr>
          <w:rFonts w:ascii="Lato" w:hAnsi="Lato"/>
          <w:b/>
          <w:color w:val="365F91"/>
          <w:sz w:val="20"/>
          <w:szCs w:val="20"/>
        </w:rPr>
        <w:lastRenderedPageBreak/>
        <w:t xml:space="preserve">Tabela </w:t>
      </w:r>
      <w:r w:rsidR="004042AE" w:rsidRPr="009B3C1C">
        <w:rPr>
          <w:rFonts w:ascii="Lato" w:hAnsi="Lato"/>
          <w:b/>
          <w:color w:val="365F91"/>
          <w:sz w:val="20"/>
          <w:szCs w:val="20"/>
        </w:rPr>
        <w:fldChar w:fldCharType="begin"/>
      </w:r>
      <w:r w:rsidR="005430ED" w:rsidRPr="009B3C1C">
        <w:rPr>
          <w:rFonts w:ascii="Lato" w:hAnsi="Lato"/>
          <w:b/>
          <w:color w:val="365F91"/>
          <w:sz w:val="20"/>
          <w:szCs w:val="20"/>
        </w:rPr>
        <w:instrText xml:space="preserve"> STYLEREF 1 \s </w:instrText>
      </w:r>
      <w:r w:rsidR="004042AE" w:rsidRPr="009B3C1C">
        <w:rPr>
          <w:rFonts w:ascii="Lato" w:hAnsi="Lato"/>
          <w:b/>
          <w:color w:val="365F91"/>
          <w:sz w:val="20"/>
          <w:szCs w:val="20"/>
        </w:rPr>
        <w:fldChar w:fldCharType="separate"/>
      </w:r>
      <w:r w:rsidR="0040205B">
        <w:rPr>
          <w:rFonts w:ascii="Lato" w:hAnsi="Lato"/>
          <w:b/>
          <w:noProof/>
          <w:color w:val="365F91"/>
          <w:sz w:val="20"/>
          <w:szCs w:val="20"/>
        </w:rPr>
        <w:t>5</w:t>
      </w:r>
      <w:r w:rsidR="004042AE" w:rsidRPr="009B3C1C">
        <w:rPr>
          <w:rFonts w:ascii="Lato" w:hAnsi="Lato"/>
          <w:b/>
          <w:color w:val="365F91"/>
          <w:sz w:val="20"/>
          <w:szCs w:val="20"/>
        </w:rPr>
        <w:fldChar w:fldCharType="end"/>
      </w:r>
      <w:r w:rsidR="005430ED" w:rsidRPr="009B3C1C">
        <w:rPr>
          <w:rFonts w:ascii="Lato" w:hAnsi="Lato"/>
          <w:b/>
          <w:color w:val="365F91"/>
          <w:sz w:val="20"/>
          <w:szCs w:val="20"/>
        </w:rPr>
        <w:noBreakHyphen/>
      </w:r>
      <w:r w:rsidR="004042AE" w:rsidRPr="009B3C1C">
        <w:rPr>
          <w:rFonts w:ascii="Lato" w:hAnsi="Lato"/>
          <w:b/>
          <w:color w:val="365F91"/>
          <w:sz w:val="20"/>
          <w:szCs w:val="20"/>
        </w:rPr>
        <w:fldChar w:fldCharType="begin"/>
      </w:r>
      <w:r w:rsidR="005430ED" w:rsidRPr="009B3C1C">
        <w:rPr>
          <w:rFonts w:ascii="Lato" w:hAnsi="Lato"/>
          <w:b/>
          <w:color w:val="365F91"/>
          <w:sz w:val="20"/>
          <w:szCs w:val="20"/>
        </w:rPr>
        <w:instrText xml:space="preserve"> SEQ Tabela \* ARABIC \s 1 </w:instrText>
      </w:r>
      <w:r w:rsidR="004042AE" w:rsidRPr="009B3C1C">
        <w:rPr>
          <w:rFonts w:ascii="Lato" w:hAnsi="Lato"/>
          <w:b/>
          <w:color w:val="365F91"/>
          <w:sz w:val="20"/>
          <w:szCs w:val="20"/>
        </w:rPr>
        <w:fldChar w:fldCharType="separate"/>
      </w:r>
      <w:r w:rsidR="0040205B">
        <w:rPr>
          <w:rFonts w:ascii="Lato" w:hAnsi="Lato"/>
          <w:b/>
          <w:noProof/>
          <w:color w:val="365F91"/>
          <w:sz w:val="20"/>
          <w:szCs w:val="20"/>
        </w:rPr>
        <w:t>11</w:t>
      </w:r>
      <w:r w:rsidR="004042AE" w:rsidRPr="009B3C1C">
        <w:rPr>
          <w:rFonts w:ascii="Lato" w:hAnsi="Lato"/>
          <w:b/>
          <w:color w:val="365F91"/>
          <w:sz w:val="20"/>
          <w:szCs w:val="20"/>
        </w:rPr>
        <w:fldChar w:fldCharType="end"/>
      </w:r>
      <w:r w:rsidRPr="009B3C1C">
        <w:rPr>
          <w:rFonts w:ascii="Lato" w:hAnsi="Lato"/>
          <w:b/>
          <w:color w:val="365F91"/>
          <w:sz w:val="20"/>
          <w:szCs w:val="20"/>
        </w:rPr>
        <w:t xml:space="preserve"> Zestawienie prognoz zużycia nośników energii na obszarze </w:t>
      </w:r>
      <w:r w:rsidR="008B17BA" w:rsidRPr="009B3C1C">
        <w:rPr>
          <w:rFonts w:ascii="Lato" w:hAnsi="Lato"/>
          <w:b/>
          <w:color w:val="365F91"/>
          <w:sz w:val="20"/>
          <w:szCs w:val="20"/>
        </w:rPr>
        <w:t xml:space="preserve">Gminy </w:t>
      </w:r>
      <w:r w:rsidR="009B3C1C" w:rsidRPr="009B3C1C">
        <w:rPr>
          <w:rFonts w:ascii="Lato" w:hAnsi="Lato"/>
          <w:b/>
          <w:color w:val="365F91"/>
          <w:sz w:val="20"/>
          <w:szCs w:val="20"/>
        </w:rPr>
        <w:t>Pabianice</w:t>
      </w:r>
      <w:r w:rsidR="008B17BA" w:rsidRPr="009B3C1C">
        <w:rPr>
          <w:rFonts w:ascii="Lato" w:hAnsi="Lato"/>
          <w:b/>
          <w:color w:val="365F91"/>
          <w:sz w:val="20"/>
          <w:szCs w:val="20"/>
        </w:rPr>
        <w:t xml:space="preserve"> </w:t>
      </w:r>
      <w:r w:rsidRPr="009B3C1C">
        <w:rPr>
          <w:rFonts w:ascii="Lato" w:hAnsi="Lato"/>
          <w:b/>
          <w:color w:val="365F91"/>
          <w:sz w:val="20"/>
          <w:szCs w:val="20"/>
        </w:rPr>
        <w:t>– scenariusz C – „Aktywny”</w:t>
      </w:r>
      <w:bookmarkEnd w:id="441"/>
      <w:bookmarkEnd w:id="442"/>
      <w:bookmarkEnd w:id="443"/>
      <w:bookmarkEnd w:id="444"/>
    </w:p>
    <w:p w:rsidR="000E2AE3" w:rsidRDefault="000E2AE3" w:rsidP="006B4D13">
      <w:pPr>
        <w:spacing w:line="240" w:lineRule="auto"/>
        <w:ind w:left="11" w:hanging="11"/>
        <w:jc w:val="both"/>
        <w:rPr>
          <w:rFonts w:ascii="Lato" w:hAnsi="Lato"/>
          <w:b/>
          <w:color w:val="365F91"/>
          <w:sz w:val="20"/>
          <w:szCs w:val="20"/>
          <w:highlight w:val="yellow"/>
        </w:rPr>
      </w:pPr>
    </w:p>
    <w:p w:rsidR="006B024A" w:rsidRPr="00D352C4" w:rsidRDefault="009B3C1C" w:rsidP="006B024A">
      <w:pPr>
        <w:ind w:firstLine="0"/>
        <w:jc w:val="both"/>
        <w:rPr>
          <w:rFonts w:ascii="Lato" w:hAnsi="Lato"/>
          <w:highlight w:val="yellow"/>
        </w:rPr>
      </w:pPr>
      <w:r w:rsidRPr="009B3C1C">
        <w:rPr>
          <w:noProof/>
        </w:rPr>
        <w:drawing>
          <wp:inline distT="0" distB="0" distL="0" distR="0" wp14:anchorId="696DF99D" wp14:editId="3B0DE11D">
            <wp:extent cx="6264275" cy="6321332"/>
            <wp:effectExtent l="0" t="0" r="3175" b="381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64275" cy="6321332"/>
                    </a:xfrm>
                    <a:prstGeom prst="rect">
                      <a:avLst/>
                    </a:prstGeom>
                    <a:noFill/>
                    <a:ln>
                      <a:noFill/>
                    </a:ln>
                  </pic:spPr>
                </pic:pic>
              </a:graphicData>
            </a:graphic>
          </wp:inline>
        </w:drawing>
      </w:r>
    </w:p>
    <w:p w:rsidR="000E2AE3" w:rsidRDefault="000E2AE3" w:rsidP="000E2AE3">
      <w:pPr>
        <w:suppressAutoHyphens/>
        <w:ind w:firstLine="0"/>
        <w:jc w:val="center"/>
        <w:rPr>
          <w:rFonts w:ascii="Lato" w:hAnsi="Lato"/>
          <w:bCs/>
          <w:i/>
          <w:sz w:val="20"/>
          <w:szCs w:val="22"/>
        </w:rPr>
      </w:pPr>
      <w:r w:rsidRPr="00DB35F5">
        <w:rPr>
          <w:rFonts w:ascii="Lato" w:hAnsi="Lato"/>
          <w:bCs/>
          <w:i/>
          <w:sz w:val="20"/>
          <w:szCs w:val="22"/>
        </w:rPr>
        <w:t>Źródło: Analizy własne</w:t>
      </w:r>
    </w:p>
    <w:p w:rsidR="00631E84" w:rsidRPr="00D352C4" w:rsidRDefault="00631E84" w:rsidP="006B024A">
      <w:pPr>
        <w:ind w:firstLine="0"/>
        <w:jc w:val="both"/>
        <w:rPr>
          <w:rFonts w:ascii="Lato" w:hAnsi="Lato"/>
          <w:highlight w:val="yellow"/>
        </w:rPr>
      </w:pPr>
    </w:p>
    <w:p w:rsidR="00631E84" w:rsidRPr="00D352C4" w:rsidRDefault="00631E84" w:rsidP="006B024A">
      <w:pPr>
        <w:ind w:firstLine="0"/>
        <w:jc w:val="both"/>
        <w:rPr>
          <w:rFonts w:ascii="Lato" w:hAnsi="Lato"/>
          <w:highlight w:val="yellow"/>
        </w:rPr>
      </w:pPr>
    </w:p>
    <w:p w:rsidR="006B024A" w:rsidRDefault="006B024A" w:rsidP="006B024A">
      <w:pPr>
        <w:ind w:firstLine="0"/>
        <w:jc w:val="both"/>
        <w:rPr>
          <w:rFonts w:ascii="Lato" w:hAnsi="Lato"/>
          <w:noProof/>
          <w:highlight w:val="yellow"/>
        </w:rPr>
      </w:pPr>
    </w:p>
    <w:p w:rsidR="006B4D13" w:rsidRPr="009B3C1C" w:rsidRDefault="009B3C1C" w:rsidP="006B024A">
      <w:pPr>
        <w:ind w:firstLine="0"/>
        <w:jc w:val="both"/>
        <w:rPr>
          <w:rFonts w:ascii="Lato" w:hAnsi="Lato"/>
        </w:rPr>
      </w:pPr>
      <w:r w:rsidRPr="009B3C1C">
        <w:rPr>
          <w:noProof/>
        </w:rPr>
        <w:lastRenderedPageBreak/>
        <w:drawing>
          <wp:inline distT="0" distB="0" distL="0" distR="0" wp14:anchorId="1E81F0A6" wp14:editId="79F9E558">
            <wp:extent cx="5972810" cy="3000375"/>
            <wp:effectExtent l="0" t="0" r="889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B024A" w:rsidRPr="009B3C1C" w:rsidRDefault="006B024A" w:rsidP="003F0B29">
      <w:pPr>
        <w:pStyle w:val="Legenda"/>
        <w:jc w:val="center"/>
        <w:rPr>
          <w:rFonts w:ascii="Lato" w:hAnsi="Lato"/>
          <w:color w:val="365F91"/>
          <w:sz w:val="20"/>
          <w:szCs w:val="20"/>
          <w:lang w:val="pl-PL"/>
        </w:rPr>
      </w:pPr>
      <w:bookmarkStart w:id="445" w:name="_Toc336419415"/>
      <w:bookmarkStart w:id="446" w:name="_Toc336943730"/>
      <w:bookmarkStart w:id="447" w:name="_Toc20219256"/>
      <w:r w:rsidRPr="009B3C1C">
        <w:rPr>
          <w:rFonts w:ascii="Lato" w:hAnsi="Lato"/>
          <w:bCs/>
          <w:color w:val="365F91"/>
          <w:sz w:val="20"/>
          <w:szCs w:val="20"/>
        </w:rPr>
        <w:t xml:space="preserve">Rysunek </w:t>
      </w:r>
      <w:r w:rsidR="004042AE" w:rsidRPr="009B3C1C">
        <w:rPr>
          <w:rFonts w:ascii="Lato" w:hAnsi="Lato"/>
          <w:bCs/>
          <w:color w:val="365F91"/>
          <w:sz w:val="20"/>
          <w:szCs w:val="20"/>
        </w:rPr>
        <w:fldChar w:fldCharType="begin"/>
      </w:r>
      <w:r w:rsidR="005430ED" w:rsidRPr="009B3C1C">
        <w:rPr>
          <w:rFonts w:ascii="Lato" w:hAnsi="Lato"/>
          <w:bCs/>
          <w:color w:val="365F91"/>
          <w:sz w:val="20"/>
          <w:szCs w:val="20"/>
        </w:rPr>
        <w:instrText xml:space="preserve"> STYLEREF 1 \s </w:instrText>
      </w:r>
      <w:r w:rsidR="004042AE" w:rsidRPr="009B3C1C">
        <w:rPr>
          <w:rFonts w:ascii="Lato" w:hAnsi="Lato"/>
          <w:bCs/>
          <w:color w:val="365F91"/>
          <w:sz w:val="20"/>
          <w:szCs w:val="20"/>
        </w:rPr>
        <w:fldChar w:fldCharType="separate"/>
      </w:r>
      <w:r w:rsidR="0040205B">
        <w:rPr>
          <w:rFonts w:ascii="Lato" w:hAnsi="Lato"/>
          <w:bCs/>
          <w:noProof/>
          <w:color w:val="365F91"/>
          <w:sz w:val="20"/>
          <w:szCs w:val="20"/>
        </w:rPr>
        <w:t>5</w:t>
      </w:r>
      <w:r w:rsidR="004042AE" w:rsidRPr="009B3C1C">
        <w:rPr>
          <w:rFonts w:ascii="Lato" w:hAnsi="Lato"/>
          <w:bCs/>
          <w:color w:val="365F91"/>
          <w:sz w:val="20"/>
          <w:szCs w:val="20"/>
        </w:rPr>
        <w:fldChar w:fldCharType="end"/>
      </w:r>
      <w:r w:rsidR="005430ED" w:rsidRPr="009B3C1C">
        <w:rPr>
          <w:rFonts w:ascii="Lato" w:hAnsi="Lato"/>
          <w:bCs/>
          <w:color w:val="365F91"/>
          <w:sz w:val="20"/>
          <w:szCs w:val="20"/>
        </w:rPr>
        <w:noBreakHyphen/>
      </w:r>
      <w:r w:rsidR="004042AE" w:rsidRPr="009B3C1C">
        <w:rPr>
          <w:rFonts w:ascii="Lato" w:hAnsi="Lato"/>
          <w:bCs/>
          <w:color w:val="365F91"/>
          <w:sz w:val="20"/>
          <w:szCs w:val="20"/>
        </w:rPr>
        <w:fldChar w:fldCharType="begin"/>
      </w:r>
      <w:r w:rsidR="005430ED" w:rsidRPr="009B3C1C">
        <w:rPr>
          <w:rFonts w:ascii="Lato" w:hAnsi="Lato"/>
          <w:bCs/>
          <w:color w:val="365F91"/>
          <w:sz w:val="20"/>
          <w:szCs w:val="20"/>
        </w:rPr>
        <w:instrText xml:space="preserve"> SEQ Rysunek \* ARABIC \s 1 </w:instrText>
      </w:r>
      <w:r w:rsidR="004042AE" w:rsidRPr="009B3C1C">
        <w:rPr>
          <w:rFonts w:ascii="Lato" w:hAnsi="Lato"/>
          <w:bCs/>
          <w:color w:val="365F91"/>
          <w:sz w:val="20"/>
          <w:szCs w:val="20"/>
        </w:rPr>
        <w:fldChar w:fldCharType="separate"/>
      </w:r>
      <w:r w:rsidR="0040205B">
        <w:rPr>
          <w:rFonts w:ascii="Lato" w:hAnsi="Lato"/>
          <w:bCs/>
          <w:noProof/>
          <w:color w:val="365F91"/>
          <w:sz w:val="20"/>
          <w:szCs w:val="20"/>
        </w:rPr>
        <w:t>1</w:t>
      </w:r>
      <w:r w:rsidR="004042AE" w:rsidRPr="009B3C1C">
        <w:rPr>
          <w:rFonts w:ascii="Lato" w:hAnsi="Lato"/>
          <w:bCs/>
          <w:color w:val="365F91"/>
          <w:sz w:val="20"/>
          <w:szCs w:val="20"/>
        </w:rPr>
        <w:fldChar w:fldCharType="end"/>
      </w:r>
      <w:r w:rsidRPr="009B3C1C">
        <w:rPr>
          <w:rFonts w:ascii="Lato" w:hAnsi="Lato"/>
          <w:color w:val="365F91"/>
          <w:sz w:val="20"/>
          <w:szCs w:val="20"/>
        </w:rPr>
        <w:t xml:space="preserve"> Prognozowane zmiany zużycia energii elektrycznej do roku 203</w:t>
      </w:r>
      <w:bookmarkEnd w:id="445"/>
      <w:bookmarkEnd w:id="446"/>
      <w:r w:rsidR="00827FA7" w:rsidRPr="009B3C1C">
        <w:rPr>
          <w:rFonts w:ascii="Lato" w:hAnsi="Lato"/>
          <w:color w:val="365F91"/>
          <w:sz w:val="20"/>
          <w:szCs w:val="20"/>
        </w:rPr>
        <w:t>5</w:t>
      </w:r>
      <w:bookmarkEnd w:id="447"/>
    </w:p>
    <w:p w:rsidR="000E2AE3" w:rsidRDefault="000E2AE3" w:rsidP="000E2AE3">
      <w:pPr>
        <w:suppressAutoHyphens/>
        <w:ind w:firstLine="0"/>
        <w:jc w:val="center"/>
        <w:rPr>
          <w:rFonts w:ascii="Lato" w:hAnsi="Lato"/>
          <w:bCs/>
          <w:i/>
          <w:sz w:val="20"/>
          <w:szCs w:val="22"/>
        </w:rPr>
      </w:pPr>
      <w:r w:rsidRPr="00DB35F5">
        <w:rPr>
          <w:rFonts w:ascii="Lato" w:hAnsi="Lato"/>
          <w:bCs/>
          <w:i/>
          <w:sz w:val="20"/>
          <w:szCs w:val="22"/>
        </w:rPr>
        <w:t>Źródło: Analizy własne</w:t>
      </w:r>
    </w:p>
    <w:p w:rsidR="00631E84" w:rsidRPr="00D352C4" w:rsidRDefault="00631E84" w:rsidP="00631E84">
      <w:pPr>
        <w:rPr>
          <w:rFonts w:ascii="Lato" w:hAnsi="Lato"/>
          <w:highlight w:val="yellow"/>
          <w:lang w:eastAsia="x-none"/>
        </w:rPr>
      </w:pPr>
    </w:p>
    <w:p w:rsidR="00631E84" w:rsidRPr="00D352C4" w:rsidRDefault="00631E84" w:rsidP="00631E84">
      <w:pPr>
        <w:rPr>
          <w:rFonts w:ascii="Lato" w:hAnsi="Lato"/>
          <w:highlight w:val="yellow"/>
          <w:lang w:eastAsia="x-none"/>
        </w:rPr>
      </w:pPr>
    </w:p>
    <w:p w:rsidR="006B024A" w:rsidRPr="009B3C1C" w:rsidRDefault="009B3C1C" w:rsidP="006B024A">
      <w:pPr>
        <w:ind w:firstLine="0"/>
        <w:jc w:val="both"/>
        <w:rPr>
          <w:rFonts w:ascii="Lato" w:hAnsi="Lato"/>
        </w:rPr>
      </w:pPr>
      <w:r w:rsidRPr="009B3C1C">
        <w:rPr>
          <w:noProof/>
        </w:rPr>
        <w:drawing>
          <wp:inline distT="0" distB="0" distL="0" distR="0" wp14:anchorId="02E06765" wp14:editId="75EB3BEB">
            <wp:extent cx="5972810" cy="2747645"/>
            <wp:effectExtent l="0" t="0" r="889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B024A" w:rsidRPr="009B3C1C" w:rsidRDefault="006B024A" w:rsidP="00A17F17">
      <w:pPr>
        <w:pStyle w:val="Legenda"/>
        <w:jc w:val="center"/>
        <w:rPr>
          <w:rFonts w:ascii="Lato" w:hAnsi="Lato"/>
          <w:color w:val="365F91"/>
          <w:sz w:val="20"/>
          <w:szCs w:val="20"/>
        </w:rPr>
      </w:pPr>
      <w:bookmarkStart w:id="448" w:name="_Toc336419416"/>
      <w:bookmarkStart w:id="449" w:name="_Toc336943731"/>
      <w:bookmarkStart w:id="450" w:name="_Toc20219257"/>
      <w:r w:rsidRPr="009B3C1C">
        <w:rPr>
          <w:rFonts w:ascii="Lato" w:hAnsi="Lato"/>
          <w:color w:val="365F91"/>
          <w:sz w:val="20"/>
          <w:szCs w:val="20"/>
        </w:rPr>
        <w:t xml:space="preserve">Rysunek </w:t>
      </w:r>
      <w:r w:rsidR="004042AE" w:rsidRPr="009B3C1C">
        <w:rPr>
          <w:rFonts w:ascii="Lato" w:hAnsi="Lato"/>
          <w:color w:val="365F91"/>
          <w:sz w:val="20"/>
          <w:szCs w:val="20"/>
        </w:rPr>
        <w:fldChar w:fldCharType="begin"/>
      </w:r>
      <w:r w:rsidR="005430ED" w:rsidRPr="009B3C1C">
        <w:rPr>
          <w:rFonts w:ascii="Lato" w:hAnsi="Lato"/>
          <w:color w:val="365F91"/>
          <w:sz w:val="20"/>
          <w:szCs w:val="20"/>
        </w:rPr>
        <w:instrText xml:space="preserve"> STYLEREF 1 \s </w:instrText>
      </w:r>
      <w:r w:rsidR="004042AE" w:rsidRPr="009B3C1C">
        <w:rPr>
          <w:rFonts w:ascii="Lato" w:hAnsi="Lato"/>
          <w:color w:val="365F91"/>
          <w:sz w:val="20"/>
          <w:szCs w:val="20"/>
        </w:rPr>
        <w:fldChar w:fldCharType="separate"/>
      </w:r>
      <w:r w:rsidR="0040205B">
        <w:rPr>
          <w:rFonts w:ascii="Lato" w:hAnsi="Lato"/>
          <w:noProof/>
          <w:color w:val="365F91"/>
          <w:sz w:val="20"/>
          <w:szCs w:val="20"/>
        </w:rPr>
        <w:t>5</w:t>
      </w:r>
      <w:r w:rsidR="004042AE" w:rsidRPr="009B3C1C">
        <w:rPr>
          <w:rFonts w:ascii="Lato" w:hAnsi="Lato"/>
          <w:color w:val="365F91"/>
          <w:sz w:val="20"/>
          <w:szCs w:val="20"/>
        </w:rPr>
        <w:fldChar w:fldCharType="end"/>
      </w:r>
      <w:r w:rsidR="005430ED" w:rsidRPr="009B3C1C">
        <w:rPr>
          <w:rFonts w:ascii="Lato" w:hAnsi="Lato"/>
          <w:color w:val="365F91"/>
          <w:sz w:val="20"/>
          <w:szCs w:val="20"/>
        </w:rPr>
        <w:noBreakHyphen/>
      </w:r>
      <w:r w:rsidR="004042AE" w:rsidRPr="009B3C1C">
        <w:rPr>
          <w:rFonts w:ascii="Lato" w:hAnsi="Lato"/>
          <w:color w:val="365F91"/>
          <w:sz w:val="20"/>
          <w:szCs w:val="20"/>
        </w:rPr>
        <w:fldChar w:fldCharType="begin"/>
      </w:r>
      <w:r w:rsidR="005430ED" w:rsidRPr="009B3C1C">
        <w:rPr>
          <w:rFonts w:ascii="Lato" w:hAnsi="Lato"/>
          <w:color w:val="365F91"/>
          <w:sz w:val="20"/>
          <w:szCs w:val="20"/>
        </w:rPr>
        <w:instrText xml:space="preserve"> SEQ Rysunek \* ARABIC \s 1 </w:instrText>
      </w:r>
      <w:r w:rsidR="004042AE" w:rsidRPr="009B3C1C">
        <w:rPr>
          <w:rFonts w:ascii="Lato" w:hAnsi="Lato"/>
          <w:color w:val="365F91"/>
          <w:sz w:val="20"/>
          <w:szCs w:val="20"/>
        </w:rPr>
        <w:fldChar w:fldCharType="separate"/>
      </w:r>
      <w:r w:rsidR="0040205B">
        <w:rPr>
          <w:rFonts w:ascii="Lato" w:hAnsi="Lato"/>
          <w:noProof/>
          <w:color w:val="365F91"/>
          <w:sz w:val="20"/>
          <w:szCs w:val="20"/>
        </w:rPr>
        <w:t>2</w:t>
      </w:r>
      <w:r w:rsidR="004042AE" w:rsidRPr="009B3C1C">
        <w:rPr>
          <w:rFonts w:ascii="Lato" w:hAnsi="Lato"/>
          <w:color w:val="365F91"/>
          <w:sz w:val="20"/>
          <w:szCs w:val="20"/>
        </w:rPr>
        <w:fldChar w:fldCharType="end"/>
      </w:r>
      <w:r w:rsidRPr="009B3C1C">
        <w:rPr>
          <w:rFonts w:ascii="Lato" w:hAnsi="Lato"/>
          <w:color w:val="365F91"/>
          <w:sz w:val="20"/>
          <w:szCs w:val="20"/>
        </w:rPr>
        <w:t xml:space="preserve"> Prognozowane zmiany zużycia gazu ziemnego do roku 203</w:t>
      </w:r>
      <w:bookmarkEnd w:id="448"/>
      <w:bookmarkEnd w:id="449"/>
      <w:r w:rsidR="00827FA7" w:rsidRPr="009B3C1C">
        <w:rPr>
          <w:rFonts w:ascii="Lato" w:hAnsi="Lato"/>
          <w:color w:val="365F91"/>
          <w:sz w:val="20"/>
          <w:szCs w:val="20"/>
        </w:rPr>
        <w:t>5</w:t>
      </w:r>
      <w:bookmarkEnd w:id="450"/>
    </w:p>
    <w:p w:rsidR="000E2AE3" w:rsidRDefault="000E2AE3" w:rsidP="000E2AE3">
      <w:pPr>
        <w:suppressAutoHyphens/>
        <w:ind w:firstLine="0"/>
        <w:jc w:val="center"/>
        <w:rPr>
          <w:rFonts w:ascii="Lato" w:hAnsi="Lato"/>
          <w:bCs/>
          <w:i/>
          <w:sz w:val="20"/>
          <w:szCs w:val="22"/>
        </w:rPr>
      </w:pPr>
      <w:r w:rsidRPr="00DB35F5">
        <w:rPr>
          <w:rFonts w:ascii="Lato" w:hAnsi="Lato"/>
          <w:bCs/>
          <w:i/>
          <w:sz w:val="20"/>
          <w:szCs w:val="22"/>
        </w:rPr>
        <w:t>Źródło: Analizy własne</w:t>
      </w:r>
    </w:p>
    <w:p w:rsidR="003F0B29" w:rsidRPr="006B4D13" w:rsidRDefault="003F0B29" w:rsidP="006B024A">
      <w:pPr>
        <w:ind w:firstLine="0"/>
        <w:jc w:val="both"/>
        <w:rPr>
          <w:rFonts w:ascii="Lato" w:hAnsi="Lato"/>
        </w:rPr>
      </w:pPr>
    </w:p>
    <w:p w:rsidR="00510E6D" w:rsidRPr="006B4D13" w:rsidRDefault="00510E6D" w:rsidP="006B024A">
      <w:pPr>
        <w:ind w:firstLine="0"/>
        <w:jc w:val="both"/>
        <w:rPr>
          <w:rFonts w:ascii="Lato" w:hAnsi="Lato"/>
        </w:rPr>
      </w:pPr>
    </w:p>
    <w:p w:rsidR="006B024A" w:rsidRPr="006B4D13" w:rsidRDefault="006B4D13" w:rsidP="00907272">
      <w:pPr>
        <w:pStyle w:val="Nagwek2"/>
        <w:rPr>
          <w:rFonts w:ascii="Lato" w:hAnsi="Lato" w:cs="Times New Roman"/>
        </w:rPr>
      </w:pPr>
      <w:bookmarkStart w:id="451" w:name="_Toc272527122"/>
      <w:bookmarkStart w:id="452" w:name="_Toc336419332"/>
      <w:bookmarkStart w:id="453" w:name="_Toc336943584"/>
      <w:bookmarkStart w:id="454" w:name="_Toc68920168"/>
      <w:r w:rsidRPr="006B4D13">
        <w:rPr>
          <w:rFonts w:ascii="Lato" w:hAnsi="Lato" w:cs="Times New Roman"/>
        </w:rPr>
        <w:br w:type="page"/>
      </w:r>
      <w:bookmarkStart w:id="455" w:name="_Toc20218529"/>
      <w:r w:rsidR="006B024A" w:rsidRPr="006B4D13">
        <w:rPr>
          <w:rFonts w:ascii="Lato" w:hAnsi="Lato" w:cs="Times New Roman"/>
        </w:rPr>
        <w:lastRenderedPageBreak/>
        <w:t>Ogólne kierunki rozwoju i moder</w:t>
      </w:r>
      <w:r w:rsidR="00B7454B" w:rsidRPr="006B4D13">
        <w:rPr>
          <w:rFonts w:ascii="Lato" w:hAnsi="Lato" w:cs="Times New Roman"/>
        </w:rPr>
        <w:t>nizacji systemów zaopatrzenia w </w:t>
      </w:r>
      <w:r w:rsidR="006B024A" w:rsidRPr="006B4D13">
        <w:rPr>
          <w:rFonts w:ascii="Lato" w:hAnsi="Lato" w:cs="Times New Roman"/>
        </w:rPr>
        <w:t>energię</w:t>
      </w:r>
      <w:bookmarkEnd w:id="451"/>
      <w:bookmarkEnd w:id="452"/>
      <w:bookmarkEnd w:id="453"/>
      <w:r w:rsidR="005E3956" w:rsidRPr="006B4D13">
        <w:rPr>
          <w:rFonts w:ascii="Lato" w:hAnsi="Lato" w:cs="Times New Roman"/>
        </w:rPr>
        <w:t xml:space="preserve"> w</w:t>
      </w:r>
      <w:r w:rsidR="00120868" w:rsidRPr="006B4D13">
        <w:rPr>
          <w:rFonts w:ascii="Lato" w:hAnsi="Lato" w:cs="Times New Roman"/>
        </w:rPr>
        <w:t> </w:t>
      </w:r>
      <w:r w:rsidR="005E3956" w:rsidRPr="006B4D13">
        <w:rPr>
          <w:rFonts w:ascii="Lato" w:hAnsi="Lato" w:cs="Times New Roman"/>
        </w:rPr>
        <w:t xml:space="preserve">tym ocena warunków działania </w:t>
      </w:r>
      <w:r w:rsidR="00510E6D" w:rsidRPr="006B4D13">
        <w:rPr>
          <w:rFonts w:ascii="Lato" w:hAnsi="Lato" w:cs="Times New Roman"/>
        </w:rPr>
        <w:t xml:space="preserve">Gminy </w:t>
      </w:r>
      <w:r w:rsidRPr="006B4D13">
        <w:rPr>
          <w:rFonts w:ascii="Lato" w:hAnsi="Lato" w:cs="Times New Roman"/>
        </w:rPr>
        <w:t>Pabianice</w:t>
      </w:r>
      <w:bookmarkEnd w:id="455"/>
    </w:p>
    <w:bookmarkEnd w:id="454"/>
    <w:p w:rsidR="00510E6D" w:rsidRPr="00190EDC" w:rsidRDefault="00510E6D" w:rsidP="00281998">
      <w:pPr>
        <w:pStyle w:val="StylTekstpodstawowyArial11pt"/>
        <w:ind w:firstLine="709"/>
        <w:rPr>
          <w:rFonts w:ascii="Lato" w:hAnsi="Lato"/>
        </w:rPr>
      </w:pPr>
      <w:r w:rsidRPr="00190EDC">
        <w:rPr>
          <w:rFonts w:ascii="Lato" w:hAnsi="Lato"/>
        </w:rPr>
        <w:t xml:space="preserve">W oparciu o informacje zawarte w Planach Miejscowych oraz Studium Zagospodarowania Przestrzennego Gminy </w:t>
      </w:r>
      <w:r w:rsidR="006B4D13" w:rsidRPr="00190EDC">
        <w:rPr>
          <w:rFonts w:ascii="Lato" w:hAnsi="Lato"/>
        </w:rPr>
        <w:t>Pabianice</w:t>
      </w:r>
      <w:r w:rsidRPr="00190EDC">
        <w:rPr>
          <w:rFonts w:ascii="Lato" w:hAnsi="Lato"/>
        </w:rPr>
        <w:t xml:space="preserve"> dokonano analizy ch</w:t>
      </w:r>
      <w:r w:rsidR="00D03562">
        <w:rPr>
          <w:rFonts w:ascii="Lato" w:hAnsi="Lato"/>
        </w:rPr>
        <w:t>łonności terenów planowanych do </w:t>
      </w:r>
      <w:r w:rsidRPr="00190EDC">
        <w:rPr>
          <w:rFonts w:ascii="Lato" w:hAnsi="Lato"/>
        </w:rPr>
        <w:t xml:space="preserve">zagospodarowania na terenie gminy na potrzeby: mieszkalnictwa, usług-handlu oraz przemysłu. </w:t>
      </w:r>
      <w:r w:rsidR="00D03562">
        <w:rPr>
          <w:rFonts w:ascii="Lato" w:hAnsi="Lato"/>
        </w:rPr>
        <w:t>Dla </w:t>
      </w:r>
      <w:r w:rsidRPr="00190EDC">
        <w:rPr>
          <w:rFonts w:ascii="Lato" w:hAnsi="Lato"/>
        </w:rPr>
        <w:t>wyznaczonych terenów wskaźnikowo obliczono zapotrzebowanie na moc i zużycie energii elektrycznej oraz energii cieplnej. Najmniej pewnymi wskaźnikami są naturalnie wskaźniki dotyczące przedsiębiorstw, ze względu na bardzo szeroki wachlarz dziedzin przemysłu cechujących się skrajnie różnymi potrzebami energetycznymi. Przyjmując jednak założenia gminy o preferowaniu nowych inwestycji o niskim oddziaływaniu na środowisko przyrodnicze i</w:t>
      </w:r>
      <w:r w:rsidR="00A342D0">
        <w:rPr>
          <w:rFonts w:ascii="Lato" w:hAnsi="Lato"/>
        </w:rPr>
        <w:t xml:space="preserve"> </w:t>
      </w:r>
      <w:r w:rsidRPr="00190EDC">
        <w:rPr>
          <w:rFonts w:ascii="Lato" w:hAnsi="Lato"/>
        </w:rPr>
        <w:t>mieszkańców, należy się spodziewać, że rozwój infrastruktury budowlanej, produkcyjnej związany będzie z realizacją systemów energetycznych opartych o paliwa bardziej przyjazne środowisku niż węgiel i energię elektryczną. Nie można w tej chwili z całkowitą pewnością stwierdzić, jakie i</w:t>
      </w:r>
      <w:r w:rsidR="00A342D0">
        <w:rPr>
          <w:rFonts w:ascii="Lato" w:hAnsi="Lato"/>
        </w:rPr>
        <w:t xml:space="preserve"> </w:t>
      </w:r>
      <w:r w:rsidRPr="00190EDC">
        <w:rPr>
          <w:rFonts w:ascii="Lato" w:hAnsi="Lato"/>
        </w:rPr>
        <w:t xml:space="preserve">z jakim nasileniem dziedziny wytwórstwa będą się w Gminie </w:t>
      </w:r>
      <w:r w:rsidR="00190EDC" w:rsidRPr="00190EDC">
        <w:rPr>
          <w:rFonts w:ascii="Lato" w:hAnsi="Lato"/>
        </w:rPr>
        <w:t>Pabianice</w:t>
      </w:r>
      <w:r w:rsidRPr="00190EDC">
        <w:rPr>
          <w:rFonts w:ascii="Lato" w:hAnsi="Lato"/>
        </w:rPr>
        <w:t xml:space="preserve"> rozwijały w przyszłości. Ponadto struktura bilansu energetycznego gminy w dużym stopniu zależy od działalności największych przedsiębiorstw przemysłowych na terenie gminy.</w:t>
      </w:r>
    </w:p>
    <w:p w:rsidR="006B024A" w:rsidRPr="00190EDC" w:rsidRDefault="00510E6D" w:rsidP="00190EDC">
      <w:pPr>
        <w:pStyle w:val="StylTekstpodstawowyArial11pt"/>
        <w:rPr>
          <w:rFonts w:ascii="Lato" w:hAnsi="Lato"/>
        </w:rPr>
      </w:pPr>
      <w:r w:rsidRPr="00190EDC">
        <w:rPr>
          <w:rFonts w:ascii="Lato" w:hAnsi="Lato"/>
        </w:rPr>
        <w:t>W oparciu o dane statystyczne (</w:t>
      </w:r>
      <w:r w:rsidR="009B3C1C">
        <w:rPr>
          <w:rFonts w:ascii="Lato" w:hAnsi="Lato"/>
        </w:rPr>
        <w:t>liczba</w:t>
      </w:r>
      <w:r w:rsidRPr="00190EDC">
        <w:rPr>
          <w:rFonts w:ascii="Lato" w:hAnsi="Lato"/>
        </w:rPr>
        <w:t xml:space="preserve"> oddawanych mieszkań w latach </w:t>
      </w:r>
      <w:r w:rsidR="00190EDC" w:rsidRPr="00190EDC">
        <w:rPr>
          <w:rFonts w:ascii="Lato" w:hAnsi="Lato"/>
        </w:rPr>
        <w:t>2000</w:t>
      </w:r>
      <w:r w:rsidRPr="00190EDC">
        <w:rPr>
          <w:rFonts w:ascii="Lato" w:hAnsi="Lato"/>
        </w:rPr>
        <w:t>-201</w:t>
      </w:r>
      <w:r w:rsidR="00AF299E" w:rsidRPr="00190EDC">
        <w:rPr>
          <w:rFonts w:ascii="Lato" w:hAnsi="Lato"/>
        </w:rPr>
        <w:t>7</w:t>
      </w:r>
      <w:r w:rsidRPr="00190EDC">
        <w:rPr>
          <w:rFonts w:ascii="Lato" w:hAnsi="Lato"/>
        </w:rPr>
        <w:t xml:space="preserve">) i informacje zawarte w Studium Uwarunkowań i Kierunków Zagospodarowania Przestrzennego Gminy </w:t>
      </w:r>
      <w:r w:rsidR="00190EDC" w:rsidRPr="00190EDC">
        <w:rPr>
          <w:rFonts w:ascii="Lato" w:hAnsi="Lato"/>
        </w:rPr>
        <w:t>Pabianice</w:t>
      </w:r>
      <w:r w:rsidRPr="00190EDC">
        <w:rPr>
          <w:rFonts w:ascii="Lato" w:hAnsi="Lato"/>
        </w:rPr>
        <w:t xml:space="preserve"> wyspecyfikowano planowane do zagospodarowania obszary na terenie gminy.</w:t>
      </w:r>
      <w:r w:rsidR="00190EDC" w:rsidRPr="00190EDC">
        <w:rPr>
          <w:rFonts w:ascii="Lato" w:hAnsi="Lato"/>
        </w:rPr>
        <w:t xml:space="preserve"> </w:t>
      </w:r>
      <w:r w:rsidRPr="00190EDC">
        <w:rPr>
          <w:rFonts w:ascii="Lato" w:hAnsi="Lato"/>
        </w:rPr>
        <w:t>Daje to wielkości terenów pod zabudowę przedstawione w poniższej tabeli.</w:t>
      </w:r>
    </w:p>
    <w:p w:rsidR="00EB0426" w:rsidRPr="00D352C4" w:rsidRDefault="00EB0426" w:rsidP="001D1506">
      <w:pPr>
        <w:pStyle w:val="StylTekstpodstawowyArial11pt"/>
        <w:spacing w:line="240" w:lineRule="auto"/>
        <w:rPr>
          <w:rFonts w:ascii="Lato" w:hAnsi="Lato"/>
          <w:highlight w:val="yellow"/>
        </w:rPr>
      </w:pPr>
    </w:p>
    <w:p w:rsidR="00EB0426" w:rsidRPr="00190EDC" w:rsidRDefault="00EB0426" w:rsidP="00C54B26">
      <w:pPr>
        <w:pStyle w:val="StylTekstpodstawowyArial11pt"/>
        <w:spacing w:line="240" w:lineRule="auto"/>
        <w:rPr>
          <w:rFonts w:ascii="Lato" w:hAnsi="Lato"/>
          <w:b/>
          <w:color w:val="365F91"/>
          <w:sz w:val="20"/>
        </w:rPr>
      </w:pPr>
      <w:bookmarkStart w:id="456" w:name="_Toc20219201"/>
      <w:r w:rsidRPr="00190EDC">
        <w:rPr>
          <w:rFonts w:ascii="Lato" w:hAnsi="Lato"/>
          <w:b/>
          <w:bCs w:val="0"/>
          <w:color w:val="365F91"/>
          <w:sz w:val="20"/>
        </w:rPr>
        <w:t xml:space="preserve">Tabela </w:t>
      </w:r>
      <w:r w:rsidR="004042AE" w:rsidRPr="00190EDC">
        <w:rPr>
          <w:rFonts w:ascii="Lato" w:hAnsi="Lato"/>
          <w:b/>
          <w:bCs w:val="0"/>
          <w:color w:val="365F91"/>
          <w:sz w:val="20"/>
        </w:rPr>
        <w:fldChar w:fldCharType="begin"/>
      </w:r>
      <w:r w:rsidR="005430ED" w:rsidRPr="00190EDC">
        <w:rPr>
          <w:rFonts w:ascii="Lato" w:hAnsi="Lato"/>
          <w:b/>
          <w:bCs w:val="0"/>
          <w:color w:val="365F91"/>
          <w:sz w:val="20"/>
        </w:rPr>
        <w:instrText xml:space="preserve"> STYLEREF 1 \s </w:instrText>
      </w:r>
      <w:r w:rsidR="004042AE" w:rsidRPr="00190EDC">
        <w:rPr>
          <w:rFonts w:ascii="Lato" w:hAnsi="Lato"/>
          <w:b/>
          <w:bCs w:val="0"/>
          <w:color w:val="365F91"/>
          <w:sz w:val="20"/>
        </w:rPr>
        <w:fldChar w:fldCharType="separate"/>
      </w:r>
      <w:r w:rsidR="0040205B">
        <w:rPr>
          <w:rFonts w:ascii="Lato" w:hAnsi="Lato"/>
          <w:b/>
          <w:bCs w:val="0"/>
          <w:noProof/>
          <w:color w:val="365F91"/>
          <w:sz w:val="20"/>
        </w:rPr>
        <w:t>5</w:t>
      </w:r>
      <w:r w:rsidR="004042AE" w:rsidRPr="00190EDC">
        <w:rPr>
          <w:rFonts w:ascii="Lato" w:hAnsi="Lato"/>
          <w:b/>
          <w:bCs w:val="0"/>
          <w:color w:val="365F91"/>
          <w:sz w:val="20"/>
        </w:rPr>
        <w:fldChar w:fldCharType="end"/>
      </w:r>
      <w:r w:rsidR="005430ED" w:rsidRPr="00190EDC">
        <w:rPr>
          <w:rFonts w:ascii="Lato" w:hAnsi="Lato"/>
          <w:b/>
          <w:bCs w:val="0"/>
          <w:color w:val="365F91"/>
          <w:sz w:val="20"/>
        </w:rPr>
        <w:noBreakHyphen/>
      </w:r>
      <w:r w:rsidR="004042AE" w:rsidRPr="00190EDC">
        <w:rPr>
          <w:rFonts w:ascii="Lato" w:hAnsi="Lato"/>
          <w:b/>
          <w:bCs w:val="0"/>
          <w:color w:val="365F91"/>
          <w:sz w:val="20"/>
        </w:rPr>
        <w:fldChar w:fldCharType="begin"/>
      </w:r>
      <w:r w:rsidR="005430ED" w:rsidRPr="00190EDC">
        <w:rPr>
          <w:rFonts w:ascii="Lato" w:hAnsi="Lato"/>
          <w:b/>
          <w:bCs w:val="0"/>
          <w:color w:val="365F91"/>
          <w:sz w:val="20"/>
        </w:rPr>
        <w:instrText xml:space="preserve"> SEQ Tabela \* ARABIC \s 1 </w:instrText>
      </w:r>
      <w:r w:rsidR="004042AE" w:rsidRPr="00190EDC">
        <w:rPr>
          <w:rFonts w:ascii="Lato" w:hAnsi="Lato"/>
          <w:b/>
          <w:bCs w:val="0"/>
          <w:color w:val="365F91"/>
          <w:sz w:val="20"/>
        </w:rPr>
        <w:fldChar w:fldCharType="separate"/>
      </w:r>
      <w:r w:rsidR="0040205B">
        <w:rPr>
          <w:rFonts w:ascii="Lato" w:hAnsi="Lato"/>
          <w:b/>
          <w:bCs w:val="0"/>
          <w:noProof/>
          <w:color w:val="365F91"/>
          <w:sz w:val="20"/>
        </w:rPr>
        <w:t>12</w:t>
      </w:r>
      <w:r w:rsidR="004042AE" w:rsidRPr="00190EDC">
        <w:rPr>
          <w:rFonts w:ascii="Lato" w:hAnsi="Lato"/>
          <w:b/>
          <w:bCs w:val="0"/>
          <w:color w:val="365F91"/>
          <w:sz w:val="20"/>
        </w:rPr>
        <w:fldChar w:fldCharType="end"/>
      </w:r>
      <w:r w:rsidRPr="00190EDC">
        <w:rPr>
          <w:rFonts w:ascii="Lato" w:hAnsi="Lato"/>
          <w:b/>
          <w:color w:val="365F91"/>
          <w:sz w:val="20"/>
        </w:rPr>
        <w:t xml:space="preserve"> Zestawienie terenów przeznaczonych pod inwestycje (wg Studium Uwarunkowań i Kierunków Zagospodarowania Przestrzennego)</w:t>
      </w:r>
      <w:bookmarkEnd w:id="456"/>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2170"/>
        <w:gridCol w:w="2957"/>
        <w:gridCol w:w="2335"/>
        <w:gridCol w:w="2543"/>
      </w:tblGrid>
      <w:tr w:rsidR="009B3C1C" w:rsidRPr="00B308AC" w:rsidTr="00AA7FB4">
        <w:trPr>
          <w:trHeight w:val="300"/>
          <w:jc w:val="center"/>
        </w:trPr>
        <w:tc>
          <w:tcPr>
            <w:tcW w:w="5000" w:type="pct"/>
            <w:gridSpan w:val="4"/>
            <w:shd w:val="clear" w:color="000000" w:fill="DBE5F1"/>
            <w:noWrap/>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Powierzchnia obszarów</w:t>
            </w:r>
          </w:p>
        </w:tc>
      </w:tr>
      <w:tr w:rsidR="009B3C1C" w:rsidRPr="00B308AC" w:rsidTr="00AA7FB4">
        <w:trPr>
          <w:trHeight w:val="525"/>
          <w:jc w:val="center"/>
        </w:trPr>
        <w:tc>
          <w:tcPr>
            <w:tcW w:w="1084"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Razem</w:t>
            </w:r>
          </w:p>
        </w:tc>
        <w:tc>
          <w:tcPr>
            <w:tcW w:w="1478"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Mieszkalnictwo</w:t>
            </w:r>
          </w:p>
        </w:tc>
        <w:tc>
          <w:tcPr>
            <w:tcW w:w="1167"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Usługi</w:t>
            </w:r>
          </w:p>
        </w:tc>
        <w:tc>
          <w:tcPr>
            <w:tcW w:w="1271"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Przemysł</w:t>
            </w:r>
          </w:p>
        </w:tc>
      </w:tr>
      <w:tr w:rsidR="009B3C1C" w:rsidRPr="00B308AC" w:rsidTr="00AA7FB4">
        <w:trPr>
          <w:trHeight w:val="345"/>
          <w:jc w:val="center"/>
        </w:trPr>
        <w:tc>
          <w:tcPr>
            <w:tcW w:w="1084"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ha</w:t>
            </w:r>
          </w:p>
        </w:tc>
        <w:tc>
          <w:tcPr>
            <w:tcW w:w="1478"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ha</w:t>
            </w:r>
          </w:p>
        </w:tc>
        <w:tc>
          <w:tcPr>
            <w:tcW w:w="1167"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ha</w:t>
            </w:r>
          </w:p>
        </w:tc>
        <w:tc>
          <w:tcPr>
            <w:tcW w:w="1271"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ha</w:t>
            </w:r>
          </w:p>
        </w:tc>
      </w:tr>
      <w:tr w:rsidR="009B3C1C" w:rsidRPr="00B308AC" w:rsidTr="00AA7FB4">
        <w:trPr>
          <w:trHeight w:val="418"/>
          <w:jc w:val="center"/>
        </w:trPr>
        <w:tc>
          <w:tcPr>
            <w:tcW w:w="1084" w:type="pct"/>
            <w:tcBorders>
              <w:bottom w:val="single" w:sz="4" w:space="0" w:color="4F81BD"/>
            </w:tcBorders>
            <w:shd w:val="clear" w:color="auto" w:fill="auto"/>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101,7</w:t>
            </w:r>
          </w:p>
        </w:tc>
        <w:tc>
          <w:tcPr>
            <w:tcW w:w="1478" w:type="pct"/>
            <w:tcBorders>
              <w:bottom w:val="single" w:sz="4" w:space="0" w:color="4F81BD"/>
            </w:tcBorders>
            <w:shd w:val="clear" w:color="auto" w:fill="auto"/>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73,5</w:t>
            </w:r>
          </w:p>
        </w:tc>
        <w:tc>
          <w:tcPr>
            <w:tcW w:w="1167" w:type="pct"/>
            <w:tcBorders>
              <w:bottom w:val="single" w:sz="4" w:space="0" w:color="4F81BD"/>
            </w:tcBorders>
            <w:shd w:val="clear" w:color="auto" w:fill="auto"/>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20,2</w:t>
            </w:r>
          </w:p>
        </w:tc>
        <w:tc>
          <w:tcPr>
            <w:tcW w:w="1271" w:type="pct"/>
            <w:tcBorders>
              <w:bottom w:val="single" w:sz="4" w:space="0" w:color="4F81BD"/>
            </w:tcBorders>
            <w:shd w:val="clear" w:color="auto" w:fill="auto"/>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8,0</w:t>
            </w:r>
          </w:p>
        </w:tc>
      </w:tr>
      <w:tr w:rsidR="009B3C1C" w:rsidRPr="00B308AC" w:rsidTr="00AA7FB4">
        <w:trPr>
          <w:trHeight w:val="330"/>
          <w:jc w:val="center"/>
        </w:trPr>
        <w:tc>
          <w:tcPr>
            <w:tcW w:w="5000" w:type="pct"/>
            <w:gridSpan w:val="4"/>
            <w:shd w:val="clear" w:color="000000" w:fill="DBE5F1"/>
            <w:noWrap/>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Szacunkowa powierzchnia użytkowa budynków</w:t>
            </w:r>
          </w:p>
        </w:tc>
      </w:tr>
      <w:tr w:rsidR="009B3C1C" w:rsidRPr="00B308AC" w:rsidTr="00AA7FB4">
        <w:trPr>
          <w:trHeight w:val="597"/>
          <w:jc w:val="center"/>
        </w:trPr>
        <w:tc>
          <w:tcPr>
            <w:tcW w:w="1084"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Razem</w:t>
            </w:r>
          </w:p>
        </w:tc>
        <w:tc>
          <w:tcPr>
            <w:tcW w:w="1478"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Mieszkalnictwo</w:t>
            </w:r>
          </w:p>
        </w:tc>
        <w:tc>
          <w:tcPr>
            <w:tcW w:w="1167"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Usługi</w:t>
            </w:r>
          </w:p>
        </w:tc>
        <w:tc>
          <w:tcPr>
            <w:tcW w:w="1271"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Przemysł</w:t>
            </w:r>
          </w:p>
        </w:tc>
      </w:tr>
      <w:tr w:rsidR="009B3C1C" w:rsidRPr="00B308AC" w:rsidTr="00AA7FB4">
        <w:trPr>
          <w:trHeight w:val="280"/>
          <w:jc w:val="center"/>
        </w:trPr>
        <w:tc>
          <w:tcPr>
            <w:tcW w:w="1084"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m</w:t>
            </w:r>
            <w:r w:rsidRPr="00B308AC">
              <w:rPr>
                <w:rFonts w:ascii="Lato" w:hAnsi="Lato"/>
                <w:color w:val="365F91"/>
                <w:sz w:val="20"/>
                <w:szCs w:val="20"/>
                <w:vertAlign w:val="superscript"/>
              </w:rPr>
              <w:t>2</w:t>
            </w:r>
          </w:p>
        </w:tc>
        <w:tc>
          <w:tcPr>
            <w:tcW w:w="1478"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m</w:t>
            </w:r>
            <w:r w:rsidRPr="00B308AC">
              <w:rPr>
                <w:rFonts w:ascii="Lato" w:hAnsi="Lato"/>
                <w:color w:val="365F91"/>
                <w:sz w:val="20"/>
                <w:szCs w:val="20"/>
                <w:vertAlign w:val="superscript"/>
              </w:rPr>
              <w:t>2</w:t>
            </w:r>
          </w:p>
        </w:tc>
        <w:tc>
          <w:tcPr>
            <w:tcW w:w="1167"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m</w:t>
            </w:r>
            <w:r w:rsidRPr="00B308AC">
              <w:rPr>
                <w:rFonts w:ascii="Lato" w:hAnsi="Lato"/>
                <w:color w:val="365F91"/>
                <w:sz w:val="20"/>
                <w:szCs w:val="20"/>
                <w:vertAlign w:val="superscript"/>
              </w:rPr>
              <w:t>2</w:t>
            </w:r>
          </w:p>
        </w:tc>
        <w:tc>
          <w:tcPr>
            <w:tcW w:w="1271" w:type="pct"/>
            <w:shd w:val="clear" w:color="000000" w:fill="DBE5F1"/>
            <w:vAlign w:val="center"/>
            <w:hideMark/>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m</w:t>
            </w:r>
            <w:r w:rsidRPr="00B308AC">
              <w:rPr>
                <w:rFonts w:ascii="Lato" w:hAnsi="Lato"/>
                <w:color w:val="365F91"/>
                <w:sz w:val="20"/>
                <w:szCs w:val="20"/>
                <w:vertAlign w:val="superscript"/>
              </w:rPr>
              <w:t>2</w:t>
            </w:r>
          </w:p>
        </w:tc>
      </w:tr>
      <w:tr w:rsidR="009B3C1C" w:rsidRPr="00D352C4" w:rsidTr="00AA7FB4">
        <w:trPr>
          <w:trHeight w:val="543"/>
          <w:jc w:val="center"/>
        </w:trPr>
        <w:tc>
          <w:tcPr>
            <w:tcW w:w="1084" w:type="pct"/>
            <w:shd w:val="clear" w:color="auto" w:fill="auto"/>
            <w:noWrap/>
            <w:vAlign w:val="center"/>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152 581</w:t>
            </w:r>
          </w:p>
        </w:tc>
        <w:tc>
          <w:tcPr>
            <w:tcW w:w="1478" w:type="pct"/>
            <w:shd w:val="clear" w:color="auto" w:fill="auto"/>
            <w:noWrap/>
            <w:vAlign w:val="center"/>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105 008</w:t>
            </w:r>
          </w:p>
        </w:tc>
        <w:tc>
          <w:tcPr>
            <w:tcW w:w="1167" w:type="pct"/>
            <w:shd w:val="clear" w:color="auto" w:fill="auto"/>
            <w:noWrap/>
            <w:vAlign w:val="center"/>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7 723</w:t>
            </w:r>
          </w:p>
        </w:tc>
        <w:tc>
          <w:tcPr>
            <w:tcW w:w="1271" w:type="pct"/>
            <w:shd w:val="clear" w:color="auto" w:fill="auto"/>
            <w:noWrap/>
            <w:vAlign w:val="center"/>
          </w:tcPr>
          <w:p w:rsidR="009B3C1C" w:rsidRPr="00B308AC" w:rsidRDefault="009B3C1C" w:rsidP="00AA7FB4">
            <w:pPr>
              <w:spacing w:line="240" w:lineRule="auto"/>
              <w:ind w:firstLine="0"/>
              <w:jc w:val="center"/>
              <w:rPr>
                <w:rFonts w:ascii="Lato" w:hAnsi="Lato"/>
                <w:color w:val="365F91"/>
                <w:sz w:val="20"/>
                <w:szCs w:val="20"/>
              </w:rPr>
            </w:pPr>
            <w:r w:rsidRPr="00B308AC">
              <w:rPr>
                <w:rFonts w:ascii="Lato" w:hAnsi="Lato"/>
                <w:color w:val="365F91"/>
                <w:sz w:val="20"/>
                <w:szCs w:val="20"/>
              </w:rPr>
              <w:t>39 850</w:t>
            </w:r>
          </w:p>
        </w:tc>
      </w:tr>
    </w:tbl>
    <w:p w:rsidR="00833902" w:rsidRDefault="00833902" w:rsidP="00833902">
      <w:pPr>
        <w:suppressAutoHyphens/>
        <w:ind w:firstLine="0"/>
        <w:jc w:val="center"/>
        <w:rPr>
          <w:rFonts w:ascii="Lato" w:hAnsi="Lato"/>
          <w:bCs/>
          <w:i/>
          <w:sz w:val="20"/>
          <w:szCs w:val="22"/>
        </w:rPr>
      </w:pPr>
      <w:r w:rsidRPr="00DB35F5">
        <w:rPr>
          <w:rFonts w:ascii="Lato" w:hAnsi="Lato"/>
          <w:bCs/>
          <w:i/>
          <w:sz w:val="20"/>
          <w:szCs w:val="22"/>
        </w:rPr>
        <w:t>Źródło: Analizy własne</w:t>
      </w:r>
    </w:p>
    <w:p w:rsidR="00EB0426" w:rsidRPr="00D352C4" w:rsidRDefault="00EB0426" w:rsidP="006B024A">
      <w:pPr>
        <w:pStyle w:val="StylTekstpodstawowyArial11pt"/>
        <w:rPr>
          <w:rFonts w:ascii="Lato" w:hAnsi="Lato"/>
          <w:highlight w:val="yellow"/>
        </w:rPr>
      </w:pPr>
    </w:p>
    <w:p w:rsidR="00BA6EB1" w:rsidRPr="00190EDC" w:rsidRDefault="00BA6EB1" w:rsidP="00281998">
      <w:pPr>
        <w:pStyle w:val="StylTekstpodstawowyArial11pt"/>
        <w:ind w:firstLine="709"/>
        <w:rPr>
          <w:rFonts w:ascii="Lato" w:hAnsi="Lato"/>
        </w:rPr>
      </w:pPr>
      <w:r w:rsidRPr="00190EDC">
        <w:rPr>
          <w:rFonts w:ascii="Lato" w:hAnsi="Lato"/>
        </w:rPr>
        <w:t>Obszary te przeanalizowano pod kątem potrz</w:t>
      </w:r>
      <w:r w:rsidR="00D03562">
        <w:rPr>
          <w:rFonts w:ascii="Lato" w:hAnsi="Lato"/>
        </w:rPr>
        <w:t>eb energetycznych, a wyniki dla </w:t>
      </w:r>
      <w:r w:rsidRPr="00190EDC">
        <w:rPr>
          <w:rFonts w:ascii="Lato" w:hAnsi="Lato"/>
        </w:rPr>
        <w:t xml:space="preserve">rekomendowanego scenariusza B przedstawiono w tabeli 5-13. </w:t>
      </w:r>
    </w:p>
    <w:p w:rsidR="00EB0426" w:rsidRPr="00190EDC" w:rsidRDefault="00EB0426" w:rsidP="006B024A">
      <w:pPr>
        <w:pStyle w:val="StylTekstpodstawowyArial11pt"/>
        <w:rPr>
          <w:rFonts w:ascii="Lato" w:hAnsi="Lato"/>
        </w:rPr>
      </w:pPr>
    </w:p>
    <w:p w:rsidR="009B3C1C" w:rsidRDefault="009B3C1C">
      <w:pPr>
        <w:spacing w:line="240" w:lineRule="auto"/>
        <w:ind w:firstLine="0"/>
        <w:rPr>
          <w:rFonts w:ascii="Lato" w:hAnsi="Lato"/>
          <w:b/>
          <w:bCs/>
          <w:color w:val="365F91"/>
          <w:sz w:val="20"/>
          <w:szCs w:val="20"/>
        </w:rPr>
      </w:pPr>
      <w:r>
        <w:rPr>
          <w:rFonts w:ascii="Lato" w:hAnsi="Lato"/>
          <w:b/>
          <w:bCs/>
          <w:color w:val="365F91"/>
        </w:rPr>
        <w:br w:type="page"/>
      </w:r>
    </w:p>
    <w:p w:rsidR="00267450" w:rsidRPr="00190EDC" w:rsidRDefault="00267450" w:rsidP="00C54B26">
      <w:pPr>
        <w:pStyle w:val="tabela"/>
        <w:widowControl/>
        <w:overflowPunct/>
        <w:autoSpaceDE/>
        <w:autoSpaceDN/>
        <w:adjustRightInd/>
        <w:spacing w:before="120" w:after="120" w:line="240" w:lineRule="auto"/>
        <w:ind w:firstLine="0"/>
        <w:textAlignment w:val="auto"/>
        <w:rPr>
          <w:rFonts w:ascii="Lato" w:hAnsi="Lato"/>
          <w:b/>
          <w:color w:val="365F91"/>
        </w:rPr>
      </w:pPr>
      <w:bookmarkStart w:id="457" w:name="_Toc20219202"/>
      <w:r w:rsidRPr="009B3C1C">
        <w:rPr>
          <w:rFonts w:ascii="Lato" w:hAnsi="Lato"/>
          <w:b/>
          <w:bCs/>
          <w:color w:val="365F91"/>
        </w:rPr>
        <w:lastRenderedPageBreak/>
        <w:t xml:space="preserve">Tabela </w:t>
      </w:r>
      <w:r w:rsidR="004042AE" w:rsidRPr="009B3C1C">
        <w:rPr>
          <w:rFonts w:ascii="Lato" w:hAnsi="Lato"/>
          <w:b/>
          <w:bCs/>
          <w:color w:val="365F91"/>
        </w:rPr>
        <w:fldChar w:fldCharType="begin"/>
      </w:r>
      <w:r w:rsidR="005430ED" w:rsidRPr="009B3C1C">
        <w:rPr>
          <w:rFonts w:ascii="Lato" w:hAnsi="Lato"/>
          <w:b/>
          <w:bCs/>
          <w:color w:val="365F91"/>
        </w:rPr>
        <w:instrText xml:space="preserve"> STYLEREF 1 \s </w:instrText>
      </w:r>
      <w:r w:rsidR="004042AE" w:rsidRPr="009B3C1C">
        <w:rPr>
          <w:rFonts w:ascii="Lato" w:hAnsi="Lato"/>
          <w:b/>
          <w:bCs/>
          <w:color w:val="365F91"/>
        </w:rPr>
        <w:fldChar w:fldCharType="separate"/>
      </w:r>
      <w:r w:rsidR="0040205B">
        <w:rPr>
          <w:rFonts w:ascii="Lato" w:hAnsi="Lato"/>
          <w:b/>
          <w:bCs/>
          <w:noProof/>
          <w:color w:val="365F91"/>
        </w:rPr>
        <w:t>5</w:t>
      </w:r>
      <w:r w:rsidR="004042AE" w:rsidRPr="009B3C1C">
        <w:rPr>
          <w:rFonts w:ascii="Lato" w:hAnsi="Lato"/>
          <w:b/>
          <w:bCs/>
          <w:color w:val="365F91"/>
        </w:rPr>
        <w:fldChar w:fldCharType="end"/>
      </w:r>
      <w:r w:rsidR="005430ED" w:rsidRPr="009B3C1C">
        <w:rPr>
          <w:rFonts w:ascii="Lato" w:hAnsi="Lato"/>
          <w:b/>
          <w:bCs/>
          <w:color w:val="365F91"/>
        </w:rPr>
        <w:noBreakHyphen/>
      </w:r>
      <w:r w:rsidR="004042AE" w:rsidRPr="009B3C1C">
        <w:rPr>
          <w:rFonts w:ascii="Lato" w:hAnsi="Lato"/>
          <w:b/>
          <w:bCs/>
          <w:color w:val="365F91"/>
        </w:rPr>
        <w:fldChar w:fldCharType="begin"/>
      </w:r>
      <w:r w:rsidR="005430ED" w:rsidRPr="009B3C1C">
        <w:rPr>
          <w:rFonts w:ascii="Lato" w:hAnsi="Lato"/>
          <w:b/>
          <w:bCs/>
          <w:color w:val="365F91"/>
        </w:rPr>
        <w:instrText xml:space="preserve"> SEQ Tabela \* ARABIC \s 1 </w:instrText>
      </w:r>
      <w:r w:rsidR="004042AE" w:rsidRPr="009B3C1C">
        <w:rPr>
          <w:rFonts w:ascii="Lato" w:hAnsi="Lato"/>
          <w:b/>
          <w:bCs/>
          <w:color w:val="365F91"/>
        </w:rPr>
        <w:fldChar w:fldCharType="separate"/>
      </w:r>
      <w:r w:rsidR="0040205B">
        <w:rPr>
          <w:rFonts w:ascii="Lato" w:hAnsi="Lato"/>
          <w:b/>
          <w:bCs/>
          <w:noProof/>
          <w:color w:val="365F91"/>
        </w:rPr>
        <w:t>13</w:t>
      </w:r>
      <w:r w:rsidR="004042AE" w:rsidRPr="009B3C1C">
        <w:rPr>
          <w:rFonts w:ascii="Lato" w:hAnsi="Lato"/>
          <w:b/>
          <w:bCs/>
          <w:color w:val="365F91"/>
        </w:rPr>
        <w:fldChar w:fldCharType="end"/>
      </w:r>
      <w:r w:rsidRPr="009B3C1C">
        <w:rPr>
          <w:rFonts w:ascii="Lato" w:hAnsi="Lato"/>
          <w:b/>
          <w:color w:val="365F91"/>
        </w:rPr>
        <w:t xml:space="preserve"> Sumaryczne zestawienie potrzeb energetycznych dla terenów przeznaczonych do zagospodarowania na terenie </w:t>
      </w:r>
      <w:r w:rsidR="00510E6D" w:rsidRPr="009B3C1C">
        <w:rPr>
          <w:rFonts w:ascii="Lato" w:hAnsi="Lato"/>
          <w:b/>
          <w:color w:val="365F91"/>
        </w:rPr>
        <w:t xml:space="preserve">Gminy </w:t>
      </w:r>
      <w:r w:rsidR="009B3C1C" w:rsidRPr="009B3C1C">
        <w:rPr>
          <w:rFonts w:ascii="Lato" w:hAnsi="Lato"/>
          <w:b/>
          <w:color w:val="365F91"/>
        </w:rPr>
        <w:t>Pabianice</w:t>
      </w:r>
      <w:r w:rsidRPr="009B3C1C">
        <w:rPr>
          <w:rFonts w:ascii="Lato" w:hAnsi="Lato"/>
          <w:b/>
          <w:color w:val="365F91"/>
        </w:rPr>
        <w:t xml:space="preserve"> - dla scenariusza </w:t>
      </w:r>
      <w:r w:rsidR="007E2138" w:rsidRPr="009B3C1C">
        <w:rPr>
          <w:rFonts w:ascii="Lato" w:hAnsi="Lato"/>
          <w:b/>
          <w:color w:val="365F91"/>
        </w:rPr>
        <w:t>B</w:t>
      </w:r>
      <w:bookmarkEnd w:id="457"/>
    </w:p>
    <w:tbl>
      <w:tblPr>
        <w:tblW w:w="5000" w:type="pct"/>
        <w:jc w:val="center"/>
        <w:tblCellMar>
          <w:left w:w="70" w:type="dxa"/>
          <w:right w:w="70" w:type="dxa"/>
        </w:tblCellMar>
        <w:tblLook w:val="04A0" w:firstRow="1" w:lastRow="0" w:firstColumn="1" w:lastColumn="0" w:noHBand="0" w:noVBand="1"/>
      </w:tblPr>
      <w:tblGrid>
        <w:gridCol w:w="3775"/>
        <w:gridCol w:w="1287"/>
        <w:gridCol w:w="1855"/>
        <w:gridCol w:w="1103"/>
        <w:gridCol w:w="1985"/>
      </w:tblGrid>
      <w:tr w:rsidR="009B3C1C" w:rsidRPr="00B308AC" w:rsidTr="00AA7FB4">
        <w:trPr>
          <w:trHeight w:val="525"/>
          <w:jc w:val="center"/>
        </w:trPr>
        <w:tc>
          <w:tcPr>
            <w:tcW w:w="1887" w:type="pct"/>
            <w:vMerge w:val="restar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Rodzaj inwestycji</w:t>
            </w:r>
          </w:p>
        </w:tc>
        <w:tc>
          <w:tcPr>
            <w:tcW w:w="1570" w:type="pct"/>
            <w:gridSpan w:val="2"/>
            <w:tcBorders>
              <w:top w:val="single" w:sz="4" w:space="0" w:color="4F81BD"/>
              <w:left w:val="nil"/>
              <w:bottom w:val="single" w:sz="4" w:space="0" w:color="4F81BD"/>
              <w:right w:val="single" w:sz="4" w:space="0" w:color="4F81BD"/>
            </w:tcBorders>
            <w:shd w:val="clear" w:color="000000" w:fill="DCE6F1"/>
            <w:vAlign w:val="center"/>
            <w:hideMark/>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Zapotrzebowanie na ciepło (ogrzewanie)</w:t>
            </w:r>
          </w:p>
        </w:tc>
        <w:tc>
          <w:tcPr>
            <w:tcW w:w="1543" w:type="pct"/>
            <w:gridSpan w:val="2"/>
            <w:tcBorders>
              <w:top w:val="single" w:sz="4" w:space="0" w:color="4F81BD"/>
              <w:left w:val="nil"/>
              <w:bottom w:val="single" w:sz="4" w:space="0" w:color="4F81BD"/>
              <w:right w:val="single" w:sz="4" w:space="0" w:color="4F81BD"/>
            </w:tcBorders>
            <w:shd w:val="clear" w:color="000000" w:fill="DCE6F1"/>
            <w:vAlign w:val="center"/>
            <w:hideMark/>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Zapotrzebowanie na energię elektryczną</w:t>
            </w:r>
          </w:p>
        </w:tc>
      </w:tr>
      <w:tr w:rsidR="009B3C1C" w:rsidRPr="00B308AC" w:rsidTr="00AA7FB4">
        <w:trPr>
          <w:trHeight w:val="315"/>
          <w:jc w:val="center"/>
        </w:trPr>
        <w:tc>
          <w:tcPr>
            <w:tcW w:w="1887" w:type="pct"/>
            <w:vMerge/>
            <w:tcBorders>
              <w:top w:val="single" w:sz="4" w:space="0" w:color="4F81BD"/>
              <w:left w:val="single" w:sz="4" w:space="0" w:color="4F81BD"/>
              <w:bottom w:val="single" w:sz="4" w:space="0" w:color="4F81BD"/>
              <w:right w:val="single" w:sz="4" w:space="0" w:color="4F81BD"/>
            </w:tcBorders>
            <w:vAlign w:val="center"/>
            <w:hideMark/>
          </w:tcPr>
          <w:p w:rsidR="009B3C1C" w:rsidRPr="00B308AC" w:rsidRDefault="009B3C1C" w:rsidP="00AA7FB4">
            <w:pPr>
              <w:spacing w:line="240" w:lineRule="auto"/>
              <w:ind w:firstLine="0"/>
              <w:rPr>
                <w:rFonts w:ascii="Lato" w:hAnsi="Lato"/>
                <w:color w:val="1F497D"/>
                <w:sz w:val="20"/>
                <w:szCs w:val="20"/>
              </w:rPr>
            </w:pPr>
          </w:p>
        </w:tc>
        <w:tc>
          <w:tcPr>
            <w:tcW w:w="643" w:type="pct"/>
            <w:tcBorders>
              <w:top w:val="nil"/>
              <w:left w:val="nil"/>
              <w:bottom w:val="single" w:sz="4" w:space="0" w:color="4F81BD"/>
              <w:right w:val="single" w:sz="4" w:space="0" w:color="4F81BD"/>
            </w:tcBorders>
            <w:shd w:val="clear" w:color="000000" w:fill="DCE6F1"/>
            <w:noWrap/>
            <w:vAlign w:val="center"/>
            <w:hideMark/>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MW</w:t>
            </w:r>
          </w:p>
        </w:tc>
        <w:tc>
          <w:tcPr>
            <w:tcW w:w="927" w:type="pct"/>
            <w:tcBorders>
              <w:top w:val="nil"/>
              <w:left w:val="nil"/>
              <w:bottom w:val="single" w:sz="4" w:space="0" w:color="4F81BD"/>
              <w:right w:val="single" w:sz="4" w:space="0" w:color="4F81BD"/>
            </w:tcBorders>
            <w:shd w:val="clear" w:color="000000" w:fill="DCE6F1"/>
            <w:noWrap/>
            <w:vAlign w:val="center"/>
            <w:hideMark/>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GJ/rok</w:t>
            </w:r>
          </w:p>
        </w:tc>
        <w:tc>
          <w:tcPr>
            <w:tcW w:w="551" w:type="pct"/>
            <w:tcBorders>
              <w:top w:val="nil"/>
              <w:left w:val="nil"/>
              <w:bottom w:val="single" w:sz="4" w:space="0" w:color="4F81BD"/>
              <w:right w:val="single" w:sz="4" w:space="0" w:color="4F81BD"/>
            </w:tcBorders>
            <w:shd w:val="clear" w:color="000000" w:fill="DCE6F1"/>
            <w:noWrap/>
            <w:vAlign w:val="center"/>
            <w:hideMark/>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MW</w:t>
            </w:r>
          </w:p>
        </w:tc>
        <w:tc>
          <w:tcPr>
            <w:tcW w:w="992" w:type="pct"/>
            <w:tcBorders>
              <w:top w:val="nil"/>
              <w:left w:val="nil"/>
              <w:bottom w:val="single" w:sz="4" w:space="0" w:color="4F81BD"/>
              <w:right w:val="single" w:sz="4" w:space="0" w:color="4F81BD"/>
            </w:tcBorders>
            <w:shd w:val="clear" w:color="000000" w:fill="DCE6F1"/>
            <w:noWrap/>
            <w:vAlign w:val="center"/>
            <w:hideMark/>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MWh/rok</w:t>
            </w:r>
          </w:p>
        </w:tc>
      </w:tr>
      <w:tr w:rsidR="009B3C1C" w:rsidRPr="00B308AC" w:rsidTr="00AA7FB4">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rsidR="009B3C1C" w:rsidRPr="00B308AC" w:rsidRDefault="009B3C1C" w:rsidP="00AA7FB4">
            <w:pPr>
              <w:spacing w:line="240" w:lineRule="auto"/>
              <w:ind w:firstLine="0"/>
              <w:rPr>
                <w:rFonts w:ascii="Lato" w:hAnsi="Lato"/>
                <w:color w:val="1F497D"/>
                <w:sz w:val="20"/>
                <w:szCs w:val="20"/>
              </w:rPr>
            </w:pPr>
            <w:r w:rsidRPr="00B308AC">
              <w:rPr>
                <w:rFonts w:ascii="Lato" w:hAnsi="Lato"/>
                <w:color w:val="1F497D"/>
                <w:sz w:val="20"/>
                <w:szCs w:val="20"/>
              </w:rPr>
              <w:t>Strefy mieszkaniowe</w:t>
            </w:r>
          </w:p>
        </w:tc>
        <w:tc>
          <w:tcPr>
            <w:tcW w:w="643"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5,25</w:t>
            </w:r>
          </w:p>
        </w:tc>
        <w:tc>
          <w:tcPr>
            <w:tcW w:w="927"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32 288,6</w:t>
            </w:r>
          </w:p>
        </w:tc>
        <w:tc>
          <w:tcPr>
            <w:tcW w:w="551"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1,51</w:t>
            </w:r>
          </w:p>
        </w:tc>
        <w:tc>
          <w:tcPr>
            <w:tcW w:w="992"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2 761,1</w:t>
            </w:r>
          </w:p>
        </w:tc>
      </w:tr>
      <w:tr w:rsidR="009B3C1C" w:rsidRPr="00B308AC" w:rsidTr="00AA7FB4">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rsidR="009B3C1C" w:rsidRPr="00B308AC" w:rsidRDefault="009B3C1C" w:rsidP="00AA7FB4">
            <w:pPr>
              <w:spacing w:line="240" w:lineRule="auto"/>
              <w:ind w:firstLine="0"/>
              <w:rPr>
                <w:rFonts w:ascii="Lato" w:hAnsi="Lato"/>
                <w:color w:val="1F497D"/>
                <w:sz w:val="20"/>
                <w:szCs w:val="20"/>
              </w:rPr>
            </w:pPr>
            <w:r w:rsidRPr="00B308AC">
              <w:rPr>
                <w:rFonts w:ascii="Lato" w:hAnsi="Lato"/>
                <w:color w:val="1F497D"/>
                <w:sz w:val="20"/>
                <w:szCs w:val="20"/>
              </w:rPr>
              <w:t>Strefy usługowe</w:t>
            </w:r>
          </w:p>
        </w:tc>
        <w:tc>
          <w:tcPr>
            <w:tcW w:w="643"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0,47</w:t>
            </w:r>
          </w:p>
        </w:tc>
        <w:tc>
          <w:tcPr>
            <w:tcW w:w="927"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2 411,0</w:t>
            </w:r>
          </w:p>
        </w:tc>
        <w:tc>
          <w:tcPr>
            <w:tcW w:w="551"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0,30</w:t>
            </w:r>
          </w:p>
        </w:tc>
        <w:tc>
          <w:tcPr>
            <w:tcW w:w="992"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347,3</w:t>
            </w:r>
          </w:p>
        </w:tc>
      </w:tr>
      <w:tr w:rsidR="009B3C1C" w:rsidRPr="00B308AC" w:rsidTr="00AA7FB4">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vAlign w:val="center"/>
            <w:hideMark/>
          </w:tcPr>
          <w:p w:rsidR="009B3C1C" w:rsidRPr="00B308AC" w:rsidRDefault="009B3C1C" w:rsidP="00AA7FB4">
            <w:pPr>
              <w:spacing w:line="240" w:lineRule="auto"/>
              <w:ind w:firstLine="0"/>
              <w:rPr>
                <w:rFonts w:ascii="Lato" w:hAnsi="Lato"/>
                <w:color w:val="1F497D"/>
                <w:sz w:val="20"/>
                <w:szCs w:val="20"/>
              </w:rPr>
            </w:pPr>
            <w:r w:rsidRPr="00B308AC">
              <w:rPr>
                <w:rFonts w:ascii="Lato" w:hAnsi="Lato"/>
                <w:color w:val="1F497D"/>
                <w:sz w:val="20"/>
                <w:szCs w:val="20"/>
              </w:rPr>
              <w:t>Strefy produkcyjne</w:t>
            </w:r>
          </w:p>
        </w:tc>
        <w:tc>
          <w:tcPr>
            <w:tcW w:w="643"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1,43</w:t>
            </w:r>
          </w:p>
        </w:tc>
        <w:tc>
          <w:tcPr>
            <w:tcW w:w="927"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6 313,9</w:t>
            </w:r>
          </w:p>
        </w:tc>
        <w:tc>
          <w:tcPr>
            <w:tcW w:w="551"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1,26</w:t>
            </w:r>
          </w:p>
        </w:tc>
        <w:tc>
          <w:tcPr>
            <w:tcW w:w="992"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1 268,3</w:t>
            </w:r>
          </w:p>
        </w:tc>
      </w:tr>
      <w:tr w:rsidR="009B3C1C" w:rsidRPr="00D352C4" w:rsidTr="00AA7FB4">
        <w:trPr>
          <w:trHeight w:val="315"/>
          <w:jc w:val="center"/>
        </w:trPr>
        <w:tc>
          <w:tcPr>
            <w:tcW w:w="1887" w:type="pct"/>
            <w:tcBorders>
              <w:top w:val="nil"/>
              <w:left w:val="single" w:sz="4" w:space="0" w:color="4F81BD"/>
              <w:bottom w:val="single" w:sz="4" w:space="0" w:color="4F81BD"/>
              <w:right w:val="single" w:sz="4" w:space="0" w:color="4F81BD"/>
            </w:tcBorders>
            <w:shd w:val="clear" w:color="auto" w:fill="auto"/>
            <w:noWrap/>
            <w:vAlign w:val="center"/>
            <w:hideMark/>
          </w:tcPr>
          <w:p w:rsidR="009B3C1C" w:rsidRPr="00B308AC" w:rsidRDefault="009B3C1C" w:rsidP="00AA7FB4">
            <w:pPr>
              <w:spacing w:line="240" w:lineRule="auto"/>
              <w:ind w:firstLine="0"/>
              <w:jc w:val="center"/>
              <w:rPr>
                <w:rFonts w:ascii="Lato" w:hAnsi="Lato"/>
                <w:b/>
                <w:bCs/>
                <w:color w:val="1F497D"/>
                <w:sz w:val="20"/>
                <w:szCs w:val="20"/>
              </w:rPr>
            </w:pPr>
            <w:r w:rsidRPr="00B308AC">
              <w:rPr>
                <w:rFonts w:ascii="Lato" w:hAnsi="Lato"/>
                <w:b/>
                <w:bCs/>
                <w:color w:val="1F497D"/>
                <w:sz w:val="20"/>
                <w:szCs w:val="20"/>
              </w:rPr>
              <w:t>SUMA</w:t>
            </w:r>
          </w:p>
        </w:tc>
        <w:tc>
          <w:tcPr>
            <w:tcW w:w="643"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7,15</w:t>
            </w:r>
          </w:p>
        </w:tc>
        <w:tc>
          <w:tcPr>
            <w:tcW w:w="927"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41 013,6</w:t>
            </w:r>
          </w:p>
        </w:tc>
        <w:tc>
          <w:tcPr>
            <w:tcW w:w="551"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3,07</w:t>
            </w:r>
          </w:p>
        </w:tc>
        <w:tc>
          <w:tcPr>
            <w:tcW w:w="992" w:type="pct"/>
            <w:tcBorders>
              <w:top w:val="nil"/>
              <w:left w:val="nil"/>
              <w:bottom w:val="single" w:sz="4" w:space="0" w:color="4F81BD"/>
              <w:right w:val="single" w:sz="4" w:space="0" w:color="4F81BD"/>
            </w:tcBorders>
            <w:shd w:val="clear" w:color="auto" w:fill="auto"/>
            <w:noWrap/>
            <w:vAlign w:val="center"/>
          </w:tcPr>
          <w:p w:rsidR="009B3C1C" w:rsidRPr="00B308AC" w:rsidRDefault="009B3C1C" w:rsidP="00AA7FB4">
            <w:pPr>
              <w:spacing w:line="240" w:lineRule="auto"/>
              <w:ind w:firstLine="0"/>
              <w:jc w:val="center"/>
              <w:rPr>
                <w:rFonts w:ascii="Lato" w:hAnsi="Lato"/>
                <w:color w:val="1F497D"/>
                <w:sz w:val="20"/>
                <w:szCs w:val="20"/>
              </w:rPr>
            </w:pPr>
            <w:r w:rsidRPr="00B308AC">
              <w:rPr>
                <w:rFonts w:ascii="Lato" w:hAnsi="Lato"/>
                <w:color w:val="1F497D"/>
                <w:sz w:val="20"/>
                <w:szCs w:val="20"/>
              </w:rPr>
              <w:t>4 376,7</w:t>
            </w:r>
          </w:p>
        </w:tc>
      </w:tr>
    </w:tbl>
    <w:p w:rsidR="00833902" w:rsidRDefault="00833902" w:rsidP="00833902">
      <w:pPr>
        <w:suppressAutoHyphens/>
        <w:ind w:firstLine="0"/>
        <w:jc w:val="center"/>
        <w:rPr>
          <w:rFonts w:ascii="Lato" w:hAnsi="Lato"/>
          <w:bCs/>
          <w:i/>
          <w:sz w:val="20"/>
          <w:szCs w:val="22"/>
        </w:rPr>
      </w:pPr>
      <w:r w:rsidRPr="00DB35F5">
        <w:rPr>
          <w:rFonts w:ascii="Lato" w:hAnsi="Lato"/>
          <w:bCs/>
          <w:i/>
          <w:sz w:val="20"/>
          <w:szCs w:val="22"/>
        </w:rPr>
        <w:t>Źródło: Analizy własne</w:t>
      </w:r>
    </w:p>
    <w:p w:rsidR="00267450" w:rsidRPr="00D352C4" w:rsidRDefault="00267450" w:rsidP="006B024A">
      <w:pPr>
        <w:pStyle w:val="StylTekstpodstawowyArial11pt"/>
        <w:rPr>
          <w:rFonts w:ascii="Lato" w:hAnsi="Lato"/>
          <w:highlight w:val="yellow"/>
        </w:rPr>
      </w:pPr>
    </w:p>
    <w:p w:rsidR="00510E6D" w:rsidRPr="00190EDC" w:rsidRDefault="00510E6D" w:rsidP="00510E6D">
      <w:pPr>
        <w:pStyle w:val="StylTekstpodstawowyArial11pt"/>
        <w:rPr>
          <w:rFonts w:ascii="Lato" w:hAnsi="Lato"/>
        </w:rPr>
      </w:pPr>
      <w:r w:rsidRPr="00190EDC">
        <w:rPr>
          <w:rFonts w:ascii="Lato" w:hAnsi="Lato"/>
        </w:rPr>
        <w:t>Wielkość prognozowanego zapotrzebowania na nośniki energii oparto o:</w:t>
      </w:r>
    </w:p>
    <w:p w:rsidR="00510E6D" w:rsidRPr="003F7B25" w:rsidRDefault="00510E6D" w:rsidP="003F7B25">
      <w:pPr>
        <w:pStyle w:val="Tekstpodstawowy"/>
        <w:numPr>
          <w:ilvl w:val="0"/>
          <w:numId w:val="83"/>
        </w:numPr>
        <w:tabs>
          <w:tab w:val="clear" w:pos="360"/>
        </w:tabs>
        <w:ind w:left="709" w:hanging="425"/>
        <w:rPr>
          <w:rFonts w:ascii="Lato" w:hAnsi="Lato" w:cs="Times New Roman"/>
        </w:rPr>
      </w:pPr>
      <w:r w:rsidRPr="003F7B25">
        <w:rPr>
          <w:rFonts w:ascii="Lato" w:hAnsi="Lato" w:cs="Times New Roman"/>
        </w:rPr>
        <w:t>najnowsze rozporządzenia i normy dotyczące izolacyjności przegród i jednostkowego zapotrzebowania ciepła,</w:t>
      </w:r>
    </w:p>
    <w:p w:rsidR="00510E6D" w:rsidRPr="003F7B25" w:rsidRDefault="00510E6D" w:rsidP="003F7B25">
      <w:pPr>
        <w:pStyle w:val="Tekstpodstawowy"/>
        <w:numPr>
          <w:ilvl w:val="0"/>
          <w:numId w:val="83"/>
        </w:numPr>
        <w:tabs>
          <w:tab w:val="clear" w:pos="360"/>
        </w:tabs>
        <w:ind w:left="709" w:hanging="425"/>
        <w:rPr>
          <w:rFonts w:ascii="Lato" w:hAnsi="Lato" w:cs="Times New Roman"/>
        </w:rPr>
      </w:pPr>
      <w:r w:rsidRPr="003F7B25">
        <w:rPr>
          <w:rFonts w:ascii="Lato" w:hAnsi="Lato" w:cs="Times New Roman"/>
        </w:rPr>
        <w:t>aktualne i prognozowane trendy użytkowania energii.</w:t>
      </w:r>
    </w:p>
    <w:p w:rsidR="00510E6D" w:rsidRPr="00190EDC" w:rsidRDefault="00510E6D" w:rsidP="00510E6D">
      <w:pPr>
        <w:pStyle w:val="StylTekstpodstawowyArial11pt"/>
        <w:rPr>
          <w:rFonts w:ascii="Lato" w:hAnsi="Lato"/>
        </w:rPr>
      </w:pPr>
    </w:p>
    <w:p w:rsidR="00510E6D" w:rsidRPr="00190EDC" w:rsidRDefault="00510E6D" w:rsidP="00510E6D">
      <w:pPr>
        <w:pStyle w:val="StylTekstpodstawowyArial11pt"/>
        <w:rPr>
          <w:rFonts w:ascii="Lato" w:hAnsi="Lato"/>
        </w:rPr>
      </w:pPr>
      <w:r w:rsidRPr="00190EDC">
        <w:rPr>
          <w:rFonts w:ascii="Lato" w:hAnsi="Lato"/>
        </w:rPr>
        <w:t>Sposób zasilania rozpatrywanych terenów planuje się następująco:</w:t>
      </w:r>
    </w:p>
    <w:p w:rsidR="00C53C45" w:rsidRPr="00190EDC" w:rsidRDefault="00C53C45" w:rsidP="00510E6D">
      <w:pPr>
        <w:pStyle w:val="StylTekstpodstawowyArial11pt"/>
        <w:rPr>
          <w:rFonts w:ascii="Lato" w:hAnsi="Lato"/>
        </w:rPr>
      </w:pPr>
    </w:p>
    <w:p w:rsidR="00510E6D" w:rsidRPr="00190EDC" w:rsidRDefault="00510E6D" w:rsidP="00510E6D">
      <w:pPr>
        <w:pStyle w:val="StylTekstpodstawowyArial11pt"/>
        <w:rPr>
          <w:rFonts w:ascii="Lato" w:hAnsi="Lato"/>
          <w:i/>
          <w:u w:val="single"/>
        </w:rPr>
      </w:pPr>
      <w:r w:rsidRPr="00190EDC">
        <w:rPr>
          <w:rFonts w:ascii="Lato" w:hAnsi="Lato"/>
          <w:i/>
          <w:u w:val="single"/>
        </w:rPr>
        <w:t>I. W zakresie system</w:t>
      </w:r>
      <w:r w:rsidR="008B17BA" w:rsidRPr="00190EDC">
        <w:rPr>
          <w:rFonts w:ascii="Lato" w:hAnsi="Lato"/>
          <w:i/>
          <w:u w:val="single"/>
        </w:rPr>
        <w:t>u</w:t>
      </w:r>
      <w:r w:rsidRPr="00190EDC">
        <w:rPr>
          <w:rFonts w:ascii="Lato" w:hAnsi="Lato"/>
          <w:i/>
          <w:u w:val="single"/>
        </w:rPr>
        <w:t xml:space="preserve"> zaopatrzenia w energię cieplną:</w:t>
      </w:r>
    </w:p>
    <w:p w:rsidR="00510E6D" w:rsidRPr="00190EDC" w:rsidRDefault="00510E6D" w:rsidP="00510E6D">
      <w:pPr>
        <w:pStyle w:val="StylTekstpodstawowyArial11pt"/>
        <w:rPr>
          <w:rFonts w:ascii="Lato" w:hAnsi="Lato"/>
        </w:rPr>
      </w:pPr>
      <w:r w:rsidRPr="00190EDC">
        <w:rPr>
          <w:rFonts w:ascii="Lato" w:hAnsi="Lato"/>
        </w:rPr>
        <w:t>1. dopuszcza się:</w:t>
      </w:r>
    </w:p>
    <w:p w:rsidR="00510E6D" w:rsidRPr="00190EDC" w:rsidRDefault="00510E6D" w:rsidP="00AB431C">
      <w:pPr>
        <w:pStyle w:val="StylTekstpodstawowyArial11pt"/>
        <w:numPr>
          <w:ilvl w:val="0"/>
          <w:numId w:val="76"/>
        </w:numPr>
        <w:rPr>
          <w:rFonts w:ascii="Lato" w:hAnsi="Lato"/>
        </w:rPr>
      </w:pPr>
      <w:r w:rsidRPr="00190EDC">
        <w:rPr>
          <w:rFonts w:ascii="Lato" w:hAnsi="Lato"/>
        </w:rPr>
        <w:t>stosowanie odnawialnych źródeł energii o mocy nieprzekraczającej 100kW: pompy ciepła, kolektory słoneczne, systemy fotowoltaiczne,</w:t>
      </w:r>
    </w:p>
    <w:p w:rsidR="00510E6D" w:rsidRPr="00190EDC" w:rsidRDefault="00510E6D" w:rsidP="00AB431C">
      <w:pPr>
        <w:pStyle w:val="StylTekstpodstawowyArial11pt"/>
        <w:numPr>
          <w:ilvl w:val="0"/>
          <w:numId w:val="76"/>
        </w:numPr>
        <w:rPr>
          <w:rFonts w:ascii="Lato" w:hAnsi="Lato"/>
        </w:rPr>
      </w:pPr>
      <w:r w:rsidRPr="00190EDC">
        <w:rPr>
          <w:rFonts w:ascii="Lato" w:hAnsi="Lato"/>
        </w:rPr>
        <w:t>stosowanie indywidualnych instalacji centralnego ogrzewania typu: ogrzewanie elektryczne, kotłowanie gazowe lub olejowe,</w:t>
      </w:r>
    </w:p>
    <w:p w:rsidR="00510E6D" w:rsidRPr="00190EDC" w:rsidRDefault="00510E6D" w:rsidP="00AB431C">
      <w:pPr>
        <w:pStyle w:val="StylTekstpodstawowyArial11pt"/>
        <w:numPr>
          <w:ilvl w:val="0"/>
          <w:numId w:val="76"/>
        </w:numPr>
        <w:rPr>
          <w:rFonts w:ascii="Lato" w:hAnsi="Lato"/>
        </w:rPr>
      </w:pPr>
      <w:r w:rsidRPr="00190EDC">
        <w:rPr>
          <w:rFonts w:ascii="Lato" w:hAnsi="Lato"/>
        </w:rPr>
        <w:t>stosowanie indywidualnych instalacji centralnego ogrzewania na paliwa stałe (w tym biomasy) o sprawności co najmniej 80% i wskaźnikach emisji (ilość zanieczyszczeń w suchych gazach odlotowych w warunkach normalnych, przy zawartości tlenu 10%): tlenku węgla nie większym niż 1000 mg/m</w:t>
      </w:r>
      <w:r w:rsidRPr="00190EDC">
        <w:rPr>
          <w:rFonts w:ascii="Lato" w:hAnsi="Lato"/>
          <w:vertAlign w:val="superscript"/>
        </w:rPr>
        <w:t>3</w:t>
      </w:r>
      <w:r w:rsidRPr="00190EDC">
        <w:rPr>
          <w:rFonts w:ascii="Lato" w:hAnsi="Lato"/>
        </w:rPr>
        <w:t xml:space="preserve"> oraz pyłu nie większym niż 60 mg/m</w:t>
      </w:r>
      <w:r w:rsidRPr="00190EDC">
        <w:rPr>
          <w:rFonts w:ascii="Lato" w:hAnsi="Lato"/>
          <w:vertAlign w:val="superscript"/>
        </w:rPr>
        <w:t>3</w:t>
      </w:r>
      <w:r w:rsidRPr="00190EDC">
        <w:rPr>
          <w:rFonts w:ascii="Lato" w:hAnsi="Lato"/>
        </w:rPr>
        <w:t>;</w:t>
      </w:r>
    </w:p>
    <w:p w:rsidR="00510E6D" w:rsidRPr="00190EDC" w:rsidRDefault="00510E6D" w:rsidP="00510E6D">
      <w:pPr>
        <w:pStyle w:val="StylTekstpodstawowyArial11pt"/>
        <w:rPr>
          <w:rFonts w:ascii="Lato" w:hAnsi="Lato"/>
        </w:rPr>
      </w:pPr>
      <w:r w:rsidRPr="00190EDC">
        <w:rPr>
          <w:rFonts w:ascii="Lato" w:hAnsi="Lato"/>
        </w:rPr>
        <w:t>2. jako dodatkowe źródło ogrzewania do ogrzewania podstawowego - dopuszczone są do stosowania kominki na drewno z dotrzymaniem wskaźników emisji jak dla instalacji centralnego ogrzewania na paliwa stałe.</w:t>
      </w:r>
    </w:p>
    <w:p w:rsidR="00510E6D" w:rsidRPr="00190EDC" w:rsidRDefault="00510E6D" w:rsidP="00510E6D">
      <w:pPr>
        <w:pStyle w:val="StylTekstpodstawowyArial11pt"/>
        <w:rPr>
          <w:rFonts w:ascii="Lato" w:hAnsi="Lato"/>
        </w:rPr>
      </w:pPr>
    </w:p>
    <w:p w:rsidR="00510E6D" w:rsidRPr="00190EDC" w:rsidRDefault="00510E6D" w:rsidP="00510E6D">
      <w:pPr>
        <w:pStyle w:val="StylTekstpodstawowyArial11pt"/>
        <w:rPr>
          <w:rFonts w:ascii="Lato" w:hAnsi="Lato"/>
          <w:u w:val="single"/>
        </w:rPr>
      </w:pPr>
      <w:r w:rsidRPr="00190EDC">
        <w:rPr>
          <w:rFonts w:ascii="Lato" w:hAnsi="Lato"/>
          <w:i/>
          <w:iCs/>
          <w:u w:val="single"/>
        </w:rPr>
        <w:t>II. W zakresie systemu pokrycia potrzeb bytowych</w:t>
      </w:r>
      <w:r w:rsidR="00696242" w:rsidRPr="00190EDC">
        <w:rPr>
          <w:rFonts w:ascii="Lato" w:hAnsi="Lato"/>
          <w:i/>
          <w:iCs/>
          <w:u w:val="single"/>
        </w:rPr>
        <w:t xml:space="preserve"> (przygotowywanie posiłków):</w:t>
      </w:r>
      <w:r w:rsidRPr="00190EDC">
        <w:rPr>
          <w:rFonts w:ascii="Lato" w:hAnsi="Lato"/>
          <w:i/>
          <w:iCs/>
          <w:u w:val="single"/>
        </w:rPr>
        <w:t>:</w:t>
      </w:r>
    </w:p>
    <w:p w:rsidR="00510E6D" w:rsidRPr="00190EDC" w:rsidRDefault="00510E6D" w:rsidP="00510E6D">
      <w:pPr>
        <w:pStyle w:val="StylTekstpodstawowyArial11pt"/>
        <w:rPr>
          <w:rFonts w:ascii="Lato" w:hAnsi="Lato"/>
        </w:rPr>
      </w:pPr>
      <w:r w:rsidRPr="00190EDC">
        <w:rPr>
          <w:rFonts w:ascii="Lato" w:hAnsi="Lato"/>
        </w:rPr>
        <w:t>Wszystkie potrzeby bytowe będą pokrywane przy użyciu gazu ziemnego, płynnego oraz energii elektrycznej.</w:t>
      </w:r>
    </w:p>
    <w:p w:rsidR="00510E6D" w:rsidRPr="00190EDC" w:rsidRDefault="00510E6D" w:rsidP="00510E6D">
      <w:pPr>
        <w:pStyle w:val="StylTekstpodstawowyArial11pt"/>
        <w:rPr>
          <w:rFonts w:ascii="Lato" w:hAnsi="Lato"/>
          <w:i/>
          <w:u w:val="single"/>
        </w:rPr>
      </w:pPr>
    </w:p>
    <w:p w:rsidR="00510E6D" w:rsidRPr="00190EDC" w:rsidRDefault="00510E6D" w:rsidP="00510E6D">
      <w:pPr>
        <w:pStyle w:val="StylTekstpodstawowyArial11pt"/>
        <w:rPr>
          <w:rFonts w:ascii="Lato" w:hAnsi="Lato"/>
          <w:i/>
          <w:u w:val="single"/>
        </w:rPr>
      </w:pPr>
      <w:r w:rsidRPr="00190EDC">
        <w:rPr>
          <w:rFonts w:ascii="Lato" w:hAnsi="Lato"/>
          <w:i/>
          <w:u w:val="single"/>
        </w:rPr>
        <w:t>III. W zakresie systemu zaopatrzenia w energię elektryczną:</w:t>
      </w:r>
    </w:p>
    <w:p w:rsidR="00510E6D" w:rsidRPr="00190EDC" w:rsidRDefault="00510E6D" w:rsidP="00510E6D">
      <w:pPr>
        <w:pStyle w:val="StylTekstpodstawowyArial11pt"/>
        <w:rPr>
          <w:rFonts w:ascii="Lato" w:hAnsi="Lato"/>
        </w:rPr>
      </w:pPr>
      <w:r w:rsidRPr="00190EDC">
        <w:rPr>
          <w:rFonts w:ascii="Lato" w:hAnsi="Lato"/>
        </w:rPr>
        <w:t>Ustala się obowiązek rozbudowy sieci elektroenergetycznej w sposób zapewniający obsługę wszystkich istniejących i projektowanych obszarów zabudowy w sytuacji pojawienia się takiej potrzeby.</w:t>
      </w:r>
    </w:p>
    <w:p w:rsidR="00FC7287" w:rsidRPr="00190EDC" w:rsidRDefault="00524D4A" w:rsidP="00AB431C">
      <w:pPr>
        <w:pStyle w:val="Nagwek1"/>
        <w:numPr>
          <w:ilvl w:val="0"/>
          <w:numId w:val="38"/>
        </w:numPr>
        <w:spacing w:after="480" w:line="276" w:lineRule="auto"/>
        <w:ind w:left="425" w:hanging="425"/>
        <w:jc w:val="both"/>
        <w:rPr>
          <w:rFonts w:ascii="Lato" w:hAnsi="Lato"/>
          <w:b w:val="0"/>
          <w:i w:val="0"/>
          <w:color w:val="365F91"/>
        </w:rPr>
      </w:pPr>
      <w:bookmarkStart w:id="458" w:name="_Toc336419333"/>
      <w:bookmarkStart w:id="459" w:name="_Toc336943585"/>
      <w:r w:rsidRPr="00190EDC">
        <w:rPr>
          <w:rFonts w:ascii="Lato" w:hAnsi="Lato"/>
          <w:b w:val="0"/>
          <w:i w:val="0"/>
          <w:color w:val="365F91"/>
        </w:rPr>
        <w:br w:type="page"/>
      </w:r>
      <w:bookmarkStart w:id="460" w:name="_Toc20218530"/>
      <w:r w:rsidR="00FC7287" w:rsidRPr="00190EDC">
        <w:rPr>
          <w:rFonts w:ascii="Lato" w:hAnsi="Lato"/>
          <w:b w:val="0"/>
          <w:i w:val="0"/>
          <w:color w:val="365F91"/>
        </w:rPr>
        <w:lastRenderedPageBreak/>
        <w:t>Przedsięwzięcia racjonalizujące użytkowanie paliw i energii</w:t>
      </w:r>
      <w:bookmarkEnd w:id="460"/>
    </w:p>
    <w:p w:rsidR="00DE6E4B" w:rsidRPr="00190EDC" w:rsidRDefault="00DE6E4B" w:rsidP="00DE6E4B">
      <w:pPr>
        <w:pStyle w:val="Nagwek2"/>
        <w:rPr>
          <w:rFonts w:ascii="Lato" w:hAnsi="Lato" w:cs="Times New Roman"/>
        </w:rPr>
      </w:pPr>
      <w:bookmarkStart w:id="461" w:name="_Toc336419334"/>
      <w:bookmarkStart w:id="462" w:name="_Toc336943586"/>
      <w:bookmarkStart w:id="463" w:name="_Toc523381257"/>
      <w:bookmarkStart w:id="464" w:name="_Toc20218531"/>
      <w:bookmarkEnd w:id="405"/>
      <w:bookmarkEnd w:id="458"/>
      <w:bookmarkEnd w:id="459"/>
      <w:r w:rsidRPr="00190EDC">
        <w:rPr>
          <w:rFonts w:ascii="Lato" w:hAnsi="Lato" w:cs="Times New Roman"/>
        </w:rPr>
        <w:t>Propozycja przedsięwzięć w grupie „użyteczność publiczna”</w:t>
      </w:r>
      <w:bookmarkEnd w:id="461"/>
      <w:bookmarkEnd w:id="462"/>
      <w:r w:rsidRPr="00190EDC">
        <w:rPr>
          <w:rFonts w:ascii="Lato" w:hAnsi="Lato" w:cs="Times New Roman"/>
        </w:rPr>
        <w:t xml:space="preserve"> – możliwości stosowania środków poprawy efektywności energetycznej w rozumieniu ustawy z dnia 20 maja 2016 r. o efektywności energetycznej</w:t>
      </w:r>
      <w:bookmarkEnd w:id="463"/>
      <w:bookmarkEnd w:id="464"/>
    </w:p>
    <w:p w:rsidR="00DE6E4B" w:rsidRPr="00190EDC" w:rsidRDefault="00DE6E4B" w:rsidP="00281998">
      <w:pPr>
        <w:pStyle w:val="Tekstpodstawowy31"/>
        <w:numPr>
          <w:ilvl w:val="12"/>
          <w:numId w:val="0"/>
        </w:numPr>
        <w:suppressAutoHyphens/>
        <w:ind w:firstLine="709"/>
        <w:rPr>
          <w:rFonts w:ascii="Lato" w:hAnsi="Lato"/>
        </w:rPr>
      </w:pPr>
      <w:bookmarkStart w:id="465" w:name="_Ref52165401"/>
      <w:r w:rsidRPr="00190EDC">
        <w:rPr>
          <w:rFonts w:ascii="Lato" w:hAnsi="Lato"/>
        </w:rPr>
        <w:t>Zgodnie Ustawą z dnia 20 maja 2016 r. o efektywności energetycznej jednostka sektora publicznego, może realizować i finansować przedsięwzięcie lub przedsięwzięcia tego samego rodzaju służące poprawie efektywności energetycznej na podstawie umowy o poprawę efektywności energetycznej.</w:t>
      </w:r>
      <w:r w:rsidR="00190EDC" w:rsidRPr="00190EDC">
        <w:rPr>
          <w:rFonts w:ascii="Lato" w:hAnsi="Lato"/>
        </w:rPr>
        <w:t xml:space="preserve"> </w:t>
      </w:r>
      <w:r w:rsidRPr="00190EDC">
        <w:rPr>
          <w:rFonts w:ascii="Lato" w:hAnsi="Lato"/>
        </w:rPr>
        <w:t>Jednostka sektora publicznego realizuje swoje zadania</w:t>
      </w:r>
      <w:r w:rsidR="00D03562">
        <w:rPr>
          <w:rFonts w:ascii="Lato" w:hAnsi="Lato"/>
        </w:rPr>
        <w:t>, stosując co najmniej jeden ze </w:t>
      </w:r>
      <w:r w:rsidRPr="00190EDC">
        <w:rPr>
          <w:rFonts w:ascii="Lato" w:hAnsi="Lato"/>
        </w:rPr>
        <w:t>środków poprawy efektywności energetycznej, zwanych dalej „środkami poprawy efektywności energetycznej”.</w:t>
      </w:r>
    </w:p>
    <w:p w:rsidR="00DE6E4B" w:rsidRPr="00190EDC" w:rsidRDefault="00DE6E4B" w:rsidP="003F7B25">
      <w:pPr>
        <w:pStyle w:val="Tekstpodstawowy31"/>
        <w:numPr>
          <w:ilvl w:val="12"/>
          <w:numId w:val="0"/>
        </w:numPr>
        <w:suppressAutoHyphens/>
        <w:rPr>
          <w:rFonts w:ascii="Lato" w:hAnsi="Lato"/>
        </w:rPr>
      </w:pPr>
      <w:r w:rsidRPr="00190EDC">
        <w:rPr>
          <w:rFonts w:ascii="Lato" w:hAnsi="Lato"/>
        </w:rPr>
        <w:t>Środkami poprawy efektywności energetycznej są:</w:t>
      </w:r>
    </w:p>
    <w:p w:rsidR="00DE6E4B" w:rsidRPr="00190EDC" w:rsidRDefault="00DE6E4B" w:rsidP="003F7B25">
      <w:pPr>
        <w:pStyle w:val="Tekstpodstawowy31"/>
        <w:numPr>
          <w:ilvl w:val="2"/>
          <w:numId w:val="63"/>
        </w:numPr>
        <w:suppressAutoHyphens/>
        <w:ind w:left="851" w:hanging="284"/>
        <w:rPr>
          <w:rFonts w:ascii="Lato" w:hAnsi="Lato"/>
        </w:rPr>
      </w:pPr>
      <w:r w:rsidRPr="00190EDC">
        <w:rPr>
          <w:rFonts w:ascii="Lato" w:hAnsi="Lato"/>
        </w:rPr>
        <w:t>realizacja i finansowanie przedsięwzięcia służącego poprawie efektywności energetycznej;</w:t>
      </w:r>
    </w:p>
    <w:p w:rsidR="00DE6E4B" w:rsidRPr="00190EDC" w:rsidRDefault="00DE6E4B" w:rsidP="003F7B25">
      <w:pPr>
        <w:pStyle w:val="Tekstpodstawowy31"/>
        <w:numPr>
          <w:ilvl w:val="2"/>
          <w:numId w:val="63"/>
        </w:numPr>
        <w:suppressAutoHyphens/>
        <w:ind w:left="851" w:hanging="284"/>
        <w:rPr>
          <w:rFonts w:ascii="Lato" w:hAnsi="Lato"/>
        </w:rPr>
      </w:pPr>
      <w:r w:rsidRPr="00190EDC">
        <w:rPr>
          <w:rFonts w:ascii="Lato" w:hAnsi="Lato"/>
        </w:rPr>
        <w:t>nabycie urządzenia, instalacji lub pojazdu, charakteryzujących się niskim zużyciem energii oraz niskimi kosztami eksploatacji;</w:t>
      </w:r>
    </w:p>
    <w:p w:rsidR="00DE6E4B" w:rsidRPr="00190EDC" w:rsidRDefault="00DE6E4B" w:rsidP="003F7B25">
      <w:pPr>
        <w:pStyle w:val="Tekstpodstawowy31"/>
        <w:numPr>
          <w:ilvl w:val="2"/>
          <w:numId w:val="63"/>
        </w:numPr>
        <w:suppressAutoHyphens/>
        <w:ind w:left="851" w:hanging="284"/>
        <w:rPr>
          <w:rFonts w:ascii="Lato" w:hAnsi="Lato"/>
        </w:rPr>
      </w:pPr>
      <w:r w:rsidRPr="00190EDC">
        <w:rPr>
          <w:rFonts w:ascii="Lato" w:hAnsi="Lato"/>
        </w:rPr>
        <w:t>wymiana eksploatowanego urządzenia, instalacji lub pojazdu na urządzenie, instalację lub pojazd, o</w:t>
      </w:r>
      <w:r w:rsidR="00B86C25" w:rsidRPr="00190EDC">
        <w:rPr>
          <w:rFonts w:ascii="Lato" w:hAnsi="Lato"/>
        </w:rPr>
        <w:t> </w:t>
      </w:r>
      <w:r w:rsidRPr="00190EDC">
        <w:rPr>
          <w:rFonts w:ascii="Lato" w:hAnsi="Lato"/>
        </w:rPr>
        <w:t>których mowa w pkt 2, lub ich modernizacja;</w:t>
      </w:r>
    </w:p>
    <w:p w:rsidR="00DE6E4B" w:rsidRPr="00190EDC" w:rsidRDefault="00DE6E4B" w:rsidP="003F7B25">
      <w:pPr>
        <w:pStyle w:val="Tekstpodstawowy31"/>
        <w:numPr>
          <w:ilvl w:val="2"/>
          <w:numId w:val="63"/>
        </w:numPr>
        <w:suppressAutoHyphens/>
        <w:ind w:left="851" w:hanging="284"/>
        <w:rPr>
          <w:rFonts w:ascii="Lato" w:hAnsi="Lato"/>
        </w:rPr>
      </w:pPr>
      <w:r w:rsidRPr="00190EDC">
        <w:rPr>
          <w:rFonts w:ascii="Lato" w:hAnsi="Lato"/>
        </w:rPr>
        <w:t xml:space="preserve">realizacja przedsięwzięcia termomodernizacyjnego w rozumieniu </w:t>
      </w:r>
      <w:r w:rsidR="00190EDC" w:rsidRPr="00190EDC">
        <w:rPr>
          <w:rFonts w:ascii="Lato" w:hAnsi="Lato"/>
        </w:rPr>
        <w:t>ustawy z dnia 21 listopada 2008 </w:t>
      </w:r>
      <w:r w:rsidRPr="00190EDC">
        <w:rPr>
          <w:rFonts w:ascii="Lato" w:hAnsi="Lato"/>
        </w:rPr>
        <w:t>r. o</w:t>
      </w:r>
      <w:r w:rsidR="00B86C25" w:rsidRPr="00190EDC">
        <w:rPr>
          <w:rFonts w:ascii="Lato" w:hAnsi="Lato"/>
        </w:rPr>
        <w:t> </w:t>
      </w:r>
      <w:r w:rsidRPr="00190EDC">
        <w:rPr>
          <w:rFonts w:ascii="Lato" w:hAnsi="Lato"/>
        </w:rPr>
        <w:t xml:space="preserve">wspieraniu termomodernizacji i remontów </w:t>
      </w:r>
      <w:r w:rsidR="00696242" w:rsidRPr="00190EDC">
        <w:rPr>
          <w:rFonts w:ascii="Lato" w:hAnsi="Lato"/>
        </w:rPr>
        <w:t>(Dz. U. z 2018 r. poz.966 z późn. zm</w:t>
      </w:r>
      <w:r w:rsidR="00A342D0">
        <w:rPr>
          <w:rFonts w:ascii="Lato" w:hAnsi="Lato"/>
        </w:rPr>
        <w:t>.</w:t>
      </w:r>
      <w:r w:rsidR="00696242" w:rsidRPr="00190EDC">
        <w:rPr>
          <w:rFonts w:ascii="Lato" w:hAnsi="Lato"/>
        </w:rPr>
        <w:t>);</w:t>
      </w:r>
    </w:p>
    <w:p w:rsidR="00DE6E4B" w:rsidRPr="00190EDC" w:rsidRDefault="00DE6E4B" w:rsidP="003F7B25">
      <w:pPr>
        <w:pStyle w:val="Tekstpodstawowy31"/>
        <w:numPr>
          <w:ilvl w:val="2"/>
          <w:numId w:val="63"/>
        </w:numPr>
        <w:suppressAutoHyphens/>
        <w:ind w:left="851" w:hanging="284"/>
        <w:rPr>
          <w:rFonts w:ascii="Lato" w:hAnsi="Lato"/>
        </w:rPr>
      </w:pPr>
      <w:r w:rsidRPr="00190EDC">
        <w:rPr>
          <w:rFonts w:ascii="Lato" w:hAnsi="Lato"/>
        </w:rPr>
        <w:t>wdrażanie systemu zarządzania środowiskowego, o którym mowa w art. 2 pkt 13 rozporządzenia Parlamentu Europejskiego i Rady (WE) nr 1221/2009 z dnia 25 listopada 2009 r. w sprawie dobrowolnego udziału organizacji w systemie ekozarządzania i audytu we Wspólnocie (EMAS), uchylającego rozporządzenie (WE) nr 761/2001 ora</w:t>
      </w:r>
      <w:r w:rsidR="00190EDC" w:rsidRPr="00190EDC">
        <w:rPr>
          <w:rFonts w:ascii="Lato" w:hAnsi="Lato"/>
        </w:rPr>
        <w:t>z decyzje Komisji 2001/681/WE i </w:t>
      </w:r>
      <w:r w:rsidRPr="00190EDC">
        <w:rPr>
          <w:rFonts w:ascii="Lato" w:hAnsi="Lato"/>
        </w:rPr>
        <w:t>2006/193/WE (Dz. Urz. UE L 342 z 22.12.2009, str. 1, z</w:t>
      </w:r>
      <w:r w:rsidR="00A342D0">
        <w:rPr>
          <w:rFonts w:ascii="Lato" w:hAnsi="Lato"/>
        </w:rPr>
        <w:t xml:space="preserve"> </w:t>
      </w:r>
      <w:r w:rsidRPr="00190EDC">
        <w:rPr>
          <w:rFonts w:ascii="Lato" w:hAnsi="Lato"/>
        </w:rPr>
        <w:t>późn. zm.), potwierdzone uzyskaniem wpisu do rejestru EMAS, o którym mowa w art. 5 ust. 1 ustawy z 15 lipca 2011 r. o krajowym systemie ekozarządzania i</w:t>
      </w:r>
      <w:r w:rsidR="00B86C25" w:rsidRPr="00190EDC">
        <w:rPr>
          <w:rFonts w:ascii="Lato" w:hAnsi="Lato"/>
        </w:rPr>
        <w:t> </w:t>
      </w:r>
      <w:r w:rsidRPr="00190EDC">
        <w:rPr>
          <w:rFonts w:ascii="Lato" w:hAnsi="Lato"/>
        </w:rPr>
        <w:t>audytu (EMAS) (Dz. U. poz. 1060).</w:t>
      </w:r>
    </w:p>
    <w:p w:rsidR="00DE6E4B" w:rsidRPr="00D352C4" w:rsidRDefault="00DE6E4B" w:rsidP="003F7B25">
      <w:pPr>
        <w:pStyle w:val="Tekstpodstawowy31"/>
        <w:numPr>
          <w:ilvl w:val="12"/>
          <w:numId w:val="0"/>
        </w:numPr>
        <w:suppressAutoHyphens/>
        <w:rPr>
          <w:rFonts w:ascii="Lato" w:hAnsi="Lato"/>
          <w:highlight w:val="yellow"/>
        </w:rPr>
      </w:pPr>
    </w:p>
    <w:p w:rsidR="00DE6E4B" w:rsidRPr="00190EDC" w:rsidRDefault="00DE6E4B" w:rsidP="003F7B25">
      <w:pPr>
        <w:pStyle w:val="Tekstpodstawowy31"/>
        <w:numPr>
          <w:ilvl w:val="12"/>
          <w:numId w:val="0"/>
        </w:numPr>
        <w:suppressAutoHyphens/>
        <w:ind w:firstLine="709"/>
        <w:rPr>
          <w:rFonts w:ascii="Lato" w:hAnsi="Lato"/>
        </w:rPr>
      </w:pPr>
      <w:r w:rsidRPr="00190EDC">
        <w:rPr>
          <w:rFonts w:ascii="Lato" w:hAnsi="Lato"/>
        </w:rPr>
        <w:t>Jednostka sektora publicznego informuje o stosowanych środkach popraw</w:t>
      </w:r>
      <w:r w:rsidR="00524D4A" w:rsidRPr="00190EDC">
        <w:rPr>
          <w:rFonts w:ascii="Lato" w:hAnsi="Lato"/>
        </w:rPr>
        <w:t>y efektywności energetycznej na</w:t>
      </w:r>
      <w:r w:rsidR="00A342D0">
        <w:rPr>
          <w:rFonts w:ascii="Lato" w:hAnsi="Lato"/>
        </w:rPr>
        <w:t xml:space="preserve"> </w:t>
      </w:r>
      <w:r w:rsidRPr="00190EDC">
        <w:rPr>
          <w:rFonts w:ascii="Lato" w:hAnsi="Lato"/>
        </w:rPr>
        <w:t>swojej stronie internetowej lub w inny sposób zwyczajowo przyjęty w danej miejscowości.</w:t>
      </w:r>
    </w:p>
    <w:p w:rsidR="00DE6E4B" w:rsidRPr="00190EDC" w:rsidRDefault="00DE6E4B" w:rsidP="003F7B25">
      <w:pPr>
        <w:pStyle w:val="Tekstpodstawowy31"/>
        <w:numPr>
          <w:ilvl w:val="12"/>
          <w:numId w:val="0"/>
        </w:numPr>
        <w:suppressAutoHyphens/>
        <w:rPr>
          <w:rFonts w:ascii="Lato" w:hAnsi="Lato"/>
        </w:rPr>
      </w:pPr>
      <w:r w:rsidRPr="00190EDC">
        <w:rPr>
          <w:rFonts w:ascii="Lato" w:hAnsi="Lato"/>
        </w:rPr>
        <w:t>Jednostka sektora publicznego może realizować i finansować przedsięwzięcie lub przedsięwzięcia tego samego rodzaju służące poprawie efektywności energetycznej na podstawie umowy o poprawę efektywności energetycznej.</w:t>
      </w:r>
    </w:p>
    <w:p w:rsidR="00DE6E4B" w:rsidRPr="00190EDC" w:rsidRDefault="00DE6E4B" w:rsidP="003F7B25">
      <w:pPr>
        <w:pStyle w:val="Tekstpodstawowy31"/>
        <w:numPr>
          <w:ilvl w:val="12"/>
          <w:numId w:val="0"/>
        </w:numPr>
        <w:suppressAutoHyphens/>
        <w:rPr>
          <w:rFonts w:ascii="Lato" w:hAnsi="Lato"/>
        </w:rPr>
      </w:pPr>
      <w:r w:rsidRPr="00190EDC">
        <w:rPr>
          <w:rFonts w:ascii="Lato" w:hAnsi="Lato"/>
        </w:rPr>
        <w:t>Umowa o poprawie efektywności energetycznej określa w szczególności:</w:t>
      </w:r>
    </w:p>
    <w:p w:rsidR="00DE6E4B" w:rsidRPr="00190EDC" w:rsidRDefault="00DE6E4B" w:rsidP="003F7B25">
      <w:pPr>
        <w:pStyle w:val="Tekstpodstawowy31"/>
        <w:numPr>
          <w:ilvl w:val="0"/>
          <w:numId w:val="64"/>
        </w:numPr>
        <w:suppressAutoHyphens/>
        <w:rPr>
          <w:rFonts w:ascii="Lato" w:hAnsi="Lato"/>
        </w:rPr>
      </w:pPr>
      <w:r w:rsidRPr="00190EDC">
        <w:rPr>
          <w:rFonts w:ascii="Lato" w:hAnsi="Lato"/>
        </w:rPr>
        <w:t>możliwe do uzyskania oszczędności energii w wyniku realizacji przedsięwzięcia lub przedsięwzięć tego samego rodzaju służących poprawie efektywności energetycznej z zastosowaniem środka poprawy efektywności energetycznej;</w:t>
      </w:r>
    </w:p>
    <w:p w:rsidR="00DE6E4B" w:rsidRPr="00190EDC" w:rsidRDefault="00DE6E4B" w:rsidP="005249DF">
      <w:pPr>
        <w:pStyle w:val="Tekstpodstawowy31"/>
        <w:numPr>
          <w:ilvl w:val="0"/>
          <w:numId w:val="64"/>
        </w:numPr>
        <w:suppressAutoHyphens/>
        <w:spacing w:after="240"/>
        <w:rPr>
          <w:rFonts w:ascii="Lato" w:hAnsi="Lato"/>
        </w:rPr>
      </w:pPr>
      <w:r w:rsidRPr="00190EDC">
        <w:rPr>
          <w:rFonts w:ascii="Lato" w:hAnsi="Lato"/>
        </w:rPr>
        <w:t>sposób ustalania wynagrodzenia, którego wysokość jest uzależniona od oszczędności energii uzyskanej w wyniku realizacji ww. przedsięwzięć.</w:t>
      </w:r>
    </w:p>
    <w:p w:rsidR="00DE6E4B" w:rsidRPr="00845729" w:rsidRDefault="00DE6E4B" w:rsidP="003F7B25">
      <w:pPr>
        <w:pStyle w:val="Tekstpodstawowy31"/>
        <w:numPr>
          <w:ilvl w:val="12"/>
          <w:numId w:val="0"/>
        </w:numPr>
        <w:suppressAutoHyphens/>
        <w:ind w:firstLine="709"/>
        <w:rPr>
          <w:rFonts w:ascii="Lato" w:hAnsi="Lato"/>
        </w:rPr>
      </w:pPr>
      <w:r w:rsidRPr="00190EDC">
        <w:rPr>
          <w:rFonts w:ascii="Lato" w:hAnsi="Lato"/>
        </w:rPr>
        <w:t xml:space="preserve">W celu określenia potencjału racjonalizacji zużycia energii niezbędne było wyznaczenie stanu </w:t>
      </w:r>
      <w:r w:rsidRPr="00845729">
        <w:rPr>
          <w:rFonts w:ascii="Lato" w:hAnsi="Lato"/>
        </w:rPr>
        <w:t xml:space="preserve">aktualnego w </w:t>
      </w:r>
      <w:r w:rsidRPr="00845729">
        <w:rPr>
          <w:rFonts w:ascii="Lato" w:hAnsi="Lato"/>
        </w:rPr>
        <w:lastRenderedPageBreak/>
        <w:t>zakresie zużycia mediów energetycznych oraz wody.</w:t>
      </w:r>
    </w:p>
    <w:p w:rsidR="001F4C06" w:rsidRPr="00845729" w:rsidRDefault="00962EEC" w:rsidP="003F7B25">
      <w:pPr>
        <w:pStyle w:val="Tekstpodstawowy31"/>
        <w:numPr>
          <w:ilvl w:val="12"/>
          <w:numId w:val="0"/>
        </w:numPr>
        <w:suppressAutoHyphens/>
        <w:ind w:firstLine="709"/>
        <w:rPr>
          <w:rFonts w:ascii="Lato" w:hAnsi="Lato"/>
        </w:rPr>
      </w:pPr>
      <w:r w:rsidRPr="00845729">
        <w:rPr>
          <w:rFonts w:ascii="Lato" w:hAnsi="Lato"/>
        </w:rPr>
        <w:t>Udział grupy „użyteczność publiczna”</w:t>
      </w:r>
      <w:r w:rsidR="001F4C06" w:rsidRPr="00845729">
        <w:rPr>
          <w:rFonts w:ascii="Lato" w:hAnsi="Lato"/>
        </w:rPr>
        <w:t xml:space="preserve"> w całkowitym zużyciu poszczególn</w:t>
      </w:r>
      <w:r w:rsidR="00384DB2" w:rsidRPr="00845729">
        <w:rPr>
          <w:rFonts w:ascii="Lato" w:hAnsi="Lato"/>
        </w:rPr>
        <w:t>ych</w:t>
      </w:r>
      <w:r w:rsidR="001F4C06" w:rsidRPr="00845729">
        <w:rPr>
          <w:rFonts w:ascii="Lato" w:hAnsi="Lato"/>
        </w:rPr>
        <w:t xml:space="preserve"> nośnik</w:t>
      </w:r>
      <w:r w:rsidR="00384DB2" w:rsidRPr="00845729">
        <w:rPr>
          <w:rFonts w:ascii="Lato" w:hAnsi="Lato"/>
        </w:rPr>
        <w:t>ów</w:t>
      </w:r>
      <w:r w:rsidR="001F4C06" w:rsidRPr="00845729">
        <w:rPr>
          <w:rFonts w:ascii="Lato" w:hAnsi="Lato"/>
        </w:rPr>
        <w:t xml:space="preserve"> sieciow</w:t>
      </w:r>
      <w:r w:rsidR="00384DB2" w:rsidRPr="00845729">
        <w:rPr>
          <w:rFonts w:ascii="Lato" w:hAnsi="Lato"/>
        </w:rPr>
        <w:t>ych</w:t>
      </w:r>
      <w:r w:rsidR="001F4C06" w:rsidRPr="00845729">
        <w:rPr>
          <w:rFonts w:ascii="Lato" w:hAnsi="Lato"/>
        </w:rPr>
        <w:t xml:space="preserve"> jest następujący:</w:t>
      </w:r>
    </w:p>
    <w:p w:rsidR="001F4C06" w:rsidRPr="00845729" w:rsidRDefault="001F4C06" w:rsidP="003F7B25">
      <w:pPr>
        <w:pStyle w:val="Tekstpodstawowy"/>
        <w:numPr>
          <w:ilvl w:val="0"/>
          <w:numId w:val="83"/>
        </w:numPr>
        <w:tabs>
          <w:tab w:val="clear" w:pos="360"/>
        </w:tabs>
        <w:ind w:left="709" w:hanging="425"/>
        <w:rPr>
          <w:rFonts w:ascii="Lato" w:hAnsi="Lato" w:cs="Times New Roman"/>
        </w:rPr>
      </w:pPr>
      <w:r w:rsidRPr="00845729">
        <w:rPr>
          <w:rFonts w:ascii="Lato" w:hAnsi="Lato" w:cs="Times New Roman"/>
        </w:rPr>
        <w:t xml:space="preserve">energia elektryczna – </w:t>
      </w:r>
      <w:r w:rsidR="00A02407" w:rsidRPr="00845729">
        <w:rPr>
          <w:rFonts w:ascii="Lato" w:hAnsi="Lato" w:cs="Times New Roman"/>
        </w:rPr>
        <w:t>6,5</w:t>
      </w:r>
      <w:r w:rsidRPr="00845729">
        <w:rPr>
          <w:rFonts w:ascii="Lato" w:hAnsi="Lato" w:cs="Times New Roman"/>
        </w:rPr>
        <w:t>%.</w:t>
      </w:r>
    </w:p>
    <w:p w:rsidR="001F4C06" w:rsidRPr="00190EDC" w:rsidRDefault="001F4C06" w:rsidP="001F4C06">
      <w:pPr>
        <w:pStyle w:val="Tekstpodstawowy31"/>
        <w:numPr>
          <w:ilvl w:val="12"/>
          <w:numId w:val="0"/>
        </w:numPr>
        <w:suppressAutoHyphens/>
        <w:ind w:firstLine="540"/>
        <w:rPr>
          <w:rFonts w:ascii="Lato" w:hAnsi="Lato"/>
        </w:rPr>
      </w:pPr>
    </w:p>
    <w:p w:rsidR="00DE3918" w:rsidRPr="00190EDC" w:rsidRDefault="00DE3918" w:rsidP="00AB431C">
      <w:pPr>
        <w:pStyle w:val="Akapitzlist"/>
        <w:keepNext/>
        <w:numPr>
          <w:ilvl w:val="2"/>
          <w:numId w:val="38"/>
        </w:numPr>
        <w:tabs>
          <w:tab w:val="left" w:pos="709"/>
        </w:tabs>
        <w:spacing w:before="180" w:after="180" w:line="288" w:lineRule="auto"/>
        <w:ind w:left="709" w:hanging="709"/>
        <w:jc w:val="both"/>
        <w:outlineLvl w:val="2"/>
        <w:rPr>
          <w:rFonts w:ascii="Lato" w:hAnsi="Lato"/>
          <w:color w:val="365F91"/>
          <w:lang w:eastAsia="en-US"/>
        </w:rPr>
      </w:pPr>
      <w:bookmarkStart w:id="466" w:name="_Toc413090711"/>
      <w:bookmarkStart w:id="467" w:name="_Toc430598791"/>
      <w:bookmarkStart w:id="468" w:name="_Toc20218532"/>
      <w:bookmarkStart w:id="469" w:name="_Toc336419339"/>
      <w:bookmarkStart w:id="470" w:name="_Toc336943595"/>
      <w:r w:rsidRPr="00190EDC">
        <w:rPr>
          <w:rFonts w:ascii="Lato" w:hAnsi="Lato"/>
          <w:color w:val="365F91"/>
          <w:lang w:eastAsia="en-US"/>
        </w:rPr>
        <w:t>Zakres analizowanych obiektów</w:t>
      </w:r>
      <w:bookmarkEnd w:id="466"/>
      <w:bookmarkEnd w:id="467"/>
      <w:bookmarkEnd w:id="468"/>
    </w:p>
    <w:p w:rsidR="00806D69" w:rsidRPr="00834A12" w:rsidRDefault="00806D69" w:rsidP="00281998">
      <w:pPr>
        <w:ind w:firstLine="709"/>
        <w:jc w:val="both"/>
        <w:rPr>
          <w:rFonts w:ascii="Lato" w:hAnsi="Lato"/>
        </w:rPr>
      </w:pPr>
      <w:r w:rsidRPr="00834A12">
        <w:rPr>
          <w:rFonts w:ascii="Lato" w:hAnsi="Lato"/>
        </w:rPr>
        <w:t xml:space="preserve">Oceny stanu istniejącego dokonano na podstawie informacji zebranych z </w:t>
      </w:r>
      <w:r w:rsidR="00834A12">
        <w:rPr>
          <w:rFonts w:ascii="Lato" w:hAnsi="Lato"/>
        </w:rPr>
        <w:t>17</w:t>
      </w:r>
      <w:r w:rsidRPr="00834A12">
        <w:rPr>
          <w:rFonts w:ascii="Lato" w:hAnsi="Lato"/>
        </w:rPr>
        <w:t xml:space="preserve"> obiektów użyteczności publicznej. Pełne i jednoznaczne dane dotyczące podstawowych parametrów budynku (powierzchnia użytkowa, ogrzewana) i zużycia mediów energetycznych w roku 2018 uzyskano od 1</w:t>
      </w:r>
      <w:r w:rsidR="00834A12">
        <w:rPr>
          <w:rFonts w:ascii="Lato" w:hAnsi="Lato"/>
        </w:rPr>
        <w:t>7</w:t>
      </w:r>
      <w:r w:rsidRPr="00834A12">
        <w:rPr>
          <w:rFonts w:ascii="Lato" w:hAnsi="Lato"/>
        </w:rPr>
        <w:t xml:space="preserve"> obiektów. </w:t>
      </w:r>
    </w:p>
    <w:p w:rsidR="00806D69" w:rsidRPr="00834A12" w:rsidRDefault="00806D69" w:rsidP="00806D69">
      <w:pPr>
        <w:ind w:firstLine="0"/>
        <w:jc w:val="both"/>
        <w:rPr>
          <w:rFonts w:ascii="Lato" w:hAnsi="Lato"/>
        </w:rPr>
      </w:pPr>
      <w:r w:rsidRPr="00834A12">
        <w:rPr>
          <w:rFonts w:ascii="Lato" w:hAnsi="Lato"/>
        </w:rPr>
        <w:t>W skład analizowanych budynków wchodzą:</w:t>
      </w:r>
    </w:p>
    <w:p w:rsidR="00806D69" w:rsidRPr="00834A12" w:rsidRDefault="00806D69" w:rsidP="00806D69">
      <w:pPr>
        <w:pStyle w:val="Legenda"/>
        <w:rPr>
          <w:rFonts w:ascii="Lato" w:hAnsi="Lato"/>
          <w:color w:val="1F497D"/>
          <w:sz w:val="20"/>
          <w:szCs w:val="20"/>
        </w:rPr>
      </w:pPr>
      <w:bookmarkStart w:id="471" w:name="_Toc282111082"/>
      <w:bookmarkStart w:id="472" w:name="_Toc328984527"/>
      <w:bookmarkStart w:id="473" w:name="_Toc413090804"/>
      <w:bookmarkStart w:id="474" w:name="_Toc430598891"/>
      <w:bookmarkStart w:id="475" w:name="_Toc8035237"/>
      <w:bookmarkStart w:id="476" w:name="_Toc20219203"/>
      <w:r w:rsidRPr="00834A12">
        <w:rPr>
          <w:rFonts w:ascii="Lato" w:hAnsi="Lato"/>
          <w:bCs/>
          <w:color w:val="1F497D"/>
          <w:sz w:val="20"/>
          <w:szCs w:val="20"/>
        </w:rPr>
        <w:t xml:space="preserve">Tabela </w:t>
      </w:r>
      <w:r w:rsidRPr="00834A12">
        <w:rPr>
          <w:rFonts w:ascii="Lato" w:hAnsi="Lato"/>
          <w:bCs/>
          <w:color w:val="1F497D"/>
          <w:sz w:val="20"/>
          <w:szCs w:val="20"/>
        </w:rPr>
        <w:fldChar w:fldCharType="begin"/>
      </w:r>
      <w:r w:rsidRPr="00834A12">
        <w:rPr>
          <w:rFonts w:ascii="Lato" w:hAnsi="Lato"/>
          <w:bCs/>
          <w:color w:val="1F497D"/>
          <w:sz w:val="20"/>
          <w:szCs w:val="20"/>
        </w:rPr>
        <w:instrText xml:space="preserve"> STYLEREF 1 \s </w:instrText>
      </w:r>
      <w:r w:rsidRPr="00834A12">
        <w:rPr>
          <w:rFonts w:ascii="Lato" w:hAnsi="Lato"/>
          <w:bCs/>
          <w:color w:val="1F497D"/>
          <w:sz w:val="20"/>
          <w:szCs w:val="20"/>
        </w:rPr>
        <w:fldChar w:fldCharType="separate"/>
      </w:r>
      <w:r w:rsidR="0040205B">
        <w:rPr>
          <w:rFonts w:ascii="Lato" w:hAnsi="Lato"/>
          <w:bCs/>
          <w:noProof/>
          <w:color w:val="1F497D"/>
          <w:sz w:val="20"/>
          <w:szCs w:val="20"/>
        </w:rPr>
        <w:t>6</w:t>
      </w:r>
      <w:r w:rsidRPr="00834A12">
        <w:rPr>
          <w:rFonts w:ascii="Lato" w:hAnsi="Lato"/>
          <w:bCs/>
          <w:color w:val="1F497D"/>
          <w:sz w:val="20"/>
          <w:szCs w:val="20"/>
        </w:rPr>
        <w:fldChar w:fldCharType="end"/>
      </w:r>
      <w:r w:rsidRPr="00834A12">
        <w:rPr>
          <w:rFonts w:ascii="Lato" w:hAnsi="Lato"/>
          <w:bCs/>
          <w:color w:val="1F497D"/>
          <w:sz w:val="20"/>
          <w:szCs w:val="20"/>
        </w:rPr>
        <w:noBreakHyphen/>
      </w:r>
      <w:r w:rsidRPr="00834A12">
        <w:rPr>
          <w:rFonts w:ascii="Lato" w:hAnsi="Lato"/>
          <w:bCs/>
          <w:color w:val="1F497D"/>
          <w:sz w:val="20"/>
          <w:szCs w:val="20"/>
        </w:rPr>
        <w:fldChar w:fldCharType="begin"/>
      </w:r>
      <w:r w:rsidRPr="00834A12">
        <w:rPr>
          <w:rFonts w:ascii="Lato" w:hAnsi="Lato"/>
          <w:bCs/>
          <w:color w:val="1F497D"/>
          <w:sz w:val="20"/>
          <w:szCs w:val="20"/>
        </w:rPr>
        <w:instrText xml:space="preserve"> SEQ Tabela \* ARABIC \s 1 </w:instrText>
      </w:r>
      <w:r w:rsidRPr="00834A12">
        <w:rPr>
          <w:rFonts w:ascii="Lato" w:hAnsi="Lato"/>
          <w:bCs/>
          <w:color w:val="1F497D"/>
          <w:sz w:val="20"/>
          <w:szCs w:val="20"/>
        </w:rPr>
        <w:fldChar w:fldCharType="separate"/>
      </w:r>
      <w:r w:rsidR="0040205B">
        <w:rPr>
          <w:rFonts w:ascii="Lato" w:hAnsi="Lato"/>
          <w:bCs/>
          <w:noProof/>
          <w:color w:val="1F497D"/>
          <w:sz w:val="20"/>
          <w:szCs w:val="20"/>
        </w:rPr>
        <w:t>1</w:t>
      </w:r>
      <w:r w:rsidRPr="00834A12">
        <w:rPr>
          <w:rFonts w:ascii="Lato" w:hAnsi="Lato"/>
          <w:bCs/>
          <w:color w:val="1F497D"/>
          <w:sz w:val="20"/>
          <w:szCs w:val="20"/>
        </w:rPr>
        <w:fldChar w:fldCharType="end"/>
      </w:r>
      <w:bookmarkEnd w:id="471"/>
      <w:bookmarkEnd w:id="472"/>
      <w:bookmarkEnd w:id="473"/>
      <w:bookmarkEnd w:id="474"/>
      <w:r w:rsidRPr="00834A12">
        <w:rPr>
          <w:rFonts w:ascii="Lato" w:hAnsi="Lato"/>
          <w:color w:val="1F497D"/>
          <w:sz w:val="20"/>
          <w:szCs w:val="20"/>
        </w:rPr>
        <w:t xml:space="preserve"> Wykaz obiektów z pełnym zakresem danych</w:t>
      </w:r>
      <w:bookmarkEnd w:id="475"/>
      <w:bookmarkEnd w:id="476"/>
    </w:p>
    <w:tbl>
      <w:tblPr>
        <w:tblW w:w="5000" w:type="pct"/>
        <w:tblCellMar>
          <w:left w:w="70" w:type="dxa"/>
          <w:right w:w="70" w:type="dxa"/>
        </w:tblCellMar>
        <w:tblLook w:val="04A0" w:firstRow="1" w:lastRow="0" w:firstColumn="1" w:lastColumn="0" w:noHBand="0" w:noVBand="1"/>
      </w:tblPr>
      <w:tblGrid>
        <w:gridCol w:w="517"/>
        <w:gridCol w:w="1591"/>
        <w:gridCol w:w="1593"/>
        <w:gridCol w:w="1553"/>
        <w:gridCol w:w="3150"/>
        <w:gridCol w:w="1601"/>
      </w:tblGrid>
      <w:tr w:rsidR="00834A12" w:rsidRPr="00834A12" w:rsidTr="00CC5776">
        <w:trPr>
          <w:cantSplit/>
          <w:trHeight w:val="397"/>
          <w:tblHeader/>
        </w:trPr>
        <w:tc>
          <w:tcPr>
            <w:tcW w:w="258" w:type="pct"/>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L.p.</w:t>
            </w:r>
          </w:p>
        </w:tc>
        <w:tc>
          <w:tcPr>
            <w:tcW w:w="795" w:type="pct"/>
            <w:tcBorders>
              <w:top w:val="single" w:sz="4" w:space="0" w:color="4F81BD"/>
              <w:left w:val="nil"/>
              <w:bottom w:val="single" w:sz="4" w:space="0" w:color="4F81BD"/>
              <w:right w:val="single" w:sz="4" w:space="0" w:color="4F81BD"/>
            </w:tcBorders>
            <w:shd w:val="clear" w:color="000000" w:fill="DCE6F1"/>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Identyfikator</w:t>
            </w:r>
          </w:p>
        </w:tc>
        <w:tc>
          <w:tcPr>
            <w:tcW w:w="796" w:type="pct"/>
            <w:tcBorders>
              <w:top w:val="single" w:sz="4" w:space="0" w:color="4F81BD"/>
              <w:left w:val="nil"/>
              <w:bottom w:val="single" w:sz="4" w:space="0" w:color="4F81BD"/>
              <w:right w:val="single" w:sz="4" w:space="0" w:color="4F81BD"/>
            </w:tcBorders>
            <w:shd w:val="clear" w:color="000000" w:fill="DCE6F1"/>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Powierzchnia ogrzewana [m</w:t>
            </w:r>
            <w:r w:rsidRPr="00CC5776">
              <w:rPr>
                <w:rFonts w:ascii="Lato" w:hAnsi="Lato"/>
                <w:color w:val="365F91"/>
                <w:sz w:val="18"/>
                <w:szCs w:val="18"/>
                <w:vertAlign w:val="superscript"/>
              </w:rPr>
              <w:t>2</w:t>
            </w:r>
            <w:r w:rsidRPr="00CC5776">
              <w:rPr>
                <w:rFonts w:ascii="Lato" w:hAnsi="Lato"/>
                <w:color w:val="365F91"/>
                <w:sz w:val="18"/>
                <w:szCs w:val="18"/>
              </w:rPr>
              <w:t>]</w:t>
            </w:r>
          </w:p>
        </w:tc>
        <w:tc>
          <w:tcPr>
            <w:tcW w:w="776" w:type="pct"/>
            <w:tcBorders>
              <w:top w:val="single" w:sz="4" w:space="0" w:color="4F81BD"/>
              <w:left w:val="nil"/>
              <w:bottom w:val="single" w:sz="4" w:space="0" w:color="4F81BD"/>
              <w:right w:val="single" w:sz="4" w:space="0" w:color="4F81BD"/>
            </w:tcBorders>
            <w:shd w:val="clear" w:color="000000" w:fill="DCE6F1"/>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Przeznaczenie obiektu</w:t>
            </w:r>
          </w:p>
        </w:tc>
        <w:tc>
          <w:tcPr>
            <w:tcW w:w="1574" w:type="pct"/>
            <w:tcBorders>
              <w:top w:val="single" w:sz="4" w:space="0" w:color="4F81BD"/>
              <w:left w:val="nil"/>
              <w:bottom w:val="single" w:sz="4" w:space="0" w:color="4F81BD"/>
              <w:right w:val="single" w:sz="4" w:space="0" w:color="4F81BD"/>
            </w:tcBorders>
            <w:shd w:val="clear" w:color="000000" w:fill="DCE6F1"/>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Nazwa</w:t>
            </w:r>
          </w:p>
        </w:tc>
        <w:tc>
          <w:tcPr>
            <w:tcW w:w="800" w:type="pct"/>
            <w:tcBorders>
              <w:top w:val="single" w:sz="4" w:space="0" w:color="4F81BD"/>
              <w:left w:val="nil"/>
              <w:bottom w:val="single" w:sz="4" w:space="0" w:color="4F81BD"/>
              <w:right w:val="single" w:sz="4" w:space="0" w:color="4F81BD"/>
            </w:tcBorders>
            <w:shd w:val="clear" w:color="000000" w:fill="DCE6F1"/>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Ulica</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1</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ZSPPiatZyt</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766</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edukacja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3902" w:rsidP="00834A12">
            <w:pPr>
              <w:spacing w:line="240" w:lineRule="auto"/>
              <w:ind w:firstLine="0"/>
              <w:jc w:val="center"/>
              <w:rPr>
                <w:rFonts w:ascii="Lato" w:hAnsi="Lato"/>
                <w:color w:val="365F91"/>
                <w:sz w:val="18"/>
                <w:szCs w:val="18"/>
              </w:rPr>
            </w:pPr>
            <w:r w:rsidRPr="00CC5776">
              <w:rPr>
                <w:rFonts w:ascii="Lato" w:hAnsi="Lato"/>
                <w:color w:val="365F91"/>
                <w:sz w:val="18"/>
                <w:szCs w:val="18"/>
              </w:rPr>
              <w:t>Zespół Szkolno-Przedszkolny w </w:t>
            </w:r>
            <w:r w:rsidR="00834A12" w:rsidRPr="00CC5776">
              <w:rPr>
                <w:rFonts w:ascii="Lato" w:hAnsi="Lato"/>
                <w:color w:val="365F91"/>
                <w:sz w:val="18"/>
                <w:szCs w:val="18"/>
              </w:rPr>
              <w:t>Piątkowisku</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Żytowice 34</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2</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SPBych</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2 503</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edukacja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Szkoła Podstawowa im. Kornela Makuszyńskiego w Bychlewie</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Bychlew 13</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3</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ZSPPiat</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1 580</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edukacja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3902" w:rsidP="00834A12">
            <w:pPr>
              <w:spacing w:line="240" w:lineRule="auto"/>
              <w:ind w:firstLine="0"/>
              <w:jc w:val="center"/>
              <w:rPr>
                <w:rFonts w:ascii="Lato" w:hAnsi="Lato"/>
                <w:color w:val="365F91"/>
                <w:sz w:val="18"/>
                <w:szCs w:val="18"/>
              </w:rPr>
            </w:pPr>
            <w:r w:rsidRPr="00CC5776">
              <w:rPr>
                <w:rFonts w:ascii="Lato" w:hAnsi="Lato"/>
                <w:color w:val="365F91"/>
                <w:sz w:val="18"/>
                <w:szCs w:val="18"/>
              </w:rPr>
              <w:t>Zespół Szkolno-Przedszkolny w </w:t>
            </w:r>
            <w:r w:rsidR="00834A12" w:rsidRPr="00CC5776">
              <w:rPr>
                <w:rFonts w:ascii="Lato" w:hAnsi="Lato"/>
                <w:color w:val="365F91"/>
                <w:sz w:val="18"/>
                <w:szCs w:val="18"/>
              </w:rPr>
              <w:t>Piątkowisku</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Piątkowisko 107</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4</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SPPawl</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1 195</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edukacja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Szkoła Podstawowa im.</w:t>
            </w:r>
            <w:r w:rsidR="00A342D0" w:rsidRPr="00CC5776">
              <w:rPr>
                <w:rFonts w:ascii="Lato" w:hAnsi="Lato"/>
                <w:color w:val="365F91"/>
                <w:sz w:val="18"/>
                <w:szCs w:val="18"/>
              </w:rPr>
              <w:t xml:space="preserve"> Marii Skłodowskiej-Curie w </w:t>
            </w:r>
            <w:r w:rsidRPr="00CC5776">
              <w:rPr>
                <w:rFonts w:ascii="Lato" w:hAnsi="Lato"/>
                <w:color w:val="365F91"/>
                <w:sz w:val="18"/>
                <w:szCs w:val="18"/>
              </w:rPr>
              <w:t>Pawlikowicach</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Pawlikowice 103</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5</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SPPetr</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1 089</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edukacja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Szkoła Pods</w:t>
            </w:r>
            <w:r w:rsidR="00A342D0" w:rsidRPr="00CC5776">
              <w:rPr>
                <w:rFonts w:ascii="Lato" w:hAnsi="Lato"/>
                <w:color w:val="365F91"/>
                <w:sz w:val="18"/>
                <w:szCs w:val="18"/>
              </w:rPr>
              <w:t xml:space="preserve">tawowa im. H. Ch. Andersena w </w:t>
            </w:r>
            <w:r w:rsidRPr="00CC5776">
              <w:rPr>
                <w:rFonts w:ascii="Lato" w:hAnsi="Lato"/>
                <w:color w:val="365F91"/>
                <w:sz w:val="18"/>
                <w:szCs w:val="18"/>
              </w:rPr>
              <w:t>Petrykozach</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Petrykozy 52</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6</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DLBych</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466</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kultura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Dom Ludowy w Bychlewie</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Bychlew 107b</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7</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SWHer</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164</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kultura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Świetlica Wiejska w Hermanowie</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Hermanów 24E</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8</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SWWol</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460</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kultura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 xml:space="preserve">Świetlica Wiejska w Woli </w:t>
            </w:r>
            <w:r w:rsidR="00A342D0" w:rsidRPr="00CC5776">
              <w:rPr>
                <w:rFonts w:ascii="Lato" w:hAnsi="Lato"/>
                <w:color w:val="365F91"/>
                <w:sz w:val="18"/>
                <w:szCs w:val="18"/>
              </w:rPr>
              <w:t>Żytowskiej</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Wola Żytowska 4</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9</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UG</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423</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administracja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14421">
            <w:pPr>
              <w:spacing w:line="240" w:lineRule="auto"/>
              <w:ind w:firstLine="0"/>
              <w:jc w:val="center"/>
              <w:rPr>
                <w:rFonts w:ascii="Lato" w:hAnsi="Lato"/>
                <w:color w:val="365F91"/>
                <w:sz w:val="18"/>
                <w:szCs w:val="18"/>
              </w:rPr>
            </w:pPr>
            <w:r w:rsidRPr="00CC5776">
              <w:rPr>
                <w:rFonts w:ascii="Lato" w:hAnsi="Lato"/>
                <w:color w:val="365F91"/>
                <w:sz w:val="18"/>
                <w:szCs w:val="18"/>
              </w:rPr>
              <w:t xml:space="preserve">Urząd Gminy </w:t>
            </w:r>
            <w:r w:rsidR="00814421">
              <w:rPr>
                <w:rFonts w:ascii="Lato" w:hAnsi="Lato"/>
                <w:color w:val="365F91"/>
                <w:sz w:val="18"/>
                <w:szCs w:val="18"/>
              </w:rPr>
              <w:t xml:space="preserve">w </w:t>
            </w:r>
            <w:r w:rsidRPr="00CC5776">
              <w:rPr>
                <w:rFonts w:ascii="Lato" w:hAnsi="Lato"/>
                <w:color w:val="365F91"/>
                <w:sz w:val="18"/>
                <w:szCs w:val="18"/>
              </w:rPr>
              <w:t>Pabianic</w:t>
            </w:r>
            <w:r w:rsidR="00814421">
              <w:rPr>
                <w:rFonts w:ascii="Lato" w:hAnsi="Lato"/>
                <w:color w:val="365F91"/>
                <w:sz w:val="18"/>
                <w:szCs w:val="18"/>
              </w:rPr>
              <w:t>ach</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Torowa 21, Pabianice</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10</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OSPia</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254</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sport</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Obiekt Sportowy w Piątkowisku</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Piątkowisko 4b</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11</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SWKon</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199</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kultura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Świetlica Wiejska w Koninie</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Konin 30A</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12</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OSBych</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269</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sport</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Obiekt Sportowy w Bychlewie</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Bychlew 107E</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13</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BIB_Pia</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204</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kultura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Filia Biblioteczna w Piątkowisku</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A342D0">
            <w:pPr>
              <w:spacing w:line="240" w:lineRule="auto"/>
              <w:ind w:firstLine="0"/>
              <w:jc w:val="center"/>
              <w:rPr>
                <w:rFonts w:ascii="Lato" w:hAnsi="Lato"/>
                <w:color w:val="365F91"/>
                <w:sz w:val="18"/>
                <w:szCs w:val="18"/>
              </w:rPr>
            </w:pPr>
            <w:r w:rsidRPr="00CC5776">
              <w:rPr>
                <w:rFonts w:ascii="Lato" w:hAnsi="Lato"/>
                <w:color w:val="365F91"/>
                <w:sz w:val="18"/>
                <w:szCs w:val="18"/>
              </w:rPr>
              <w:t>Pi</w:t>
            </w:r>
            <w:r w:rsidR="00A342D0" w:rsidRPr="00CC5776">
              <w:rPr>
                <w:rFonts w:ascii="Lato" w:hAnsi="Lato"/>
                <w:color w:val="365F91"/>
                <w:sz w:val="18"/>
                <w:szCs w:val="18"/>
              </w:rPr>
              <w:t>ą</w:t>
            </w:r>
            <w:r w:rsidRPr="00CC5776">
              <w:rPr>
                <w:rFonts w:ascii="Lato" w:hAnsi="Lato"/>
                <w:color w:val="365F91"/>
                <w:sz w:val="18"/>
                <w:szCs w:val="18"/>
              </w:rPr>
              <w:t>tkowisko 47</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14</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HYDGorP</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60</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inne</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Hydrofornia</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Górka Pabianicka 9A</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15</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HYDRyd</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202</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inne</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Hydrofornia</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Rydzyny 71G</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16</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HYDZyt</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236</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inne</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Hydrofornia</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Żytowice 52</w:t>
            </w:r>
          </w:p>
        </w:tc>
      </w:tr>
      <w:tr w:rsidR="00834A12" w:rsidRPr="00834A12" w:rsidTr="00CC5776">
        <w:trPr>
          <w:cantSplit/>
          <w:trHeight w:val="397"/>
        </w:trPr>
        <w:tc>
          <w:tcPr>
            <w:tcW w:w="258" w:type="pct"/>
            <w:tcBorders>
              <w:top w:val="nil"/>
              <w:left w:val="single" w:sz="4" w:space="0" w:color="4F81BD"/>
              <w:bottom w:val="single" w:sz="4" w:space="0" w:color="4F81BD"/>
              <w:right w:val="single" w:sz="4" w:space="0" w:color="4F81BD"/>
            </w:tcBorders>
            <w:shd w:val="clear" w:color="auto" w:fill="auto"/>
            <w:vAlign w:val="center"/>
            <w:hideMark/>
          </w:tcPr>
          <w:p w:rsidR="00834A12" w:rsidRPr="00CC5776" w:rsidRDefault="00834A12" w:rsidP="008C4DDC">
            <w:pPr>
              <w:spacing w:line="240" w:lineRule="auto"/>
              <w:ind w:firstLine="0"/>
              <w:jc w:val="center"/>
              <w:rPr>
                <w:rFonts w:ascii="Lato" w:hAnsi="Lato"/>
                <w:color w:val="365F91"/>
                <w:sz w:val="18"/>
                <w:szCs w:val="18"/>
              </w:rPr>
            </w:pPr>
            <w:r w:rsidRPr="00CC5776">
              <w:rPr>
                <w:rFonts w:ascii="Lato" w:hAnsi="Lato"/>
                <w:color w:val="365F91"/>
                <w:sz w:val="18"/>
                <w:szCs w:val="18"/>
              </w:rPr>
              <w:t>17</w:t>
            </w:r>
          </w:p>
        </w:tc>
        <w:tc>
          <w:tcPr>
            <w:tcW w:w="795"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SPJad</w:t>
            </w:r>
          </w:p>
        </w:tc>
        <w:tc>
          <w:tcPr>
            <w:tcW w:w="79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198</w:t>
            </w:r>
          </w:p>
        </w:tc>
        <w:tc>
          <w:tcPr>
            <w:tcW w:w="776"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hanging="22"/>
              <w:jc w:val="center"/>
              <w:rPr>
                <w:rFonts w:ascii="Lato" w:hAnsi="Lato"/>
                <w:color w:val="365F91"/>
                <w:sz w:val="18"/>
                <w:szCs w:val="18"/>
              </w:rPr>
            </w:pPr>
            <w:r w:rsidRPr="00CC5776">
              <w:rPr>
                <w:rFonts w:ascii="Lato" w:hAnsi="Lato"/>
                <w:color w:val="365F91"/>
                <w:sz w:val="18"/>
                <w:szCs w:val="18"/>
              </w:rPr>
              <w:t>kultura</w:t>
            </w:r>
          </w:p>
        </w:tc>
        <w:tc>
          <w:tcPr>
            <w:tcW w:w="1574"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Świetlica Wiejska w Jadwininie</w:t>
            </w:r>
          </w:p>
        </w:tc>
        <w:tc>
          <w:tcPr>
            <w:tcW w:w="800" w:type="pct"/>
            <w:tcBorders>
              <w:top w:val="nil"/>
              <w:left w:val="nil"/>
              <w:bottom w:val="single" w:sz="4" w:space="0" w:color="4F81BD"/>
              <w:right w:val="single" w:sz="4" w:space="0" w:color="4F81BD"/>
            </w:tcBorders>
            <w:shd w:val="clear" w:color="auto" w:fill="auto"/>
            <w:vAlign w:val="center"/>
          </w:tcPr>
          <w:p w:rsidR="00834A12" w:rsidRPr="00CC5776" w:rsidRDefault="00834A12" w:rsidP="00834A12">
            <w:pPr>
              <w:spacing w:line="240" w:lineRule="auto"/>
              <w:ind w:firstLine="0"/>
              <w:jc w:val="center"/>
              <w:rPr>
                <w:rFonts w:ascii="Lato" w:hAnsi="Lato"/>
                <w:color w:val="365F91"/>
                <w:sz w:val="18"/>
                <w:szCs w:val="18"/>
              </w:rPr>
            </w:pPr>
            <w:r w:rsidRPr="00CC5776">
              <w:rPr>
                <w:rFonts w:ascii="Lato" w:hAnsi="Lato"/>
                <w:color w:val="365F91"/>
                <w:sz w:val="18"/>
                <w:szCs w:val="18"/>
              </w:rPr>
              <w:t>Jadwinin 35</w:t>
            </w:r>
          </w:p>
        </w:tc>
      </w:tr>
    </w:tbl>
    <w:p w:rsidR="000E2AE3" w:rsidRDefault="000E2AE3" w:rsidP="000E2AE3">
      <w:pPr>
        <w:suppressAutoHyphens/>
        <w:ind w:firstLine="0"/>
        <w:jc w:val="center"/>
        <w:rPr>
          <w:rFonts w:ascii="Lato" w:hAnsi="Lato"/>
          <w:bCs/>
          <w:i/>
          <w:sz w:val="20"/>
          <w:szCs w:val="22"/>
        </w:rPr>
      </w:pPr>
      <w:bookmarkStart w:id="477" w:name="_Toc282111020"/>
      <w:bookmarkStart w:id="478" w:name="_Toc328984456"/>
      <w:bookmarkStart w:id="479" w:name="_Toc413090712"/>
      <w:bookmarkStart w:id="480" w:name="_Toc430598792"/>
      <w:r w:rsidRPr="00DB35F5">
        <w:rPr>
          <w:rFonts w:ascii="Lato" w:hAnsi="Lato"/>
          <w:bCs/>
          <w:i/>
          <w:sz w:val="20"/>
          <w:szCs w:val="22"/>
        </w:rPr>
        <w:t xml:space="preserve">Źródło: </w:t>
      </w:r>
      <w:r w:rsidR="002542F4">
        <w:rPr>
          <w:rFonts w:ascii="Lato" w:hAnsi="Lato"/>
          <w:bCs/>
          <w:i/>
          <w:sz w:val="20"/>
          <w:szCs w:val="22"/>
        </w:rPr>
        <w:t xml:space="preserve">Urząd Gminy </w:t>
      </w:r>
      <w:r w:rsidR="00814421">
        <w:rPr>
          <w:rFonts w:ascii="Lato" w:hAnsi="Lato"/>
          <w:bCs/>
          <w:i/>
          <w:sz w:val="20"/>
          <w:szCs w:val="22"/>
        </w:rPr>
        <w:t xml:space="preserve">w </w:t>
      </w:r>
      <w:r w:rsidR="002542F4">
        <w:rPr>
          <w:rFonts w:ascii="Lato" w:hAnsi="Lato"/>
          <w:bCs/>
          <w:i/>
          <w:sz w:val="20"/>
          <w:szCs w:val="22"/>
        </w:rPr>
        <w:t>Pabianic</w:t>
      </w:r>
      <w:r w:rsidR="00814421">
        <w:rPr>
          <w:rFonts w:ascii="Lato" w:hAnsi="Lato"/>
          <w:bCs/>
          <w:i/>
          <w:sz w:val="20"/>
          <w:szCs w:val="22"/>
        </w:rPr>
        <w:t>ach</w:t>
      </w:r>
    </w:p>
    <w:p w:rsidR="00806D69" w:rsidRPr="00834A12" w:rsidRDefault="00806D69" w:rsidP="00806D69">
      <w:pPr>
        <w:pStyle w:val="Akapitzlist"/>
        <w:keepNext/>
        <w:numPr>
          <w:ilvl w:val="2"/>
          <w:numId w:val="38"/>
        </w:numPr>
        <w:tabs>
          <w:tab w:val="left" w:pos="709"/>
        </w:tabs>
        <w:spacing w:before="180" w:after="180" w:line="288" w:lineRule="auto"/>
        <w:ind w:left="709" w:hanging="709"/>
        <w:jc w:val="both"/>
        <w:outlineLvl w:val="2"/>
        <w:rPr>
          <w:rFonts w:ascii="Lato" w:hAnsi="Lato"/>
          <w:color w:val="365F91"/>
          <w:lang w:eastAsia="en-US"/>
        </w:rPr>
      </w:pPr>
      <w:bookmarkStart w:id="481" w:name="_Toc8035179"/>
      <w:bookmarkStart w:id="482" w:name="_Toc20218533"/>
      <w:r w:rsidRPr="00834A12">
        <w:rPr>
          <w:rFonts w:ascii="Lato" w:hAnsi="Lato"/>
          <w:color w:val="365F91"/>
          <w:lang w:eastAsia="en-US"/>
        </w:rPr>
        <w:t>Analiza sumarycznego kosztu oraz zużycia energii i wody w grupie</w:t>
      </w:r>
      <w:bookmarkEnd w:id="481"/>
      <w:bookmarkEnd w:id="482"/>
    </w:p>
    <w:p w:rsidR="00806D69" w:rsidRPr="00834A12" w:rsidRDefault="00806D69" w:rsidP="00834A12">
      <w:pPr>
        <w:pStyle w:val="NormalnyNEDE"/>
        <w:spacing w:after="0" w:line="312" w:lineRule="auto"/>
        <w:ind w:firstLine="709"/>
        <w:rPr>
          <w:rFonts w:ascii="Lato" w:hAnsi="Lato"/>
          <w:sz w:val="22"/>
          <w:szCs w:val="22"/>
          <w:lang w:val="pl-PL"/>
        </w:rPr>
      </w:pPr>
      <w:r w:rsidRPr="00834A12">
        <w:rPr>
          <w:rFonts w:ascii="Lato" w:hAnsi="Lato"/>
          <w:sz w:val="22"/>
          <w:szCs w:val="22"/>
        </w:rPr>
        <w:t>Łączne koszty wody, mediów energetycznych i eksploatacji urządzeń energetycznych w</w:t>
      </w:r>
      <w:r w:rsidR="00190EDC" w:rsidRPr="00834A12">
        <w:rPr>
          <w:rFonts w:ascii="Lato" w:hAnsi="Lato"/>
          <w:sz w:val="22"/>
          <w:szCs w:val="22"/>
          <w:lang w:val="pl-PL"/>
        </w:rPr>
        <w:t> </w:t>
      </w:r>
      <w:r w:rsidRPr="00834A12">
        <w:rPr>
          <w:rFonts w:ascii="Lato" w:hAnsi="Lato"/>
          <w:sz w:val="22"/>
          <w:szCs w:val="22"/>
        </w:rPr>
        <w:t xml:space="preserve">analizowanej populacji obiektów użyteczności publicznej </w:t>
      </w:r>
      <w:r w:rsidRPr="00834A12">
        <w:rPr>
          <w:rFonts w:ascii="Lato" w:hAnsi="Lato"/>
          <w:sz w:val="22"/>
          <w:szCs w:val="22"/>
          <w:lang w:val="pl-PL"/>
        </w:rPr>
        <w:t xml:space="preserve">Gminy </w:t>
      </w:r>
      <w:r w:rsidR="00834A12">
        <w:rPr>
          <w:rFonts w:ascii="Lato" w:hAnsi="Lato"/>
          <w:sz w:val="22"/>
          <w:szCs w:val="22"/>
          <w:lang w:val="pl-PL"/>
        </w:rPr>
        <w:t xml:space="preserve">Pabianice </w:t>
      </w:r>
      <w:r w:rsidR="00A342D0">
        <w:rPr>
          <w:rFonts w:ascii="Lato" w:hAnsi="Lato"/>
          <w:sz w:val="22"/>
          <w:szCs w:val="22"/>
          <w:lang w:val="pl-PL"/>
        </w:rPr>
        <w:t>wyniosły</w:t>
      </w:r>
      <w:r w:rsidRPr="00834A12">
        <w:rPr>
          <w:rFonts w:ascii="Lato" w:hAnsi="Lato"/>
          <w:sz w:val="22"/>
          <w:szCs w:val="22"/>
        </w:rPr>
        <w:t xml:space="preserve"> w 201</w:t>
      </w:r>
      <w:r w:rsidRPr="00834A12">
        <w:rPr>
          <w:rFonts w:ascii="Lato" w:hAnsi="Lato"/>
          <w:sz w:val="22"/>
          <w:szCs w:val="22"/>
          <w:lang w:val="pl-PL"/>
        </w:rPr>
        <w:t>8</w:t>
      </w:r>
      <w:r w:rsidRPr="00834A12">
        <w:rPr>
          <w:rFonts w:ascii="Lato" w:hAnsi="Lato"/>
          <w:sz w:val="22"/>
          <w:szCs w:val="22"/>
        </w:rPr>
        <w:t xml:space="preserve"> roku ponad </w:t>
      </w:r>
      <w:r w:rsidR="00834A12">
        <w:rPr>
          <w:rFonts w:ascii="Lato" w:hAnsi="Lato"/>
          <w:sz w:val="22"/>
          <w:szCs w:val="22"/>
          <w:lang w:val="pl-PL"/>
        </w:rPr>
        <w:t>539</w:t>
      </w:r>
      <w:r w:rsidRPr="00834A12">
        <w:rPr>
          <w:rFonts w:ascii="Lato" w:hAnsi="Lato"/>
          <w:sz w:val="22"/>
          <w:szCs w:val="22"/>
        </w:rPr>
        <w:t>,</w:t>
      </w:r>
      <w:r w:rsidR="00834A12">
        <w:rPr>
          <w:rFonts w:ascii="Lato" w:hAnsi="Lato"/>
          <w:sz w:val="22"/>
          <w:szCs w:val="22"/>
          <w:lang w:val="pl-PL"/>
        </w:rPr>
        <w:t>5</w:t>
      </w:r>
      <w:r w:rsidRPr="00834A12">
        <w:rPr>
          <w:rFonts w:ascii="Lato" w:hAnsi="Lato"/>
          <w:sz w:val="22"/>
          <w:szCs w:val="22"/>
        </w:rPr>
        <w:t xml:space="preserve"> tys. zł/rok. </w:t>
      </w:r>
      <w:r w:rsidRPr="00834A12">
        <w:rPr>
          <w:rFonts w:ascii="Lato" w:hAnsi="Lato"/>
          <w:sz w:val="22"/>
          <w:szCs w:val="22"/>
        </w:rPr>
        <w:lastRenderedPageBreak/>
        <w:t xml:space="preserve">Najwyższy koszt związany był ze zużyciem </w:t>
      </w:r>
      <w:r w:rsidRPr="00834A12">
        <w:rPr>
          <w:rFonts w:ascii="Lato" w:hAnsi="Lato"/>
          <w:sz w:val="22"/>
          <w:szCs w:val="22"/>
          <w:lang w:val="pl-PL"/>
        </w:rPr>
        <w:t>energii elektrycznej</w:t>
      </w:r>
      <w:r w:rsidRPr="00834A12">
        <w:rPr>
          <w:rFonts w:ascii="Lato" w:hAnsi="Lato"/>
          <w:sz w:val="22"/>
          <w:szCs w:val="22"/>
        </w:rPr>
        <w:t xml:space="preserve"> – </w:t>
      </w:r>
      <w:r w:rsidR="00834A12">
        <w:rPr>
          <w:rFonts w:ascii="Lato" w:hAnsi="Lato"/>
          <w:sz w:val="22"/>
          <w:szCs w:val="22"/>
          <w:lang w:val="pl-PL"/>
        </w:rPr>
        <w:t>302</w:t>
      </w:r>
      <w:r w:rsidRPr="00834A12">
        <w:rPr>
          <w:rFonts w:ascii="Lato" w:hAnsi="Lato"/>
          <w:sz w:val="22"/>
          <w:szCs w:val="22"/>
        </w:rPr>
        <w:t>,</w:t>
      </w:r>
      <w:r w:rsidR="00834A12">
        <w:rPr>
          <w:rFonts w:ascii="Lato" w:hAnsi="Lato"/>
          <w:sz w:val="22"/>
          <w:szCs w:val="22"/>
          <w:lang w:val="pl-PL"/>
        </w:rPr>
        <w:t>9</w:t>
      </w:r>
      <w:r w:rsidRPr="00834A12">
        <w:rPr>
          <w:rFonts w:ascii="Lato" w:hAnsi="Lato"/>
          <w:sz w:val="22"/>
          <w:szCs w:val="22"/>
        </w:rPr>
        <w:t xml:space="preserve"> tys. zł/rok (</w:t>
      </w:r>
      <w:r w:rsidR="00834A12">
        <w:rPr>
          <w:rFonts w:ascii="Lato" w:hAnsi="Lato"/>
          <w:sz w:val="22"/>
          <w:szCs w:val="22"/>
          <w:lang w:val="pl-PL"/>
        </w:rPr>
        <w:t>56,1</w:t>
      </w:r>
      <w:r w:rsidRPr="00834A12">
        <w:rPr>
          <w:rFonts w:ascii="Lato" w:hAnsi="Lato"/>
          <w:sz w:val="22"/>
          <w:szCs w:val="22"/>
        </w:rPr>
        <w:t xml:space="preserve">%) oraz </w:t>
      </w:r>
      <w:r w:rsidR="00834A12">
        <w:rPr>
          <w:rFonts w:ascii="Lato" w:hAnsi="Lato"/>
          <w:sz w:val="22"/>
          <w:szCs w:val="22"/>
          <w:lang w:val="pl-PL"/>
        </w:rPr>
        <w:t>oleju opałowego</w:t>
      </w:r>
      <w:r w:rsidRPr="00834A12">
        <w:rPr>
          <w:rFonts w:ascii="Lato" w:hAnsi="Lato"/>
          <w:sz w:val="22"/>
          <w:szCs w:val="22"/>
        </w:rPr>
        <w:t xml:space="preserve"> </w:t>
      </w:r>
      <w:r w:rsidR="00834A12">
        <w:rPr>
          <w:rFonts w:ascii="Lato" w:hAnsi="Lato"/>
          <w:sz w:val="22"/>
          <w:szCs w:val="22"/>
          <w:lang w:val="pl-PL"/>
        </w:rPr>
        <w:t>187</w:t>
      </w:r>
      <w:r w:rsidRPr="00834A12">
        <w:rPr>
          <w:rFonts w:ascii="Lato" w:hAnsi="Lato"/>
          <w:sz w:val="22"/>
          <w:szCs w:val="22"/>
        </w:rPr>
        <w:t>,</w:t>
      </w:r>
      <w:r w:rsidR="00834A12">
        <w:rPr>
          <w:rFonts w:ascii="Lato" w:hAnsi="Lato"/>
          <w:sz w:val="22"/>
          <w:szCs w:val="22"/>
          <w:lang w:val="pl-PL"/>
        </w:rPr>
        <w:t>5</w:t>
      </w:r>
      <w:r w:rsidRPr="00834A12">
        <w:rPr>
          <w:rFonts w:ascii="Lato" w:hAnsi="Lato"/>
          <w:sz w:val="22"/>
          <w:szCs w:val="22"/>
        </w:rPr>
        <w:t xml:space="preserve"> tys. zł/rok (</w:t>
      </w:r>
      <w:r w:rsidR="00834A12">
        <w:rPr>
          <w:rFonts w:ascii="Lato" w:hAnsi="Lato"/>
          <w:sz w:val="22"/>
          <w:szCs w:val="22"/>
          <w:lang w:val="pl-PL"/>
        </w:rPr>
        <w:t>34,8</w:t>
      </w:r>
      <w:r w:rsidRPr="00834A12">
        <w:rPr>
          <w:rFonts w:ascii="Lato" w:hAnsi="Lato"/>
          <w:sz w:val="22"/>
          <w:szCs w:val="22"/>
        </w:rPr>
        <w:t>%)</w:t>
      </w:r>
      <w:r w:rsidR="00834A12">
        <w:rPr>
          <w:rFonts w:ascii="Lato" w:hAnsi="Lato"/>
          <w:sz w:val="22"/>
          <w:szCs w:val="22"/>
          <w:lang w:val="pl-PL"/>
        </w:rPr>
        <w:t xml:space="preserve"> i</w:t>
      </w:r>
      <w:r w:rsidRPr="00834A12">
        <w:rPr>
          <w:rFonts w:ascii="Lato" w:hAnsi="Lato"/>
          <w:sz w:val="22"/>
          <w:szCs w:val="22"/>
        </w:rPr>
        <w:t xml:space="preserve"> </w:t>
      </w:r>
      <w:r w:rsidR="00834A12">
        <w:rPr>
          <w:rFonts w:ascii="Lato" w:hAnsi="Lato"/>
          <w:sz w:val="22"/>
          <w:szCs w:val="22"/>
          <w:lang w:val="pl-PL"/>
        </w:rPr>
        <w:t>wody</w:t>
      </w:r>
      <w:r w:rsidRPr="00834A12">
        <w:rPr>
          <w:rFonts w:ascii="Lato" w:hAnsi="Lato"/>
          <w:sz w:val="22"/>
          <w:szCs w:val="22"/>
          <w:lang w:val="pl-PL"/>
        </w:rPr>
        <w:t xml:space="preserve"> </w:t>
      </w:r>
      <w:r w:rsidRPr="00834A12">
        <w:rPr>
          <w:rFonts w:ascii="Lato" w:hAnsi="Lato"/>
          <w:sz w:val="22"/>
          <w:szCs w:val="22"/>
        </w:rPr>
        <w:t xml:space="preserve">- </w:t>
      </w:r>
      <w:r w:rsidR="00834A12">
        <w:rPr>
          <w:rFonts w:ascii="Lato" w:hAnsi="Lato"/>
          <w:sz w:val="22"/>
          <w:szCs w:val="22"/>
          <w:lang w:val="pl-PL"/>
        </w:rPr>
        <w:t>25</w:t>
      </w:r>
      <w:r w:rsidRPr="00834A12">
        <w:rPr>
          <w:rFonts w:ascii="Lato" w:hAnsi="Lato"/>
          <w:sz w:val="22"/>
          <w:szCs w:val="22"/>
        </w:rPr>
        <w:t>,</w:t>
      </w:r>
      <w:r w:rsidR="00834A12">
        <w:rPr>
          <w:rFonts w:ascii="Lato" w:hAnsi="Lato"/>
          <w:sz w:val="22"/>
          <w:szCs w:val="22"/>
          <w:lang w:val="pl-PL"/>
        </w:rPr>
        <w:t>9</w:t>
      </w:r>
      <w:r w:rsidRPr="00834A12">
        <w:rPr>
          <w:rFonts w:ascii="Lato" w:hAnsi="Lato"/>
          <w:sz w:val="22"/>
          <w:szCs w:val="22"/>
        </w:rPr>
        <w:t xml:space="preserve"> tys. zł/rok (</w:t>
      </w:r>
      <w:r w:rsidR="00834A12">
        <w:rPr>
          <w:rFonts w:ascii="Lato" w:hAnsi="Lato"/>
          <w:sz w:val="22"/>
          <w:szCs w:val="22"/>
          <w:lang w:val="pl-PL"/>
        </w:rPr>
        <w:t>4,8</w:t>
      </w:r>
      <w:r w:rsidRPr="00834A12">
        <w:rPr>
          <w:rFonts w:ascii="Lato" w:hAnsi="Lato"/>
          <w:sz w:val="22"/>
          <w:szCs w:val="22"/>
        </w:rPr>
        <w:t>%)</w:t>
      </w:r>
      <w:r w:rsidRPr="00834A12">
        <w:rPr>
          <w:rFonts w:ascii="Lato" w:hAnsi="Lato"/>
          <w:sz w:val="22"/>
          <w:szCs w:val="22"/>
          <w:lang w:val="pl-PL"/>
        </w:rPr>
        <w:t xml:space="preserve">. </w:t>
      </w:r>
      <w:r w:rsidRPr="00834A12">
        <w:rPr>
          <w:rFonts w:ascii="Lato" w:hAnsi="Lato"/>
          <w:sz w:val="22"/>
          <w:szCs w:val="22"/>
        </w:rPr>
        <w:t xml:space="preserve">Strukturę kosztów dla całej populacji obiektów przedstawiono na poniższym rysunku. </w:t>
      </w:r>
    </w:p>
    <w:p w:rsidR="00806D69" w:rsidRPr="00834A12" w:rsidRDefault="00806D69" w:rsidP="00806D69">
      <w:pPr>
        <w:pStyle w:val="NormalnyNEDE"/>
        <w:rPr>
          <w:rFonts w:ascii="Lato" w:hAnsi="Lato"/>
          <w:sz w:val="22"/>
          <w:szCs w:val="22"/>
          <w:lang w:val="pl-PL"/>
        </w:rPr>
      </w:pPr>
    </w:p>
    <w:p w:rsidR="00806D69" w:rsidRPr="00834A12" w:rsidRDefault="00834A12" w:rsidP="002077AD">
      <w:pPr>
        <w:pStyle w:val="NormalnyNEDE"/>
        <w:ind w:firstLine="0"/>
        <w:rPr>
          <w:rFonts w:ascii="Lato" w:hAnsi="Lato"/>
          <w:sz w:val="22"/>
          <w:szCs w:val="22"/>
        </w:rPr>
      </w:pPr>
      <w:r>
        <w:rPr>
          <w:noProof/>
          <w:lang w:val="pl-PL" w:eastAsia="pl-PL"/>
        </w:rPr>
        <w:drawing>
          <wp:inline distT="0" distB="0" distL="0" distR="0" wp14:anchorId="5A19AA2A" wp14:editId="25A20585">
            <wp:extent cx="5972810" cy="2347595"/>
            <wp:effectExtent l="0" t="0" r="889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06D69" w:rsidRPr="00834A12" w:rsidRDefault="00806D69" w:rsidP="00806D69">
      <w:pPr>
        <w:pStyle w:val="NormalnyNEDE"/>
        <w:ind w:firstLine="0"/>
        <w:jc w:val="center"/>
        <w:rPr>
          <w:rFonts w:ascii="Lato" w:eastAsia="Times New Roman" w:hAnsi="Lato"/>
          <w:b/>
          <w:color w:val="1F497D"/>
          <w:spacing w:val="-2"/>
          <w:lang w:eastAsia="pl-PL"/>
        </w:rPr>
      </w:pPr>
      <w:bookmarkStart w:id="483" w:name="_Toc8035306"/>
      <w:bookmarkStart w:id="484" w:name="_Toc20219258"/>
      <w:r w:rsidRPr="00834A12">
        <w:rPr>
          <w:rFonts w:ascii="Lato" w:eastAsia="Times New Roman" w:hAnsi="Lato"/>
          <w:b/>
          <w:color w:val="1F497D"/>
          <w:spacing w:val="-2"/>
          <w:lang w:eastAsia="pl-PL"/>
        </w:rPr>
        <w:t xml:space="preserve">Rysunek </w:t>
      </w:r>
      <w:r w:rsidRPr="00834A12">
        <w:rPr>
          <w:rFonts w:ascii="Lato" w:eastAsia="Times New Roman" w:hAnsi="Lato"/>
          <w:b/>
          <w:color w:val="1F497D"/>
          <w:spacing w:val="-2"/>
          <w:lang w:eastAsia="pl-PL"/>
        </w:rPr>
        <w:fldChar w:fldCharType="begin"/>
      </w:r>
      <w:r w:rsidRPr="00834A12">
        <w:rPr>
          <w:rFonts w:ascii="Lato" w:eastAsia="Times New Roman" w:hAnsi="Lato"/>
          <w:b/>
          <w:color w:val="1F497D"/>
          <w:spacing w:val="-2"/>
          <w:lang w:eastAsia="pl-PL"/>
        </w:rPr>
        <w:instrText xml:space="preserve"> STYLEREF 1 \s </w:instrText>
      </w:r>
      <w:r w:rsidRPr="00834A12">
        <w:rPr>
          <w:rFonts w:ascii="Lato" w:eastAsia="Times New Roman" w:hAnsi="Lato"/>
          <w:b/>
          <w:color w:val="1F497D"/>
          <w:spacing w:val="-2"/>
          <w:lang w:eastAsia="pl-PL"/>
        </w:rPr>
        <w:fldChar w:fldCharType="separate"/>
      </w:r>
      <w:r w:rsidR="0040205B">
        <w:rPr>
          <w:rFonts w:ascii="Lato" w:eastAsia="Times New Roman" w:hAnsi="Lato"/>
          <w:b/>
          <w:noProof/>
          <w:color w:val="1F497D"/>
          <w:spacing w:val="-2"/>
          <w:lang w:eastAsia="pl-PL"/>
        </w:rPr>
        <w:t>6</w:t>
      </w:r>
      <w:r w:rsidRPr="00834A12">
        <w:rPr>
          <w:rFonts w:ascii="Lato" w:eastAsia="Times New Roman" w:hAnsi="Lato"/>
          <w:b/>
          <w:color w:val="1F497D"/>
          <w:spacing w:val="-2"/>
          <w:lang w:eastAsia="pl-PL"/>
        </w:rPr>
        <w:fldChar w:fldCharType="end"/>
      </w:r>
      <w:r w:rsidRPr="00834A12">
        <w:rPr>
          <w:rFonts w:ascii="Lato" w:eastAsia="Times New Roman" w:hAnsi="Lato"/>
          <w:b/>
          <w:color w:val="1F497D"/>
          <w:spacing w:val="-2"/>
          <w:lang w:eastAsia="pl-PL"/>
        </w:rPr>
        <w:noBreakHyphen/>
      </w:r>
      <w:r w:rsidRPr="00834A12">
        <w:rPr>
          <w:rFonts w:ascii="Lato" w:eastAsia="Times New Roman" w:hAnsi="Lato"/>
          <w:b/>
          <w:color w:val="1F497D"/>
          <w:spacing w:val="-2"/>
          <w:lang w:eastAsia="pl-PL"/>
        </w:rPr>
        <w:fldChar w:fldCharType="begin"/>
      </w:r>
      <w:r w:rsidRPr="00834A12">
        <w:rPr>
          <w:rFonts w:ascii="Lato" w:eastAsia="Times New Roman" w:hAnsi="Lato"/>
          <w:b/>
          <w:color w:val="1F497D"/>
          <w:spacing w:val="-2"/>
          <w:lang w:eastAsia="pl-PL"/>
        </w:rPr>
        <w:instrText xml:space="preserve"> SEQ Rysunek \* ARABIC \s 1 </w:instrText>
      </w:r>
      <w:r w:rsidRPr="00834A12">
        <w:rPr>
          <w:rFonts w:ascii="Lato" w:eastAsia="Times New Roman" w:hAnsi="Lato"/>
          <w:b/>
          <w:color w:val="1F497D"/>
          <w:spacing w:val="-2"/>
          <w:lang w:eastAsia="pl-PL"/>
        </w:rPr>
        <w:fldChar w:fldCharType="separate"/>
      </w:r>
      <w:r w:rsidR="0040205B">
        <w:rPr>
          <w:rFonts w:ascii="Lato" w:eastAsia="Times New Roman" w:hAnsi="Lato"/>
          <w:b/>
          <w:noProof/>
          <w:color w:val="1F497D"/>
          <w:spacing w:val="-2"/>
          <w:lang w:eastAsia="pl-PL"/>
        </w:rPr>
        <w:t>1</w:t>
      </w:r>
      <w:r w:rsidRPr="00834A12">
        <w:rPr>
          <w:rFonts w:ascii="Lato" w:eastAsia="Times New Roman" w:hAnsi="Lato"/>
          <w:b/>
          <w:color w:val="1F497D"/>
          <w:spacing w:val="-2"/>
          <w:lang w:eastAsia="pl-PL"/>
        </w:rPr>
        <w:fldChar w:fldCharType="end"/>
      </w:r>
      <w:r w:rsidRPr="00834A12">
        <w:rPr>
          <w:rFonts w:ascii="Lato" w:eastAsia="Times New Roman" w:hAnsi="Lato"/>
          <w:b/>
          <w:color w:val="1F497D"/>
          <w:spacing w:val="-2"/>
          <w:lang w:eastAsia="pl-PL"/>
        </w:rPr>
        <w:t xml:space="preserve"> Struktura kosztów w obiektach</w:t>
      </w:r>
      <w:bookmarkEnd w:id="483"/>
      <w:bookmarkEnd w:id="484"/>
    </w:p>
    <w:p w:rsidR="000E2AE3" w:rsidRDefault="000E2AE3" w:rsidP="000E2AE3">
      <w:pPr>
        <w:suppressAutoHyphens/>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806D69" w:rsidP="00806D69">
      <w:pPr>
        <w:pStyle w:val="NormalnyNEDE"/>
        <w:rPr>
          <w:rFonts w:ascii="Lato" w:hAnsi="Lato"/>
          <w:color w:val="1F497D"/>
          <w:sz w:val="22"/>
          <w:szCs w:val="22"/>
        </w:rPr>
      </w:pPr>
    </w:p>
    <w:p w:rsidR="00806D69" w:rsidRPr="00834A12" w:rsidRDefault="00806D69" w:rsidP="00806D69">
      <w:pPr>
        <w:pStyle w:val="Legenda"/>
        <w:rPr>
          <w:rFonts w:ascii="Lato" w:hAnsi="Lato"/>
          <w:color w:val="1F497D"/>
          <w:sz w:val="20"/>
          <w:szCs w:val="20"/>
        </w:rPr>
      </w:pPr>
      <w:bookmarkStart w:id="485" w:name="_Toc282111084"/>
      <w:bookmarkStart w:id="486" w:name="_Toc328984529"/>
      <w:bookmarkStart w:id="487" w:name="_Toc413090805"/>
      <w:bookmarkStart w:id="488" w:name="_Toc430598892"/>
      <w:bookmarkStart w:id="489" w:name="_Toc8035240"/>
      <w:bookmarkStart w:id="490" w:name="_Toc20219204"/>
      <w:bookmarkEnd w:id="477"/>
      <w:bookmarkEnd w:id="478"/>
      <w:bookmarkEnd w:id="479"/>
      <w:bookmarkEnd w:id="480"/>
      <w:r w:rsidRPr="00834A12">
        <w:rPr>
          <w:rFonts w:ascii="Lato" w:hAnsi="Lato"/>
          <w:bCs/>
          <w:color w:val="1F497D"/>
          <w:sz w:val="20"/>
          <w:szCs w:val="20"/>
        </w:rPr>
        <w:t xml:space="preserve">Tabela </w:t>
      </w:r>
      <w:r w:rsidRPr="00834A12">
        <w:rPr>
          <w:rFonts w:ascii="Lato" w:hAnsi="Lato"/>
          <w:bCs/>
          <w:color w:val="1F497D"/>
          <w:sz w:val="20"/>
          <w:szCs w:val="20"/>
        </w:rPr>
        <w:fldChar w:fldCharType="begin"/>
      </w:r>
      <w:r w:rsidRPr="00834A12">
        <w:rPr>
          <w:rFonts w:ascii="Lato" w:hAnsi="Lato"/>
          <w:bCs/>
          <w:color w:val="1F497D"/>
          <w:sz w:val="20"/>
          <w:szCs w:val="20"/>
        </w:rPr>
        <w:instrText xml:space="preserve"> STYLEREF 1 \s </w:instrText>
      </w:r>
      <w:r w:rsidRPr="00834A12">
        <w:rPr>
          <w:rFonts w:ascii="Lato" w:hAnsi="Lato"/>
          <w:bCs/>
          <w:color w:val="1F497D"/>
          <w:sz w:val="20"/>
          <w:szCs w:val="20"/>
        </w:rPr>
        <w:fldChar w:fldCharType="separate"/>
      </w:r>
      <w:r w:rsidR="0040205B">
        <w:rPr>
          <w:rFonts w:ascii="Lato" w:hAnsi="Lato"/>
          <w:bCs/>
          <w:noProof/>
          <w:color w:val="1F497D"/>
          <w:sz w:val="20"/>
          <w:szCs w:val="20"/>
        </w:rPr>
        <w:t>6</w:t>
      </w:r>
      <w:r w:rsidRPr="00834A12">
        <w:rPr>
          <w:rFonts w:ascii="Lato" w:hAnsi="Lato"/>
          <w:bCs/>
          <w:color w:val="1F497D"/>
          <w:sz w:val="20"/>
          <w:szCs w:val="20"/>
        </w:rPr>
        <w:fldChar w:fldCharType="end"/>
      </w:r>
      <w:r w:rsidRPr="00834A12">
        <w:rPr>
          <w:rFonts w:ascii="Lato" w:hAnsi="Lato"/>
          <w:bCs/>
          <w:color w:val="1F497D"/>
          <w:sz w:val="20"/>
          <w:szCs w:val="20"/>
        </w:rPr>
        <w:noBreakHyphen/>
      </w:r>
      <w:r w:rsidRPr="00834A12">
        <w:rPr>
          <w:rFonts w:ascii="Lato" w:hAnsi="Lato"/>
          <w:bCs/>
          <w:color w:val="1F497D"/>
          <w:sz w:val="20"/>
          <w:szCs w:val="20"/>
        </w:rPr>
        <w:fldChar w:fldCharType="begin"/>
      </w:r>
      <w:r w:rsidRPr="00834A12">
        <w:rPr>
          <w:rFonts w:ascii="Lato" w:hAnsi="Lato"/>
          <w:bCs/>
          <w:color w:val="1F497D"/>
          <w:sz w:val="20"/>
          <w:szCs w:val="20"/>
        </w:rPr>
        <w:instrText xml:space="preserve"> SEQ Tabela \* ARABIC \s 1 </w:instrText>
      </w:r>
      <w:r w:rsidRPr="00834A12">
        <w:rPr>
          <w:rFonts w:ascii="Lato" w:hAnsi="Lato"/>
          <w:bCs/>
          <w:color w:val="1F497D"/>
          <w:sz w:val="20"/>
          <w:szCs w:val="20"/>
        </w:rPr>
        <w:fldChar w:fldCharType="separate"/>
      </w:r>
      <w:r w:rsidR="0040205B">
        <w:rPr>
          <w:rFonts w:ascii="Lato" w:hAnsi="Lato"/>
          <w:bCs/>
          <w:noProof/>
          <w:color w:val="1F497D"/>
          <w:sz w:val="20"/>
          <w:szCs w:val="20"/>
        </w:rPr>
        <w:t>2</w:t>
      </w:r>
      <w:r w:rsidRPr="00834A12">
        <w:rPr>
          <w:rFonts w:ascii="Lato" w:hAnsi="Lato"/>
          <w:bCs/>
          <w:color w:val="1F497D"/>
          <w:sz w:val="20"/>
          <w:szCs w:val="20"/>
        </w:rPr>
        <w:fldChar w:fldCharType="end"/>
      </w:r>
      <w:r w:rsidRPr="00834A12">
        <w:rPr>
          <w:rFonts w:ascii="Lato" w:hAnsi="Lato"/>
          <w:bCs/>
          <w:color w:val="1F497D"/>
          <w:sz w:val="20"/>
          <w:szCs w:val="20"/>
        </w:rPr>
        <w:t xml:space="preserve"> </w:t>
      </w:r>
      <w:r w:rsidRPr="00834A12">
        <w:rPr>
          <w:rFonts w:ascii="Lato" w:hAnsi="Lato"/>
          <w:color w:val="1F497D"/>
          <w:sz w:val="20"/>
          <w:szCs w:val="20"/>
        </w:rPr>
        <w:t>Struktura kosztów w grupie</w:t>
      </w:r>
      <w:bookmarkEnd w:id="485"/>
      <w:bookmarkEnd w:id="486"/>
      <w:bookmarkEnd w:id="487"/>
      <w:bookmarkEnd w:id="488"/>
      <w:bookmarkEnd w:id="489"/>
      <w:bookmarkEnd w:id="490"/>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5339"/>
        <w:gridCol w:w="4666"/>
      </w:tblGrid>
      <w:tr w:rsidR="00806D69" w:rsidRPr="00834A12" w:rsidTr="008C4DDC">
        <w:trPr>
          <w:trHeight w:val="436"/>
          <w:jc w:val="center"/>
        </w:trPr>
        <w:tc>
          <w:tcPr>
            <w:tcW w:w="2668" w:type="pct"/>
            <w:shd w:val="clear" w:color="auto" w:fill="DBE5F1"/>
            <w:noWrap/>
            <w:vAlign w:val="bottom"/>
          </w:tcPr>
          <w:p w:rsidR="00806D69" w:rsidRPr="00834A12" w:rsidRDefault="00806D69" w:rsidP="008C4DDC">
            <w:pPr>
              <w:ind w:firstLine="0"/>
              <w:jc w:val="center"/>
              <w:rPr>
                <w:rFonts w:ascii="Lato" w:hAnsi="Lato"/>
                <w:iCs/>
                <w:color w:val="365F91"/>
                <w:sz w:val="18"/>
                <w:szCs w:val="18"/>
              </w:rPr>
            </w:pPr>
            <w:r w:rsidRPr="00834A12">
              <w:rPr>
                <w:rFonts w:ascii="Lato" w:hAnsi="Lato"/>
                <w:iCs/>
                <w:color w:val="365F91"/>
                <w:sz w:val="18"/>
                <w:szCs w:val="18"/>
              </w:rPr>
              <w:t>Nośnik / medium</w:t>
            </w:r>
          </w:p>
        </w:tc>
        <w:tc>
          <w:tcPr>
            <w:tcW w:w="2332" w:type="pct"/>
            <w:shd w:val="clear" w:color="auto" w:fill="DBE5F1"/>
            <w:noWrap/>
            <w:vAlign w:val="bottom"/>
          </w:tcPr>
          <w:p w:rsidR="00806D69" w:rsidRPr="00834A12" w:rsidRDefault="00806D69" w:rsidP="008C4DDC">
            <w:pPr>
              <w:ind w:firstLine="0"/>
              <w:jc w:val="center"/>
              <w:rPr>
                <w:rFonts w:ascii="Lato" w:hAnsi="Lato"/>
                <w:iCs/>
                <w:color w:val="1F497D"/>
                <w:sz w:val="18"/>
                <w:szCs w:val="18"/>
              </w:rPr>
            </w:pPr>
            <w:r w:rsidRPr="00834A12">
              <w:rPr>
                <w:rFonts w:ascii="Lato" w:hAnsi="Lato"/>
                <w:iCs/>
                <w:color w:val="1F497D"/>
                <w:sz w:val="18"/>
                <w:szCs w:val="18"/>
              </w:rPr>
              <w:t>Koszt [zł/rok]</w:t>
            </w:r>
          </w:p>
        </w:tc>
      </w:tr>
      <w:tr w:rsidR="00834A12" w:rsidRPr="00834A12" w:rsidTr="00834A12">
        <w:trPr>
          <w:trHeight w:val="436"/>
          <w:jc w:val="center"/>
        </w:trPr>
        <w:tc>
          <w:tcPr>
            <w:tcW w:w="2668" w:type="pct"/>
            <w:shd w:val="clear" w:color="auto" w:fill="auto"/>
            <w:noWrap/>
            <w:vAlign w:val="bottom"/>
            <w:hideMark/>
          </w:tcPr>
          <w:p w:rsidR="00834A12" w:rsidRPr="00834A12" w:rsidRDefault="00834A12" w:rsidP="008C4DDC">
            <w:pPr>
              <w:ind w:firstLine="0"/>
              <w:rPr>
                <w:rFonts w:ascii="Lato" w:hAnsi="Lato"/>
                <w:iCs/>
                <w:color w:val="365F91"/>
                <w:sz w:val="18"/>
                <w:szCs w:val="18"/>
              </w:rPr>
            </w:pPr>
            <w:r w:rsidRPr="00834A12">
              <w:rPr>
                <w:rFonts w:ascii="Lato" w:hAnsi="Lato"/>
                <w:iCs/>
                <w:color w:val="365F91"/>
                <w:sz w:val="18"/>
                <w:szCs w:val="18"/>
              </w:rPr>
              <w:t>Woda</w:t>
            </w:r>
          </w:p>
        </w:tc>
        <w:tc>
          <w:tcPr>
            <w:tcW w:w="2332" w:type="pct"/>
            <w:shd w:val="clear" w:color="auto" w:fill="auto"/>
            <w:noWrap/>
            <w:vAlign w:val="center"/>
            <w:hideMark/>
          </w:tcPr>
          <w:p w:rsidR="00834A12" w:rsidRPr="00834A12" w:rsidRDefault="00834A12" w:rsidP="00834A12">
            <w:pPr>
              <w:ind w:firstLine="0"/>
              <w:jc w:val="center"/>
              <w:rPr>
                <w:rFonts w:ascii="Lato" w:hAnsi="Lato"/>
                <w:iCs/>
                <w:color w:val="365F91"/>
                <w:sz w:val="18"/>
                <w:szCs w:val="18"/>
              </w:rPr>
            </w:pPr>
            <w:r w:rsidRPr="00834A12">
              <w:rPr>
                <w:rFonts w:ascii="Lato" w:hAnsi="Lato"/>
                <w:iCs/>
                <w:color w:val="365F91"/>
                <w:sz w:val="18"/>
                <w:szCs w:val="18"/>
              </w:rPr>
              <w:t>25 902,66</w:t>
            </w:r>
          </w:p>
        </w:tc>
      </w:tr>
      <w:tr w:rsidR="00834A12" w:rsidRPr="00834A12" w:rsidTr="00834A12">
        <w:trPr>
          <w:trHeight w:val="429"/>
          <w:jc w:val="center"/>
        </w:trPr>
        <w:tc>
          <w:tcPr>
            <w:tcW w:w="2668" w:type="pct"/>
            <w:shd w:val="clear" w:color="auto" w:fill="auto"/>
            <w:noWrap/>
            <w:vAlign w:val="bottom"/>
            <w:hideMark/>
          </w:tcPr>
          <w:p w:rsidR="00834A12" w:rsidRPr="00834A12" w:rsidRDefault="00834A12" w:rsidP="008C4DDC">
            <w:pPr>
              <w:ind w:firstLine="0"/>
              <w:rPr>
                <w:rFonts w:ascii="Lato" w:hAnsi="Lato"/>
                <w:iCs/>
                <w:color w:val="365F91"/>
                <w:sz w:val="18"/>
                <w:szCs w:val="18"/>
              </w:rPr>
            </w:pPr>
            <w:r w:rsidRPr="00834A12">
              <w:rPr>
                <w:rFonts w:ascii="Lato" w:hAnsi="Lato"/>
                <w:iCs/>
                <w:color w:val="365F91"/>
                <w:sz w:val="18"/>
                <w:szCs w:val="18"/>
              </w:rPr>
              <w:t>Gaz</w:t>
            </w:r>
          </w:p>
        </w:tc>
        <w:tc>
          <w:tcPr>
            <w:tcW w:w="2332" w:type="pct"/>
            <w:shd w:val="clear" w:color="auto" w:fill="auto"/>
            <w:noWrap/>
            <w:vAlign w:val="center"/>
            <w:hideMark/>
          </w:tcPr>
          <w:p w:rsidR="00834A12" w:rsidRPr="00834A12" w:rsidRDefault="00834A12" w:rsidP="00834A12">
            <w:pPr>
              <w:ind w:firstLine="0"/>
              <w:jc w:val="center"/>
              <w:rPr>
                <w:rFonts w:ascii="Lato" w:hAnsi="Lato"/>
                <w:iCs/>
                <w:color w:val="365F91"/>
                <w:sz w:val="18"/>
                <w:szCs w:val="18"/>
              </w:rPr>
            </w:pPr>
            <w:r w:rsidRPr="00834A12">
              <w:rPr>
                <w:rFonts w:ascii="Lato" w:hAnsi="Lato"/>
                <w:iCs/>
                <w:color w:val="365F91"/>
                <w:sz w:val="18"/>
                <w:szCs w:val="18"/>
              </w:rPr>
              <w:t>10 397,28</w:t>
            </w:r>
          </w:p>
        </w:tc>
      </w:tr>
      <w:tr w:rsidR="00834A12" w:rsidRPr="00834A12" w:rsidTr="00834A12">
        <w:trPr>
          <w:trHeight w:val="426"/>
          <w:jc w:val="center"/>
        </w:trPr>
        <w:tc>
          <w:tcPr>
            <w:tcW w:w="2668" w:type="pct"/>
            <w:shd w:val="clear" w:color="auto" w:fill="auto"/>
            <w:noWrap/>
            <w:vAlign w:val="bottom"/>
            <w:hideMark/>
          </w:tcPr>
          <w:p w:rsidR="00834A12" w:rsidRPr="00834A12" w:rsidRDefault="00834A12" w:rsidP="008C4DDC">
            <w:pPr>
              <w:ind w:firstLine="0"/>
              <w:rPr>
                <w:rFonts w:ascii="Lato" w:hAnsi="Lato"/>
                <w:iCs/>
                <w:color w:val="365F91"/>
                <w:sz w:val="18"/>
                <w:szCs w:val="18"/>
              </w:rPr>
            </w:pPr>
            <w:r w:rsidRPr="00834A12">
              <w:rPr>
                <w:rFonts w:ascii="Lato" w:hAnsi="Lato"/>
                <w:iCs/>
                <w:color w:val="365F91"/>
                <w:sz w:val="18"/>
                <w:szCs w:val="18"/>
              </w:rPr>
              <w:t>Energia elektryczna</w:t>
            </w:r>
          </w:p>
        </w:tc>
        <w:tc>
          <w:tcPr>
            <w:tcW w:w="2332" w:type="pct"/>
            <w:shd w:val="clear" w:color="auto" w:fill="auto"/>
            <w:noWrap/>
            <w:vAlign w:val="center"/>
            <w:hideMark/>
          </w:tcPr>
          <w:p w:rsidR="00834A12" w:rsidRPr="00834A12" w:rsidRDefault="00834A12" w:rsidP="00834A12">
            <w:pPr>
              <w:ind w:firstLine="0"/>
              <w:jc w:val="center"/>
              <w:rPr>
                <w:rFonts w:ascii="Lato" w:hAnsi="Lato"/>
                <w:iCs/>
                <w:color w:val="365F91"/>
                <w:sz w:val="18"/>
                <w:szCs w:val="18"/>
              </w:rPr>
            </w:pPr>
            <w:r w:rsidRPr="00834A12">
              <w:rPr>
                <w:rFonts w:ascii="Lato" w:hAnsi="Lato"/>
                <w:iCs/>
                <w:color w:val="365F91"/>
                <w:sz w:val="18"/>
                <w:szCs w:val="18"/>
              </w:rPr>
              <w:t>302 884,26</w:t>
            </w:r>
          </w:p>
        </w:tc>
      </w:tr>
      <w:tr w:rsidR="00834A12" w:rsidRPr="00834A12" w:rsidTr="00834A12">
        <w:trPr>
          <w:trHeight w:val="404"/>
          <w:jc w:val="center"/>
        </w:trPr>
        <w:tc>
          <w:tcPr>
            <w:tcW w:w="2668" w:type="pct"/>
            <w:shd w:val="clear" w:color="auto" w:fill="auto"/>
            <w:noWrap/>
            <w:vAlign w:val="bottom"/>
            <w:hideMark/>
          </w:tcPr>
          <w:p w:rsidR="00834A12" w:rsidRPr="00834A12" w:rsidRDefault="00834A12" w:rsidP="008C4DDC">
            <w:pPr>
              <w:ind w:firstLine="0"/>
              <w:rPr>
                <w:rFonts w:ascii="Lato" w:hAnsi="Lato"/>
                <w:iCs/>
                <w:color w:val="365F91"/>
                <w:sz w:val="18"/>
                <w:szCs w:val="18"/>
              </w:rPr>
            </w:pPr>
            <w:r w:rsidRPr="00834A12">
              <w:rPr>
                <w:rFonts w:ascii="Lato" w:hAnsi="Lato"/>
                <w:iCs/>
                <w:color w:val="365F91"/>
                <w:sz w:val="18"/>
                <w:szCs w:val="18"/>
              </w:rPr>
              <w:t>Paliwa stałe</w:t>
            </w:r>
          </w:p>
        </w:tc>
        <w:tc>
          <w:tcPr>
            <w:tcW w:w="2332" w:type="pct"/>
            <w:shd w:val="clear" w:color="auto" w:fill="auto"/>
            <w:noWrap/>
            <w:vAlign w:val="center"/>
            <w:hideMark/>
          </w:tcPr>
          <w:p w:rsidR="00834A12" w:rsidRPr="00834A12" w:rsidRDefault="00834A12" w:rsidP="00834A12">
            <w:pPr>
              <w:ind w:firstLine="0"/>
              <w:jc w:val="center"/>
              <w:rPr>
                <w:rFonts w:ascii="Lato" w:hAnsi="Lato"/>
                <w:iCs/>
                <w:color w:val="365F91"/>
                <w:sz w:val="18"/>
                <w:szCs w:val="18"/>
              </w:rPr>
            </w:pPr>
            <w:r w:rsidRPr="00834A12">
              <w:rPr>
                <w:rFonts w:ascii="Lato" w:hAnsi="Lato"/>
                <w:iCs/>
                <w:color w:val="365F91"/>
                <w:sz w:val="18"/>
                <w:szCs w:val="18"/>
              </w:rPr>
              <w:t>6 300,02</w:t>
            </w:r>
          </w:p>
        </w:tc>
      </w:tr>
      <w:tr w:rsidR="00834A12" w:rsidRPr="00834A12" w:rsidTr="00834A12">
        <w:trPr>
          <w:trHeight w:val="425"/>
          <w:jc w:val="center"/>
        </w:trPr>
        <w:tc>
          <w:tcPr>
            <w:tcW w:w="2668" w:type="pct"/>
            <w:shd w:val="clear" w:color="auto" w:fill="auto"/>
            <w:noWrap/>
            <w:vAlign w:val="bottom"/>
            <w:hideMark/>
          </w:tcPr>
          <w:p w:rsidR="00834A12" w:rsidRPr="00834A12" w:rsidRDefault="00834A12" w:rsidP="008C4DDC">
            <w:pPr>
              <w:ind w:firstLine="0"/>
              <w:rPr>
                <w:rFonts w:ascii="Lato" w:hAnsi="Lato"/>
                <w:iCs/>
                <w:color w:val="365F91"/>
                <w:sz w:val="18"/>
                <w:szCs w:val="18"/>
              </w:rPr>
            </w:pPr>
            <w:r w:rsidRPr="00834A12">
              <w:rPr>
                <w:rFonts w:ascii="Lato" w:hAnsi="Lato"/>
                <w:iCs/>
                <w:color w:val="365F91"/>
                <w:sz w:val="18"/>
                <w:szCs w:val="18"/>
              </w:rPr>
              <w:t>Olej opałowy</w:t>
            </w:r>
          </w:p>
        </w:tc>
        <w:tc>
          <w:tcPr>
            <w:tcW w:w="2332" w:type="pct"/>
            <w:shd w:val="clear" w:color="auto" w:fill="auto"/>
            <w:noWrap/>
            <w:vAlign w:val="center"/>
            <w:hideMark/>
          </w:tcPr>
          <w:p w:rsidR="00834A12" w:rsidRPr="00834A12" w:rsidRDefault="00834A12" w:rsidP="00834A12">
            <w:pPr>
              <w:ind w:firstLine="0"/>
              <w:jc w:val="center"/>
              <w:rPr>
                <w:rFonts w:ascii="Lato" w:hAnsi="Lato"/>
                <w:iCs/>
                <w:color w:val="365F91"/>
                <w:sz w:val="18"/>
                <w:szCs w:val="18"/>
              </w:rPr>
            </w:pPr>
            <w:r w:rsidRPr="00834A12">
              <w:rPr>
                <w:rFonts w:ascii="Lato" w:hAnsi="Lato"/>
                <w:iCs/>
                <w:color w:val="365F91"/>
                <w:sz w:val="18"/>
                <w:szCs w:val="18"/>
              </w:rPr>
              <w:t>187 526,81</w:t>
            </w:r>
          </w:p>
        </w:tc>
      </w:tr>
      <w:tr w:rsidR="00806D69" w:rsidRPr="00834A12" w:rsidTr="00834A12">
        <w:trPr>
          <w:trHeight w:val="393"/>
          <w:jc w:val="center"/>
        </w:trPr>
        <w:tc>
          <w:tcPr>
            <w:tcW w:w="2668" w:type="pct"/>
            <w:shd w:val="clear" w:color="auto" w:fill="auto"/>
            <w:noWrap/>
            <w:vAlign w:val="bottom"/>
          </w:tcPr>
          <w:p w:rsidR="00806D69" w:rsidRPr="00834A12" w:rsidRDefault="00806D69" w:rsidP="008C4DDC">
            <w:pPr>
              <w:ind w:firstLine="0"/>
              <w:rPr>
                <w:rFonts w:ascii="Lato" w:hAnsi="Lato"/>
                <w:iCs/>
                <w:color w:val="365F91"/>
                <w:sz w:val="18"/>
                <w:szCs w:val="18"/>
              </w:rPr>
            </w:pPr>
            <w:r w:rsidRPr="00834A12">
              <w:rPr>
                <w:rFonts w:ascii="Lato" w:hAnsi="Lato"/>
                <w:iCs/>
                <w:color w:val="365F91"/>
                <w:sz w:val="18"/>
                <w:szCs w:val="18"/>
              </w:rPr>
              <w:t>Inne</w:t>
            </w:r>
          </w:p>
        </w:tc>
        <w:tc>
          <w:tcPr>
            <w:tcW w:w="2332" w:type="pct"/>
            <w:shd w:val="clear" w:color="auto" w:fill="auto"/>
            <w:noWrap/>
            <w:vAlign w:val="center"/>
          </w:tcPr>
          <w:p w:rsidR="00806D69" w:rsidRPr="00834A12" w:rsidRDefault="00834A12" w:rsidP="00834A12">
            <w:pPr>
              <w:ind w:firstLine="0"/>
              <w:jc w:val="center"/>
              <w:rPr>
                <w:rFonts w:ascii="Lato" w:hAnsi="Lato"/>
                <w:iCs/>
                <w:color w:val="365F91"/>
                <w:sz w:val="18"/>
                <w:szCs w:val="18"/>
              </w:rPr>
            </w:pPr>
            <w:r w:rsidRPr="00834A12">
              <w:rPr>
                <w:rFonts w:ascii="Lato" w:hAnsi="Lato"/>
                <w:iCs/>
                <w:color w:val="365F91"/>
                <w:sz w:val="18"/>
                <w:szCs w:val="18"/>
              </w:rPr>
              <w:t>6 512,04</w:t>
            </w:r>
          </w:p>
        </w:tc>
      </w:tr>
    </w:tbl>
    <w:p w:rsidR="000E2AE3" w:rsidRDefault="000E2AE3" w:rsidP="000E2AE3">
      <w:pPr>
        <w:suppressAutoHyphens/>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806D69" w:rsidP="00806D69">
      <w:pPr>
        <w:jc w:val="center"/>
        <w:rPr>
          <w:rFonts w:ascii="Lato" w:hAnsi="Lato"/>
        </w:rPr>
      </w:pPr>
    </w:p>
    <w:p w:rsidR="00806D69" w:rsidRPr="00834A12" w:rsidRDefault="00806D69" w:rsidP="00806D69">
      <w:pPr>
        <w:ind w:firstLine="0"/>
        <w:jc w:val="center"/>
        <w:rPr>
          <w:rFonts w:ascii="Lato" w:hAnsi="Lato"/>
        </w:rPr>
      </w:pPr>
      <w:r w:rsidRPr="00834A12">
        <w:rPr>
          <w:rFonts w:ascii="Lato" w:hAnsi="Lato"/>
          <w:noProof/>
        </w:rPr>
        <w:lastRenderedPageBreak/>
        <w:t xml:space="preserve"> </w:t>
      </w:r>
      <w:r w:rsidR="00C03A4B">
        <w:rPr>
          <w:noProof/>
        </w:rPr>
        <w:drawing>
          <wp:inline distT="0" distB="0" distL="0" distR="0" wp14:anchorId="2D7A2DCF" wp14:editId="433C2FF2">
            <wp:extent cx="3014662" cy="1724025"/>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834A12">
        <w:rPr>
          <w:rFonts w:ascii="Lato" w:hAnsi="Lato"/>
          <w:noProof/>
        </w:rPr>
        <w:t xml:space="preserve"> </w:t>
      </w:r>
      <w:r w:rsidR="00C03A4B">
        <w:rPr>
          <w:noProof/>
        </w:rPr>
        <w:drawing>
          <wp:inline distT="0" distB="0" distL="0" distR="0" wp14:anchorId="77083745" wp14:editId="113D4289">
            <wp:extent cx="3005137" cy="1714500"/>
            <wp:effectExtent l="0" t="0" r="508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834A12">
        <w:rPr>
          <w:rFonts w:ascii="Lato" w:hAnsi="Lato"/>
          <w:noProof/>
        </w:rPr>
        <w:t xml:space="preserve"> </w:t>
      </w:r>
      <w:r w:rsidR="00C03A4B">
        <w:rPr>
          <w:noProof/>
        </w:rPr>
        <w:drawing>
          <wp:inline distT="0" distB="0" distL="0" distR="0" wp14:anchorId="762E4DF8" wp14:editId="697218E1">
            <wp:extent cx="3014662" cy="1724025"/>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834A12">
        <w:rPr>
          <w:rFonts w:ascii="Lato" w:hAnsi="Lato"/>
          <w:noProof/>
        </w:rPr>
        <w:t xml:space="preserve"> </w:t>
      </w:r>
      <w:r w:rsidR="00C03A4B">
        <w:rPr>
          <w:noProof/>
        </w:rPr>
        <w:drawing>
          <wp:inline distT="0" distB="0" distL="0" distR="0" wp14:anchorId="59315E42" wp14:editId="55F9E0BE">
            <wp:extent cx="3005137" cy="1714500"/>
            <wp:effectExtent l="0" t="0" r="508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834A12">
        <w:rPr>
          <w:rFonts w:ascii="Lato" w:hAnsi="Lato"/>
          <w:noProof/>
        </w:rPr>
        <w:t xml:space="preserve"> </w:t>
      </w:r>
      <w:r w:rsidR="00C03A4B">
        <w:rPr>
          <w:noProof/>
        </w:rPr>
        <w:drawing>
          <wp:inline distT="0" distB="0" distL="0" distR="0" wp14:anchorId="6E2FBFE6" wp14:editId="38E1C374">
            <wp:extent cx="3014662" cy="1724025"/>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834A12">
        <w:rPr>
          <w:rFonts w:ascii="Lato" w:hAnsi="Lato"/>
          <w:noProof/>
        </w:rPr>
        <w:t xml:space="preserve"> </w:t>
      </w:r>
      <w:r w:rsidR="0006260E" w:rsidRPr="00834A12">
        <w:rPr>
          <w:rFonts w:ascii="Lato" w:hAnsi="Lato"/>
          <w:noProof/>
        </w:rPr>
        <w:drawing>
          <wp:inline distT="0" distB="0" distL="0" distR="0" wp14:anchorId="48141E5E" wp14:editId="46DDE533">
            <wp:extent cx="2805430" cy="1722755"/>
            <wp:effectExtent l="0" t="0" r="0" b="0"/>
            <wp:docPr id="69"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834A12">
        <w:rPr>
          <w:rFonts w:ascii="Lato" w:hAnsi="Lato"/>
          <w:noProof/>
        </w:rPr>
        <w:t xml:space="preserve"> </w:t>
      </w:r>
      <w:r w:rsidR="00C03A4B">
        <w:rPr>
          <w:noProof/>
        </w:rPr>
        <w:drawing>
          <wp:inline distT="0" distB="0" distL="0" distR="0" wp14:anchorId="49AEA254" wp14:editId="4B965153">
            <wp:extent cx="3005137" cy="1714500"/>
            <wp:effectExtent l="0" t="0" r="508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834A12">
        <w:rPr>
          <w:rFonts w:ascii="Lato" w:hAnsi="Lato"/>
          <w:noProof/>
        </w:rPr>
        <w:t xml:space="preserve"> </w:t>
      </w:r>
      <w:r w:rsidR="00C03A4B">
        <w:rPr>
          <w:noProof/>
        </w:rPr>
        <w:drawing>
          <wp:inline distT="0" distB="0" distL="0" distR="0" wp14:anchorId="60BAAAB4" wp14:editId="74339527">
            <wp:extent cx="2900362" cy="1714500"/>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06D69" w:rsidRPr="00834A12" w:rsidRDefault="00806D69" w:rsidP="00806D69">
      <w:pPr>
        <w:pStyle w:val="Legenda"/>
        <w:jc w:val="center"/>
        <w:rPr>
          <w:rFonts w:ascii="Lato" w:hAnsi="Lato"/>
          <w:color w:val="1F497D"/>
          <w:sz w:val="20"/>
          <w:szCs w:val="20"/>
          <w:lang w:val="pl-PL"/>
        </w:rPr>
      </w:pPr>
      <w:bookmarkStart w:id="491" w:name="_Toc282091262"/>
      <w:bookmarkStart w:id="492" w:name="_Toc328984607"/>
      <w:bookmarkStart w:id="493" w:name="_Toc413090884"/>
      <w:bookmarkStart w:id="494" w:name="_Toc430598977"/>
      <w:bookmarkStart w:id="495" w:name="_Toc8035309"/>
      <w:bookmarkStart w:id="496" w:name="_Toc20219259"/>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2</w:t>
      </w:r>
      <w:r w:rsidRPr="00834A12">
        <w:rPr>
          <w:rFonts w:ascii="Lato" w:hAnsi="Lato"/>
          <w:color w:val="1F497D"/>
          <w:sz w:val="20"/>
          <w:szCs w:val="20"/>
        </w:rPr>
        <w:fldChar w:fldCharType="end"/>
      </w:r>
      <w:r w:rsidRPr="00834A12">
        <w:rPr>
          <w:rFonts w:ascii="Lato" w:hAnsi="Lato"/>
          <w:color w:val="1F497D"/>
          <w:sz w:val="20"/>
          <w:szCs w:val="20"/>
        </w:rPr>
        <w:t xml:space="preserve"> Koszty wody i poszczególnych mediów energetycznych w analizowanej grupie obiektów</w:t>
      </w:r>
      <w:bookmarkEnd w:id="491"/>
      <w:r w:rsidRPr="00834A12">
        <w:rPr>
          <w:rFonts w:ascii="Lato" w:hAnsi="Lato"/>
          <w:color w:val="1F497D"/>
          <w:sz w:val="20"/>
          <w:szCs w:val="20"/>
        </w:rPr>
        <w:t xml:space="preserve"> </w:t>
      </w:r>
      <w:r w:rsidRPr="00834A12">
        <w:rPr>
          <w:rFonts w:ascii="Lato" w:hAnsi="Lato"/>
          <w:color w:val="1F497D"/>
          <w:sz w:val="20"/>
          <w:szCs w:val="20"/>
          <w:lang w:val="pl-PL"/>
        </w:rPr>
        <w:br/>
      </w:r>
      <w:r w:rsidRPr="00834A12">
        <w:rPr>
          <w:rFonts w:ascii="Lato" w:hAnsi="Lato"/>
          <w:color w:val="1F497D"/>
          <w:sz w:val="20"/>
          <w:szCs w:val="20"/>
        </w:rPr>
        <w:t>w latach 201</w:t>
      </w:r>
      <w:r w:rsidRPr="00834A12">
        <w:rPr>
          <w:rFonts w:ascii="Lato" w:hAnsi="Lato"/>
          <w:color w:val="1F497D"/>
          <w:sz w:val="20"/>
          <w:szCs w:val="20"/>
          <w:lang w:val="pl-PL"/>
        </w:rPr>
        <w:t>6</w:t>
      </w:r>
      <w:r w:rsidRPr="00834A12">
        <w:rPr>
          <w:rFonts w:ascii="Lato" w:hAnsi="Lato"/>
          <w:color w:val="1F497D"/>
          <w:sz w:val="20"/>
          <w:szCs w:val="20"/>
        </w:rPr>
        <w:t xml:space="preserve"> - 201</w:t>
      </w:r>
      <w:bookmarkEnd w:id="492"/>
      <w:bookmarkEnd w:id="493"/>
      <w:bookmarkEnd w:id="494"/>
      <w:bookmarkEnd w:id="495"/>
      <w:r w:rsidRPr="00834A12">
        <w:rPr>
          <w:rFonts w:ascii="Lato" w:hAnsi="Lato"/>
          <w:color w:val="1F497D"/>
          <w:sz w:val="20"/>
          <w:szCs w:val="20"/>
          <w:lang w:val="pl-PL"/>
        </w:rPr>
        <w:t>8</w:t>
      </w:r>
      <w:bookmarkEnd w:id="496"/>
    </w:p>
    <w:p w:rsidR="00833902" w:rsidRDefault="00833902" w:rsidP="00833902">
      <w:pPr>
        <w:suppressAutoHyphens/>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806D69" w:rsidP="00806D69">
      <w:pPr>
        <w:jc w:val="center"/>
        <w:rPr>
          <w:rFonts w:ascii="Lato" w:hAnsi="Lato"/>
        </w:rPr>
      </w:pPr>
    </w:p>
    <w:p w:rsidR="00806D69" w:rsidRDefault="00806D69" w:rsidP="00281998">
      <w:pPr>
        <w:pStyle w:val="NormalnyNEDE"/>
        <w:spacing w:after="0" w:line="312" w:lineRule="auto"/>
        <w:ind w:firstLine="709"/>
        <w:rPr>
          <w:rFonts w:ascii="Lato" w:hAnsi="Lato"/>
          <w:sz w:val="22"/>
          <w:szCs w:val="22"/>
          <w:lang w:val="pl-PL"/>
        </w:rPr>
      </w:pPr>
      <w:r w:rsidRPr="00834A12">
        <w:rPr>
          <w:rFonts w:ascii="Lato" w:hAnsi="Lato"/>
          <w:sz w:val="22"/>
          <w:szCs w:val="22"/>
        </w:rPr>
        <w:t xml:space="preserve">Łączne zużycie energii w analizowanej populacji obiektów użyteczności publicznej </w:t>
      </w:r>
      <w:r w:rsidRPr="00834A12">
        <w:rPr>
          <w:rFonts w:ascii="Lato" w:hAnsi="Lato"/>
          <w:sz w:val="22"/>
          <w:szCs w:val="22"/>
          <w:lang w:val="pl-PL"/>
        </w:rPr>
        <w:t xml:space="preserve">Gminy </w:t>
      </w:r>
      <w:r w:rsidR="00C03A4B">
        <w:rPr>
          <w:rFonts w:ascii="Lato" w:hAnsi="Lato"/>
          <w:sz w:val="22"/>
          <w:szCs w:val="22"/>
          <w:lang w:val="pl-PL"/>
        </w:rPr>
        <w:t>Pabianice</w:t>
      </w:r>
      <w:r w:rsidRPr="00834A12">
        <w:rPr>
          <w:rFonts w:ascii="Lato" w:hAnsi="Lato"/>
          <w:sz w:val="22"/>
          <w:szCs w:val="22"/>
          <w:lang w:val="pl-PL"/>
        </w:rPr>
        <w:t xml:space="preserve"> </w:t>
      </w:r>
      <w:r w:rsidRPr="00834A12">
        <w:rPr>
          <w:rFonts w:ascii="Lato" w:hAnsi="Lato"/>
          <w:sz w:val="22"/>
          <w:szCs w:val="22"/>
        </w:rPr>
        <w:t>wyniosło w roku 201</w:t>
      </w:r>
      <w:r w:rsidRPr="00834A12">
        <w:rPr>
          <w:rFonts w:ascii="Lato" w:hAnsi="Lato"/>
          <w:sz w:val="22"/>
          <w:szCs w:val="22"/>
          <w:lang w:val="pl-PL"/>
        </w:rPr>
        <w:t>8</w:t>
      </w:r>
      <w:r w:rsidRPr="00834A12">
        <w:rPr>
          <w:rFonts w:ascii="Lato" w:hAnsi="Lato"/>
          <w:sz w:val="22"/>
          <w:szCs w:val="22"/>
        </w:rPr>
        <w:t xml:space="preserve"> roku </w:t>
      </w:r>
      <w:r w:rsidR="00C03A4B">
        <w:rPr>
          <w:rFonts w:ascii="Lato" w:hAnsi="Lato"/>
          <w:sz w:val="22"/>
          <w:szCs w:val="22"/>
          <w:lang w:val="pl-PL"/>
        </w:rPr>
        <w:t>5 675,5</w:t>
      </w:r>
      <w:r w:rsidRPr="00834A12">
        <w:rPr>
          <w:rFonts w:ascii="Lato" w:hAnsi="Lato"/>
          <w:sz w:val="22"/>
          <w:szCs w:val="22"/>
        </w:rPr>
        <w:t xml:space="preserve"> GJ/rok. Najwyższe zużycie związane było ze zużyciem </w:t>
      </w:r>
      <w:r w:rsidR="00C03A4B">
        <w:rPr>
          <w:rFonts w:ascii="Lato" w:hAnsi="Lato"/>
          <w:sz w:val="22"/>
          <w:szCs w:val="22"/>
          <w:lang w:val="pl-PL"/>
        </w:rPr>
        <w:t>energii elektrycznej</w:t>
      </w:r>
      <w:r w:rsidRPr="00834A12">
        <w:rPr>
          <w:rFonts w:ascii="Lato" w:hAnsi="Lato"/>
          <w:sz w:val="22"/>
          <w:szCs w:val="22"/>
        </w:rPr>
        <w:t xml:space="preserve"> – </w:t>
      </w:r>
      <w:r w:rsidR="00C03A4B">
        <w:rPr>
          <w:rFonts w:ascii="Lato" w:hAnsi="Lato"/>
          <w:sz w:val="22"/>
          <w:szCs w:val="22"/>
          <w:lang w:val="pl-PL"/>
        </w:rPr>
        <w:lastRenderedPageBreak/>
        <w:t>2</w:t>
      </w:r>
      <w:r w:rsidR="00C03A4B">
        <w:rPr>
          <w:rFonts w:ascii="Lato" w:hAnsi="Lato"/>
          <w:sz w:val="22"/>
          <w:szCs w:val="22"/>
        </w:rPr>
        <w:t> </w:t>
      </w:r>
      <w:r w:rsidR="00C03A4B">
        <w:rPr>
          <w:rFonts w:ascii="Lato" w:hAnsi="Lato"/>
          <w:sz w:val="22"/>
          <w:szCs w:val="22"/>
          <w:lang w:val="pl-PL"/>
        </w:rPr>
        <w:t>720,4</w:t>
      </w:r>
      <w:r w:rsidRPr="00834A12">
        <w:rPr>
          <w:rFonts w:ascii="Lato" w:hAnsi="Lato"/>
          <w:sz w:val="22"/>
          <w:szCs w:val="22"/>
        </w:rPr>
        <w:t xml:space="preserve"> GJ/rok (</w:t>
      </w:r>
      <w:r w:rsidR="00C03A4B">
        <w:rPr>
          <w:rFonts w:ascii="Lato" w:hAnsi="Lato"/>
          <w:sz w:val="22"/>
          <w:szCs w:val="22"/>
          <w:lang w:val="pl-PL"/>
        </w:rPr>
        <w:t>47,9</w:t>
      </w:r>
      <w:r w:rsidRPr="00834A12">
        <w:rPr>
          <w:rFonts w:ascii="Lato" w:hAnsi="Lato"/>
          <w:sz w:val="22"/>
          <w:szCs w:val="22"/>
        </w:rPr>
        <w:t xml:space="preserve">%) oraz </w:t>
      </w:r>
      <w:r w:rsidR="00CC64F1">
        <w:rPr>
          <w:rFonts w:ascii="Lato" w:hAnsi="Lato"/>
          <w:sz w:val="22"/>
          <w:szCs w:val="22"/>
          <w:lang w:val="pl-PL"/>
        </w:rPr>
        <w:t>oleju opałowego</w:t>
      </w:r>
      <w:r w:rsidRPr="00834A12">
        <w:rPr>
          <w:rFonts w:ascii="Lato" w:hAnsi="Lato"/>
          <w:sz w:val="22"/>
          <w:szCs w:val="22"/>
        </w:rPr>
        <w:t xml:space="preserve"> – </w:t>
      </w:r>
      <w:r w:rsidR="00CC64F1">
        <w:rPr>
          <w:rFonts w:ascii="Lato" w:hAnsi="Lato"/>
          <w:sz w:val="22"/>
          <w:szCs w:val="22"/>
          <w:lang w:val="pl-PL"/>
        </w:rPr>
        <w:t>2 246,0</w:t>
      </w:r>
      <w:r w:rsidRPr="00834A12">
        <w:rPr>
          <w:rFonts w:ascii="Lato" w:hAnsi="Lato"/>
          <w:sz w:val="22"/>
          <w:szCs w:val="22"/>
        </w:rPr>
        <w:t xml:space="preserve"> GJ/rok (ok. </w:t>
      </w:r>
      <w:r w:rsidR="00CC64F1">
        <w:rPr>
          <w:rFonts w:ascii="Lato" w:hAnsi="Lato"/>
          <w:sz w:val="22"/>
          <w:szCs w:val="22"/>
          <w:lang w:val="pl-PL"/>
        </w:rPr>
        <w:t>42</w:t>
      </w:r>
      <w:r w:rsidRPr="00834A12">
        <w:rPr>
          <w:rFonts w:ascii="Lato" w:hAnsi="Lato"/>
          <w:sz w:val="22"/>
          <w:szCs w:val="22"/>
        </w:rPr>
        <w:t>,</w:t>
      </w:r>
      <w:r w:rsidR="00CC64F1">
        <w:rPr>
          <w:rFonts w:ascii="Lato" w:hAnsi="Lato"/>
          <w:sz w:val="22"/>
          <w:szCs w:val="22"/>
          <w:lang w:val="pl-PL"/>
        </w:rPr>
        <w:t>7</w:t>
      </w:r>
      <w:r w:rsidRPr="00834A12">
        <w:rPr>
          <w:rFonts w:ascii="Lato" w:hAnsi="Lato"/>
          <w:sz w:val="22"/>
          <w:szCs w:val="22"/>
        </w:rPr>
        <w:t>%) i </w:t>
      </w:r>
      <w:r w:rsidR="00CC64F1">
        <w:rPr>
          <w:rFonts w:ascii="Lato" w:hAnsi="Lato"/>
          <w:sz w:val="22"/>
          <w:szCs w:val="22"/>
          <w:lang w:val="pl-PL"/>
        </w:rPr>
        <w:t>paliw stałych</w:t>
      </w:r>
      <w:r w:rsidRPr="00834A12">
        <w:rPr>
          <w:rFonts w:ascii="Lato" w:hAnsi="Lato"/>
          <w:sz w:val="22"/>
          <w:szCs w:val="22"/>
        </w:rPr>
        <w:t xml:space="preserve"> – </w:t>
      </w:r>
      <w:r w:rsidR="00CC64F1">
        <w:rPr>
          <w:rFonts w:ascii="Lato" w:hAnsi="Lato"/>
          <w:sz w:val="22"/>
          <w:szCs w:val="22"/>
          <w:lang w:val="pl-PL"/>
        </w:rPr>
        <w:t>386,9</w:t>
      </w:r>
      <w:r w:rsidRPr="00834A12">
        <w:rPr>
          <w:rFonts w:ascii="Lato" w:hAnsi="Lato"/>
          <w:sz w:val="22"/>
          <w:szCs w:val="22"/>
        </w:rPr>
        <w:t xml:space="preserve"> GJ/rok (ok. </w:t>
      </w:r>
      <w:r w:rsidR="00CC64F1">
        <w:rPr>
          <w:rFonts w:ascii="Lato" w:hAnsi="Lato"/>
          <w:sz w:val="22"/>
          <w:szCs w:val="22"/>
          <w:lang w:val="pl-PL"/>
        </w:rPr>
        <w:t>6,8</w:t>
      </w:r>
      <w:r w:rsidRPr="00834A12">
        <w:rPr>
          <w:rFonts w:ascii="Lato" w:hAnsi="Lato"/>
          <w:sz w:val="22"/>
          <w:szCs w:val="22"/>
        </w:rPr>
        <w:t>%). Strukturę zużycia energii i paliw dla całej populacji obiektów przedstawiono na poniższym rysunku.</w:t>
      </w:r>
    </w:p>
    <w:p w:rsidR="002542F4" w:rsidRPr="002542F4" w:rsidRDefault="002542F4" w:rsidP="00281998">
      <w:pPr>
        <w:pStyle w:val="NormalnyNEDE"/>
        <w:spacing w:after="0" w:line="312" w:lineRule="auto"/>
        <w:ind w:firstLine="709"/>
        <w:rPr>
          <w:rFonts w:ascii="Lato" w:hAnsi="Lato"/>
          <w:sz w:val="22"/>
          <w:szCs w:val="22"/>
          <w:lang w:val="pl-PL"/>
        </w:rPr>
      </w:pPr>
    </w:p>
    <w:p w:rsidR="00806D69" w:rsidRPr="00834A12" w:rsidRDefault="00C03A4B" w:rsidP="00806D69">
      <w:pPr>
        <w:pStyle w:val="NormalnyNEDE"/>
        <w:ind w:firstLine="0"/>
        <w:rPr>
          <w:rFonts w:ascii="Lato" w:hAnsi="Lato"/>
          <w:sz w:val="22"/>
          <w:szCs w:val="22"/>
        </w:rPr>
      </w:pPr>
      <w:r>
        <w:rPr>
          <w:noProof/>
          <w:lang w:val="pl-PL" w:eastAsia="pl-PL"/>
        </w:rPr>
        <w:drawing>
          <wp:inline distT="0" distB="0" distL="0" distR="0" wp14:anchorId="79EDEA3B" wp14:editId="373FDD62">
            <wp:extent cx="5972810" cy="2118995"/>
            <wp:effectExtent l="0" t="0" r="889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06D69" w:rsidRPr="00834A12" w:rsidRDefault="00806D69" w:rsidP="00806D69">
      <w:pPr>
        <w:pStyle w:val="NormalnyNEDE"/>
        <w:ind w:firstLine="0"/>
        <w:jc w:val="center"/>
        <w:rPr>
          <w:rFonts w:ascii="Lato" w:eastAsia="Times New Roman" w:hAnsi="Lato"/>
          <w:b/>
          <w:color w:val="1F497D"/>
          <w:spacing w:val="-2"/>
          <w:lang w:eastAsia="pl-PL"/>
        </w:rPr>
      </w:pPr>
      <w:bookmarkStart w:id="497" w:name="_Toc8035307"/>
      <w:bookmarkStart w:id="498" w:name="_Toc20219260"/>
      <w:r w:rsidRPr="00834A12">
        <w:rPr>
          <w:rFonts w:ascii="Lato" w:eastAsia="Times New Roman" w:hAnsi="Lato"/>
          <w:b/>
          <w:color w:val="1F497D"/>
          <w:spacing w:val="-2"/>
          <w:lang w:eastAsia="pl-PL"/>
        </w:rPr>
        <w:t xml:space="preserve">Rysunek </w:t>
      </w:r>
      <w:r w:rsidRPr="00834A12">
        <w:rPr>
          <w:rFonts w:ascii="Lato" w:eastAsia="Times New Roman" w:hAnsi="Lato"/>
          <w:b/>
          <w:color w:val="1F497D"/>
          <w:spacing w:val="-2"/>
          <w:lang w:eastAsia="pl-PL"/>
        </w:rPr>
        <w:fldChar w:fldCharType="begin"/>
      </w:r>
      <w:r w:rsidRPr="00834A12">
        <w:rPr>
          <w:rFonts w:ascii="Lato" w:eastAsia="Times New Roman" w:hAnsi="Lato"/>
          <w:b/>
          <w:color w:val="1F497D"/>
          <w:spacing w:val="-2"/>
          <w:lang w:eastAsia="pl-PL"/>
        </w:rPr>
        <w:instrText xml:space="preserve"> STYLEREF 1 \s </w:instrText>
      </w:r>
      <w:r w:rsidRPr="00834A12">
        <w:rPr>
          <w:rFonts w:ascii="Lato" w:eastAsia="Times New Roman" w:hAnsi="Lato"/>
          <w:b/>
          <w:color w:val="1F497D"/>
          <w:spacing w:val="-2"/>
          <w:lang w:eastAsia="pl-PL"/>
        </w:rPr>
        <w:fldChar w:fldCharType="separate"/>
      </w:r>
      <w:r w:rsidR="0040205B">
        <w:rPr>
          <w:rFonts w:ascii="Lato" w:eastAsia="Times New Roman" w:hAnsi="Lato"/>
          <w:b/>
          <w:noProof/>
          <w:color w:val="1F497D"/>
          <w:spacing w:val="-2"/>
          <w:lang w:eastAsia="pl-PL"/>
        </w:rPr>
        <w:t>6</w:t>
      </w:r>
      <w:r w:rsidRPr="00834A12">
        <w:rPr>
          <w:rFonts w:ascii="Lato" w:eastAsia="Times New Roman" w:hAnsi="Lato"/>
          <w:b/>
          <w:color w:val="1F497D"/>
          <w:spacing w:val="-2"/>
          <w:lang w:eastAsia="pl-PL"/>
        </w:rPr>
        <w:fldChar w:fldCharType="end"/>
      </w:r>
      <w:r w:rsidRPr="00834A12">
        <w:rPr>
          <w:rFonts w:ascii="Lato" w:eastAsia="Times New Roman" w:hAnsi="Lato"/>
          <w:b/>
          <w:color w:val="1F497D"/>
          <w:spacing w:val="-2"/>
          <w:lang w:eastAsia="pl-PL"/>
        </w:rPr>
        <w:noBreakHyphen/>
      </w:r>
      <w:r w:rsidRPr="00834A12">
        <w:rPr>
          <w:rFonts w:ascii="Lato" w:eastAsia="Times New Roman" w:hAnsi="Lato"/>
          <w:b/>
          <w:color w:val="1F497D"/>
          <w:spacing w:val="-2"/>
          <w:lang w:eastAsia="pl-PL"/>
        </w:rPr>
        <w:fldChar w:fldCharType="begin"/>
      </w:r>
      <w:r w:rsidRPr="00834A12">
        <w:rPr>
          <w:rFonts w:ascii="Lato" w:eastAsia="Times New Roman" w:hAnsi="Lato"/>
          <w:b/>
          <w:color w:val="1F497D"/>
          <w:spacing w:val="-2"/>
          <w:lang w:eastAsia="pl-PL"/>
        </w:rPr>
        <w:instrText xml:space="preserve"> SEQ Rysunek \* ARABIC \s 1 </w:instrText>
      </w:r>
      <w:r w:rsidRPr="00834A12">
        <w:rPr>
          <w:rFonts w:ascii="Lato" w:eastAsia="Times New Roman" w:hAnsi="Lato"/>
          <w:b/>
          <w:color w:val="1F497D"/>
          <w:spacing w:val="-2"/>
          <w:lang w:eastAsia="pl-PL"/>
        </w:rPr>
        <w:fldChar w:fldCharType="separate"/>
      </w:r>
      <w:r w:rsidR="0040205B">
        <w:rPr>
          <w:rFonts w:ascii="Lato" w:eastAsia="Times New Roman" w:hAnsi="Lato"/>
          <w:b/>
          <w:noProof/>
          <w:color w:val="1F497D"/>
          <w:spacing w:val="-2"/>
          <w:lang w:eastAsia="pl-PL"/>
        </w:rPr>
        <w:t>3</w:t>
      </w:r>
      <w:r w:rsidRPr="00834A12">
        <w:rPr>
          <w:rFonts w:ascii="Lato" w:eastAsia="Times New Roman" w:hAnsi="Lato"/>
          <w:b/>
          <w:color w:val="1F497D"/>
          <w:spacing w:val="-2"/>
          <w:lang w:eastAsia="pl-PL"/>
        </w:rPr>
        <w:fldChar w:fldCharType="end"/>
      </w:r>
      <w:r w:rsidRPr="00834A12">
        <w:rPr>
          <w:rFonts w:ascii="Lato" w:eastAsia="Times New Roman" w:hAnsi="Lato"/>
          <w:b/>
          <w:color w:val="1F497D"/>
          <w:spacing w:val="-2"/>
          <w:lang w:eastAsia="pl-PL"/>
        </w:rPr>
        <w:t xml:space="preserve"> Struktura zużycia paliw i energii w obiektach</w:t>
      </w:r>
      <w:bookmarkEnd w:id="497"/>
      <w:bookmarkEnd w:id="498"/>
    </w:p>
    <w:p w:rsidR="000E2AE3" w:rsidRDefault="000E2AE3" w:rsidP="000E2AE3">
      <w:pPr>
        <w:suppressAutoHyphens/>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806D69" w:rsidP="00806D69">
      <w:pPr>
        <w:rPr>
          <w:rFonts w:ascii="Lato" w:hAnsi="Lato"/>
          <w:lang w:val="x-none"/>
        </w:rPr>
      </w:pPr>
    </w:p>
    <w:p w:rsidR="00806D69" w:rsidRPr="00834A12" w:rsidRDefault="00806D69" w:rsidP="00806D69">
      <w:pPr>
        <w:pStyle w:val="Legenda"/>
        <w:rPr>
          <w:rFonts w:ascii="Lato" w:hAnsi="Lato"/>
          <w:color w:val="1F497D"/>
          <w:sz w:val="20"/>
          <w:szCs w:val="20"/>
          <w:lang w:val="pl-PL"/>
        </w:rPr>
      </w:pPr>
      <w:bookmarkStart w:id="499" w:name="_Toc282111085"/>
      <w:bookmarkStart w:id="500" w:name="_Toc328984530"/>
      <w:bookmarkStart w:id="501" w:name="_Toc413090806"/>
      <w:bookmarkStart w:id="502" w:name="_Toc430598893"/>
      <w:bookmarkStart w:id="503" w:name="_Toc8035241"/>
      <w:bookmarkStart w:id="504" w:name="_Toc20219205"/>
      <w:r w:rsidRPr="00834A12">
        <w:rPr>
          <w:rFonts w:ascii="Lato" w:hAnsi="Lato"/>
          <w:bCs/>
          <w:color w:val="1F497D"/>
          <w:sz w:val="20"/>
          <w:szCs w:val="20"/>
        </w:rPr>
        <w:t xml:space="preserve">Tabela </w:t>
      </w:r>
      <w:r w:rsidRPr="00834A12">
        <w:rPr>
          <w:rFonts w:ascii="Lato" w:hAnsi="Lato"/>
          <w:bCs/>
          <w:color w:val="1F497D"/>
          <w:sz w:val="20"/>
          <w:szCs w:val="20"/>
        </w:rPr>
        <w:fldChar w:fldCharType="begin"/>
      </w:r>
      <w:r w:rsidRPr="00834A12">
        <w:rPr>
          <w:rFonts w:ascii="Lato" w:hAnsi="Lato"/>
          <w:bCs/>
          <w:color w:val="1F497D"/>
          <w:sz w:val="20"/>
          <w:szCs w:val="20"/>
        </w:rPr>
        <w:instrText xml:space="preserve"> STYLEREF 1 \s </w:instrText>
      </w:r>
      <w:r w:rsidRPr="00834A12">
        <w:rPr>
          <w:rFonts w:ascii="Lato" w:hAnsi="Lato"/>
          <w:bCs/>
          <w:color w:val="1F497D"/>
          <w:sz w:val="20"/>
          <w:szCs w:val="20"/>
        </w:rPr>
        <w:fldChar w:fldCharType="separate"/>
      </w:r>
      <w:r w:rsidR="0040205B">
        <w:rPr>
          <w:rFonts w:ascii="Lato" w:hAnsi="Lato"/>
          <w:bCs/>
          <w:noProof/>
          <w:color w:val="1F497D"/>
          <w:sz w:val="20"/>
          <w:szCs w:val="20"/>
        </w:rPr>
        <w:t>6</w:t>
      </w:r>
      <w:r w:rsidRPr="00834A12">
        <w:rPr>
          <w:rFonts w:ascii="Lato" w:hAnsi="Lato"/>
          <w:bCs/>
          <w:color w:val="1F497D"/>
          <w:sz w:val="20"/>
          <w:szCs w:val="20"/>
        </w:rPr>
        <w:fldChar w:fldCharType="end"/>
      </w:r>
      <w:r w:rsidRPr="00834A12">
        <w:rPr>
          <w:rFonts w:ascii="Lato" w:hAnsi="Lato"/>
          <w:bCs/>
          <w:color w:val="1F497D"/>
          <w:sz w:val="20"/>
          <w:szCs w:val="20"/>
        </w:rPr>
        <w:noBreakHyphen/>
      </w:r>
      <w:r w:rsidRPr="00834A12">
        <w:rPr>
          <w:rFonts w:ascii="Lato" w:hAnsi="Lato"/>
          <w:bCs/>
          <w:color w:val="1F497D"/>
          <w:sz w:val="20"/>
          <w:szCs w:val="20"/>
        </w:rPr>
        <w:fldChar w:fldCharType="begin"/>
      </w:r>
      <w:r w:rsidRPr="00834A12">
        <w:rPr>
          <w:rFonts w:ascii="Lato" w:hAnsi="Lato"/>
          <w:bCs/>
          <w:color w:val="1F497D"/>
          <w:sz w:val="20"/>
          <w:szCs w:val="20"/>
        </w:rPr>
        <w:instrText xml:space="preserve"> SEQ Tabela \* ARABIC \s 1 </w:instrText>
      </w:r>
      <w:r w:rsidRPr="00834A12">
        <w:rPr>
          <w:rFonts w:ascii="Lato" w:hAnsi="Lato"/>
          <w:bCs/>
          <w:color w:val="1F497D"/>
          <w:sz w:val="20"/>
          <w:szCs w:val="20"/>
        </w:rPr>
        <w:fldChar w:fldCharType="separate"/>
      </w:r>
      <w:r w:rsidR="0040205B">
        <w:rPr>
          <w:rFonts w:ascii="Lato" w:hAnsi="Lato"/>
          <w:bCs/>
          <w:noProof/>
          <w:color w:val="1F497D"/>
          <w:sz w:val="20"/>
          <w:szCs w:val="20"/>
        </w:rPr>
        <w:t>3</w:t>
      </w:r>
      <w:r w:rsidRPr="00834A12">
        <w:rPr>
          <w:rFonts w:ascii="Lato" w:hAnsi="Lato"/>
          <w:bCs/>
          <w:color w:val="1F497D"/>
          <w:sz w:val="20"/>
          <w:szCs w:val="20"/>
        </w:rPr>
        <w:fldChar w:fldCharType="end"/>
      </w:r>
      <w:r w:rsidRPr="00834A12">
        <w:rPr>
          <w:rFonts w:ascii="Lato" w:hAnsi="Lato"/>
          <w:bCs/>
          <w:color w:val="1F497D"/>
          <w:sz w:val="20"/>
          <w:szCs w:val="20"/>
        </w:rPr>
        <w:t xml:space="preserve"> </w:t>
      </w:r>
      <w:r w:rsidRPr="00834A12">
        <w:rPr>
          <w:rFonts w:ascii="Lato" w:hAnsi="Lato"/>
          <w:color w:val="1F497D"/>
          <w:sz w:val="20"/>
          <w:szCs w:val="20"/>
        </w:rPr>
        <w:t>Struktura zużycia paliw i energii w analizowanej grupie obiektów</w:t>
      </w:r>
      <w:bookmarkEnd w:id="499"/>
      <w:bookmarkEnd w:id="500"/>
      <w:bookmarkEnd w:id="501"/>
      <w:bookmarkEnd w:id="502"/>
      <w:bookmarkEnd w:id="503"/>
      <w:bookmarkEnd w:id="504"/>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000" w:firstRow="0" w:lastRow="0" w:firstColumn="0" w:lastColumn="0" w:noHBand="0" w:noVBand="0"/>
      </w:tblPr>
      <w:tblGrid>
        <w:gridCol w:w="6179"/>
        <w:gridCol w:w="3826"/>
      </w:tblGrid>
      <w:tr w:rsidR="00806D69" w:rsidRPr="00834A12" w:rsidTr="008C4DDC">
        <w:trPr>
          <w:trHeight w:val="404"/>
          <w:jc w:val="center"/>
        </w:trPr>
        <w:tc>
          <w:tcPr>
            <w:tcW w:w="5000" w:type="pct"/>
            <w:gridSpan w:val="2"/>
            <w:shd w:val="clear" w:color="auto" w:fill="DBE5F1"/>
            <w:noWrap/>
            <w:vAlign w:val="bottom"/>
          </w:tcPr>
          <w:p w:rsidR="00806D69" w:rsidRPr="00834A12" w:rsidRDefault="00806D69" w:rsidP="008C4DDC">
            <w:pPr>
              <w:jc w:val="center"/>
              <w:rPr>
                <w:rFonts w:ascii="Lato" w:hAnsi="Lato"/>
                <w:color w:val="365F91"/>
                <w:sz w:val="18"/>
                <w:szCs w:val="18"/>
              </w:rPr>
            </w:pPr>
            <w:r w:rsidRPr="00834A12">
              <w:rPr>
                <w:rFonts w:ascii="Lato" w:hAnsi="Lato"/>
                <w:color w:val="365F91"/>
                <w:sz w:val="18"/>
                <w:szCs w:val="18"/>
              </w:rPr>
              <w:t xml:space="preserve">Struktura </w:t>
            </w:r>
            <w:r w:rsidRPr="00834A12">
              <w:rPr>
                <w:rFonts w:ascii="Lato" w:hAnsi="Lato"/>
                <w:color w:val="365F91"/>
                <w:sz w:val="18"/>
                <w:szCs w:val="18"/>
                <w:shd w:val="clear" w:color="auto" w:fill="DBE5F1"/>
              </w:rPr>
              <w:t>zużycia w grupie [GJ/ro</w:t>
            </w:r>
            <w:r w:rsidRPr="00834A12">
              <w:rPr>
                <w:rFonts w:ascii="Lato" w:hAnsi="Lato"/>
                <w:color w:val="365F91"/>
                <w:sz w:val="18"/>
                <w:szCs w:val="18"/>
              </w:rPr>
              <w:t>k]</w:t>
            </w:r>
          </w:p>
        </w:tc>
      </w:tr>
      <w:tr w:rsidR="00806D69" w:rsidRPr="00834A12" w:rsidTr="008C4DDC">
        <w:trPr>
          <w:trHeight w:val="340"/>
          <w:jc w:val="center"/>
        </w:trPr>
        <w:tc>
          <w:tcPr>
            <w:tcW w:w="3088" w:type="pct"/>
            <w:shd w:val="clear" w:color="auto" w:fill="auto"/>
            <w:noWrap/>
            <w:vAlign w:val="bottom"/>
          </w:tcPr>
          <w:p w:rsidR="00806D69" w:rsidRPr="00834A12" w:rsidRDefault="00806D69" w:rsidP="008C4DDC">
            <w:pPr>
              <w:ind w:firstLine="0"/>
              <w:rPr>
                <w:rFonts w:ascii="Lato" w:hAnsi="Lato"/>
                <w:color w:val="365F91"/>
                <w:sz w:val="18"/>
                <w:szCs w:val="18"/>
              </w:rPr>
            </w:pPr>
            <w:r w:rsidRPr="00834A12">
              <w:rPr>
                <w:rFonts w:ascii="Lato" w:hAnsi="Lato"/>
                <w:color w:val="365F91"/>
                <w:sz w:val="18"/>
                <w:szCs w:val="18"/>
              </w:rPr>
              <w:t>Gaz</w:t>
            </w:r>
          </w:p>
        </w:tc>
        <w:tc>
          <w:tcPr>
            <w:tcW w:w="1912" w:type="pct"/>
            <w:shd w:val="clear" w:color="auto" w:fill="auto"/>
            <w:noWrap/>
            <w:vAlign w:val="bottom"/>
          </w:tcPr>
          <w:p w:rsidR="00806D69" w:rsidRPr="00477BC0" w:rsidRDefault="00CC64F1" w:rsidP="00477BC0">
            <w:pPr>
              <w:ind w:firstLine="0"/>
              <w:jc w:val="center"/>
              <w:rPr>
                <w:rFonts w:ascii="Lato" w:hAnsi="Lato"/>
                <w:color w:val="365F91"/>
                <w:sz w:val="18"/>
                <w:szCs w:val="18"/>
              </w:rPr>
            </w:pPr>
            <w:r w:rsidRPr="00477BC0">
              <w:rPr>
                <w:rFonts w:ascii="Lato" w:hAnsi="Lato"/>
                <w:color w:val="365F91"/>
                <w:sz w:val="18"/>
                <w:szCs w:val="18"/>
              </w:rPr>
              <w:t>142,14</w:t>
            </w:r>
          </w:p>
        </w:tc>
      </w:tr>
      <w:tr w:rsidR="00477BC0" w:rsidRPr="00834A12" w:rsidTr="008C4DDC">
        <w:trPr>
          <w:trHeight w:val="340"/>
          <w:jc w:val="center"/>
        </w:trPr>
        <w:tc>
          <w:tcPr>
            <w:tcW w:w="3088" w:type="pct"/>
            <w:shd w:val="clear" w:color="auto" w:fill="auto"/>
            <w:noWrap/>
            <w:vAlign w:val="bottom"/>
          </w:tcPr>
          <w:p w:rsidR="00477BC0" w:rsidRPr="00834A12" w:rsidRDefault="00477BC0" w:rsidP="008C4DDC">
            <w:pPr>
              <w:ind w:firstLine="0"/>
              <w:rPr>
                <w:rFonts w:ascii="Lato" w:hAnsi="Lato"/>
                <w:color w:val="365F91"/>
                <w:sz w:val="18"/>
                <w:szCs w:val="18"/>
              </w:rPr>
            </w:pPr>
            <w:r w:rsidRPr="00834A12">
              <w:rPr>
                <w:rFonts w:ascii="Lato" w:hAnsi="Lato"/>
                <w:color w:val="365F91"/>
                <w:sz w:val="18"/>
                <w:szCs w:val="18"/>
              </w:rPr>
              <w:t>Energia elektryczna</w:t>
            </w:r>
          </w:p>
        </w:tc>
        <w:tc>
          <w:tcPr>
            <w:tcW w:w="1912" w:type="pct"/>
            <w:shd w:val="clear" w:color="auto" w:fill="auto"/>
            <w:noWrap/>
            <w:vAlign w:val="bottom"/>
          </w:tcPr>
          <w:p w:rsidR="00477BC0" w:rsidRPr="00477BC0" w:rsidRDefault="00477BC0" w:rsidP="00477BC0">
            <w:pPr>
              <w:ind w:firstLine="0"/>
              <w:jc w:val="center"/>
              <w:rPr>
                <w:rFonts w:ascii="Lato" w:hAnsi="Lato"/>
                <w:color w:val="365F91"/>
                <w:sz w:val="18"/>
                <w:szCs w:val="18"/>
              </w:rPr>
            </w:pPr>
            <w:r w:rsidRPr="00477BC0">
              <w:rPr>
                <w:rFonts w:ascii="Lato" w:hAnsi="Lato"/>
                <w:color w:val="365F91"/>
                <w:sz w:val="18"/>
                <w:szCs w:val="18"/>
              </w:rPr>
              <w:t>2 720,42</w:t>
            </w:r>
          </w:p>
        </w:tc>
      </w:tr>
      <w:tr w:rsidR="00477BC0" w:rsidRPr="00834A12" w:rsidTr="008C4DDC">
        <w:trPr>
          <w:trHeight w:val="340"/>
          <w:jc w:val="center"/>
        </w:trPr>
        <w:tc>
          <w:tcPr>
            <w:tcW w:w="3088" w:type="pct"/>
            <w:shd w:val="clear" w:color="auto" w:fill="auto"/>
            <w:noWrap/>
            <w:vAlign w:val="bottom"/>
          </w:tcPr>
          <w:p w:rsidR="00477BC0" w:rsidRPr="00834A12" w:rsidRDefault="00477BC0" w:rsidP="008C4DDC">
            <w:pPr>
              <w:ind w:firstLine="0"/>
              <w:rPr>
                <w:rFonts w:ascii="Lato" w:hAnsi="Lato"/>
                <w:color w:val="365F91"/>
                <w:sz w:val="18"/>
                <w:szCs w:val="18"/>
              </w:rPr>
            </w:pPr>
            <w:r w:rsidRPr="00834A12">
              <w:rPr>
                <w:rFonts w:ascii="Lato" w:hAnsi="Lato"/>
                <w:color w:val="365F91"/>
                <w:sz w:val="18"/>
                <w:szCs w:val="18"/>
              </w:rPr>
              <w:t>Paliwa stałe</w:t>
            </w:r>
          </w:p>
        </w:tc>
        <w:tc>
          <w:tcPr>
            <w:tcW w:w="1912" w:type="pct"/>
            <w:shd w:val="clear" w:color="auto" w:fill="auto"/>
            <w:noWrap/>
            <w:vAlign w:val="bottom"/>
          </w:tcPr>
          <w:p w:rsidR="00477BC0" w:rsidRPr="00477BC0" w:rsidRDefault="00477BC0" w:rsidP="00477BC0">
            <w:pPr>
              <w:ind w:firstLine="0"/>
              <w:jc w:val="center"/>
              <w:rPr>
                <w:rFonts w:ascii="Lato" w:hAnsi="Lato"/>
                <w:color w:val="365F91"/>
                <w:sz w:val="18"/>
                <w:szCs w:val="18"/>
              </w:rPr>
            </w:pPr>
            <w:r w:rsidRPr="00477BC0">
              <w:rPr>
                <w:rFonts w:ascii="Lato" w:hAnsi="Lato"/>
                <w:color w:val="365F91"/>
                <w:sz w:val="18"/>
                <w:szCs w:val="18"/>
              </w:rPr>
              <w:t>386,86</w:t>
            </w:r>
          </w:p>
        </w:tc>
      </w:tr>
      <w:tr w:rsidR="00477BC0" w:rsidRPr="00834A12" w:rsidTr="008C4DDC">
        <w:trPr>
          <w:trHeight w:val="340"/>
          <w:jc w:val="center"/>
        </w:trPr>
        <w:tc>
          <w:tcPr>
            <w:tcW w:w="3088" w:type="pct"/>
            <w:shd w:val="clear" w:color="auto" w:fill="auto"/>
            <w:noWrap/>
            <w:vAlign w:val="bottom"/>
          </w:tcPr>
          <w:p w:rsidR="00477BC0" w:rsidRPr="00834A12" w:rsidRDefault="00477BC0" w:rsidP="008C4DDC">
            <w:pPr>
              <w:ind w:firstLine="0"/>
              <w:rPr>
                <w:rFonts w:ascii="Lato" w:hAnsi="Lato"/>
                <w:color w:val="365F91"/>
                <w:sz w:val="18"/>
                <w:szCs w:val="18"/>
              </w:rPr>
            </w:pPr>
            <w:r w:rsidRPr="00834A12">
              <w:rPr>
                <w:rFonts w:ascii="Lato" w:hAnsi="Lato"/>
                <w:color w:val="365F91"/>
                <w:sz w:val="18"/>
                <w:szCs w:val="18"/>
              </w:rPr>
              <w:t>Olej opałowy</w:t>
            </w:r>
          </w:p>
        </w:tc>
        <w:tc>
          <w:tcPr>
            <w:tcW w:w="1912" w:type="pct"/>
            <w:shd w:val="clear" w:color="auto" w:fill="auto"/>
            <w:noWrap/>
            <w:vAlign w:val="bottom"/>
          </w:tcPr>
          <w:p w:rsidR="00477BC0" w:rsidRPr="00477BC0" w:rsidRDefault="00477BC0" w:rsidP="00477BC0">
            <w:pPr>
              <w:ind w:firstLine="0"/>
              <w:jc w:val="center"/>
              <w:rPr>
                <w:rFonts w:ascii="Lato" w:hAnsi="Lato"/>
                <w:color w:val="365F91"/>
                <w:sz w:val="18"/>
                <w:szCs w:val="18"/>
              </w:rPr>
            </w:pPr>
            <w:r w:rsidRPr="00477BC0">
              <w:rPr>
                <w:rFonts w:ascii="Lato" w:hAnsi="Lato"/>
                <w:color w:val="365F91"/>
                <w:sz w:val="18"/>
                <w:szCs w:val="18"/>
              </w:rPr>
              <w:t>2 426,04</w:t>
            </w:r>
          </w:p>
        </w:tc>
      </w:tr>
    </w:tbl>
    <w:p w:rsidR="00CC5776" w:rsidRDefault="00CC5776" w:rsidP="00806D69">
      <w:pPr>
        <w:pStyle w:val="Legenda"/>
        <w:jc w:val="center"/>
        <w:rPr>
          <w:rFonts w:ascii="Lato" w:hAnsi="Lato"/>
          <w:noProof/>
        </w:rPr>
      </w:pPr>
      <w:bookmarkStart w:id="505" w:name="_Toc282091264"/>
      <w:bookmarkStart w:id="506" w:name="_Toc328984609"/>
      <w:bookmarkStart w:id="507" w:name="_Toc413090886"/>
      <w:bookmarkStart w:id="508" w:name="_Toc430598979"/>
    </w:p>
    <w:p w:rsidR="00CC5776" w:rsidRDefault="00CC5776">
      <w:pPr>
        <w:spacing w:line="240" w:lineRule="auto"/>
        <w:ind w:firstLine="0"/>
        <w:rPr>
          <w:rFonts w:ascii="Lato" w:hAnsi="Lato"/>
          <w:b/>
          <w:noProof/>
          <w:spacing w:val="-2"/>
          <w:szCs w:val="22"/>
          <w:lang w:val="x-none" w:eastAsia="x-none"/>
        </w:rPr>
      </w:pPr>
      <w:r>
        <w:rPr>
          <w:rFonts w:ascii="Lato" w:hAnsi="Lato"/>
          <w:noProof/>
        </w:rPr>
        <w:br w:type="page"/>
      </w:r>
    </w:p>
    <w:p w:rsidR="00806D69" w:rsidRPr="00834A12" w:rsidRDefault="00477BC0" w:rsidP="00806D69">
      <w:pPr>
        <w:pStyle w:val="Legenda"/>
        <w:jc w:val="center"/>
        <w:rPr>
          <w:rFonts w:ascii="Lato" w:hAnsi="Lato"/>
          <w:noProof/>
        </w:rPr>
      </w:pPr>
      <w:r>
        <w:rPr>
          <w:noProof/>
          <w:lang w:val="pl-PL" w:eastAsia="pl-PL"/>
        </w:rPr>
        <w:lastRenderedPageBreak/>
        <w:drawing>
          <wp:inline distT="0" distB="0" distL="0" distR="0" wp14:anchorId="55DCEBB5" wp14:editId="174B6BED">
            <wp:extent cx="3014662" cy="1724025"/>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806D69" w:rsidRPr="00834A12">
        <w:rPr>
          <w:rFonts w:ascii="Lato" w:hAnsi="Lato"/>
          <w:noProof/>
        </w:rPr>
        <w:t xml:space="preserve"> </w:t>
      </w:r>
      <w:r>
        <w:rPr>
          <w:noProof/>
          <w:lang w:val="pl-PL" w:eastAsia="pl-PL"/>
        </w:rPr>
        <w:drawing>
          <wp:inline distT="0" distB="0" distL="0" distR="0" wp14:anchorId="43782F86" wp14:editId="74C40C01">
            <wp:extent cx="3005137" cy="1714500"/>
            <wp:effectExtent l="0" t="0" r="5080" b="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806D69" w:rsidRPr="00834A12">
        <w:rPr>
          <w:rFonts w:ascii="Lato" w:hAnsi="Lato"/>
          <w:noProof/>
        </w:rPr>
        <w:t xml:space="preserve"> </w:t>
      </w:r>
      <w:r>
        <w:rPr>
          <w:noProof/>
          <w:lang w:val="pl-PL" w:eastAsia="pl-PL"/>
        </w:rPr>
        <w:drawing>
          <wp:inline distT="0" distB="0" distL="0" distR="0" wp14:anchorId="200D8AE3" wp14:editId="4295D7FE">
            <wp:extent cx="3014662" cy="1724025"/>
            <wp:effectExtent l="0" t="0" r="0" b="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806D69" w:rsidRPr="00834A12">
        <w:rPr>
          <w:rFonts w:ascii="Lato" w:hAnsi="Lato"/>
          <w:noProof/>
        </w:rPr>
        <w:t xml:space="preserve"> </w:t>
      </w:r>
      <w:r>
        <w:rPr>
          <w:noProof/>
          <w:lang w:val="pl-PL" w:eastAsia="pl-PL"/>
        </w:rPr>
        <w:drawing>
          <wp:inline distT="0" distB="0" distL="0" distR="0" wp14:anchorId="098C0797" wp14:editId="5C0BD6F0">
            <wp:extent cx="3005137" cy="1714500"/>
            <wp:effectExtent l="0" t="0" r="5080" b="0"/>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806D69" w:rsidRPr="00834A12">
        <w:rPr>
          <w:rFonts w:ascii="Lato" w:hAnsi="Lato"/>
          <w:noProof/>
        </w:rPr>
        <w:t xml:space="preserve"> </w:t>
      </w:r>
      <w:r>
        <w:rPr>
          <w:noProof/>
          <w:lang w:val="pl-PL" w:eastAsia="pl-PL"/>
        </w:rPr>
        <w:drawing>
          <wp:inline distT="0" distB="0" distL="0" distR="0" wp14:anchorId="4D41A009" wp14:editId="69A553DB">
            <wp:extent cx="3014662" cy="1724025"/>
            <wp:effectExtent l="0" t="0" r="0" b="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806D69" w:rsidRPr="00834A12">
        <w:rPr>
          <w:rFonts w:ascii="Lato" w:hAnsi="Lato"/>
          <w:noProof/>
        </w:rPr>
        <w:t xml:space="preserve"> </w:t>
      </w:r>
      <w:r>
        <w:rPr>
          <w:noProof/>
          <w:lang w:val="pl-PL" w:eastAsia="pl-PL"/>
        </w:rPr>
        <w:drawing>
          <wp:inline distT="0" distB="0" distL="0" distR="0" wp14:anchorId="068EE98E" wp14:editId="33A29CC4">
            <wp:extent cx="3014662" cy="1724025"/>
            <wp:effectExtent l="0" t="0" r="0" b="0"/>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806D69" w:rsidRPr="00834A12">
        <w:rPr>
          <w:rFonts w:ascii="Lato" w:hAnsi="Lato"/>
          <w:noProof/>
        </w:rPr>
        <w:t xml:space="preserve"> </w:t>
      </w:r>
      <w:r>
        <w:rPr>
          <w:noProof/>
          <w:lang w:val="pl-PL" w:eastAsia="pl-PL"/>
        </w:rPr>
        <w:drawing>
          <wp:inline distT="0" distB="0" distL="0" distR="0" wp14:anchorId="0064DD2E" wp14:editId="3885D63F">
            <wp:extent cx="3005137" cy="1714500"/>
            <wp:effectExtent l="0" t="0" r="5080" b="0"/>
            <wp:docPr id="4768" name="Wykres 4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06D69" w:rsidRPr="00834A12" w:rsidRDefault="00806D69" w:rsidP="00806D69">
      <w:pPr>
        <w:pStyle w:val="Legenda"/>
        <w:jc w:val="center"/>
        <w:rPr>
          <w:rFonts w:ascii="Lato" w:hAnsi="Lato"/>
          <w:color w:val="1F497D"/>
          <w:sz w:val="20"/>
          <w:szCs w:val="20"/>
          <w:lang w:val="pl-PL"/>
        </w:rPr>
      </w:pPr>
      <w:bookmarkStart w:id="509" w:name="_Toc8035311"/>
      <w:bookmarkStart w:id="510" w:name="_Toc20219261"/>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4</w:t>
      </w:r>
      <w:r w:rsidRPr="00834A12">
        <w:rPr>
          <w:rFonts w:ascii="Lato" w:hAnsi="Lato"/>
          <w:color w:val="1F497D"/>
          <w:sz w:val="20"/>
          <w:szCs w:val="20"/>
        </w:rPr>
        <w:fldChar w:fldCharType="end"/>
      </w:r>
      <w:r w:rsidRPr="00834A12">
        <w:rPr>
          <w:rFonts w:ascii="Lato" w:hAnsi="Lato"/>
          <w:color w:val="1F497D"/>
          <w:sz w:val="20"/>
          <w:szCs w:val="20"/>
        </w:rPr>
        <w:t xml:space="preserve"> Zużycie wody, paliw i energii w grupie analizowanych obiektów</w:t>
      </w:r>
      <w:bookmarkEnd w:id="505"/>
      <w:r w:rsidRPr="00834A12">
        <w:rPr>
          <w:rFonts w:ascii="Lato" w:hAnsi="Lato"/>
          <w:color w:val="1F497D"/>
          <w:sz w:val="20"/>
          <w:szCs w:val="20"/>
        </w:rPr>
        <w:t xml:space="preserve"> w latach 201</w:t>
      </w:r>
      <w:r w:rsidRPr="00834A12">
        <w:rPr>
          <w:rFonts w:ascii="Lato" w:hAnsi="Lato"/>
          <w:color w:val="1F497D"/>
          <w:sz w:val="20"/>
          <w:szCs w:val="20"/>
          <w:lang w:val="pl-PL"/>
        </w:rPr>
        <w:t>6</w:t>
      </w:r>
      <w:r w:rsidRPr="00834A12">
        <w:rPr>
          <w:rFonts w:ascii="Lato" w:hAnsi="Lato"/>
          <w:color w:val="1F497D"/>
          <w:sz w:val="20"/>
          <w:szCs w:val="20"/>
        </w:rPr>
        <w:t xml:space="preserve"> – </w:t>
      </w:r>
      <w:bookmarkEnd w:id="506"/>
      <w:bookmarkEnd w:id="507"/>
      <w:r w:rsidRPr="00834A12">
        <w:rPr>
          <w:rFonts w:ascii="Lato" w:hAnsi="Lato"/>
          <w:color w:val="1F497D"/>
          <w:sz w:val="20"/>
          <w:szCs w:val="20"/>
        </w:rPr>
        <w:t>201</w:t>
      </w:r>
      <w:bookmarkStart w:id="511" w:name="OLE_LINK3"/>
      <w:bookmarkEnd w:id="508"/>
      <w:bookmarkEnd w:id="509"/>
      <w:r w:rsidRPr="00834A12">
        <w:rPr>
          <w:rFonts w:ascii="Lato" w:hAnsi="Lato"/>
          <w:color w:val="1F497D"/>
          <w:sz w:val="20"/>
          <w:szCs w:val="20"/>
          <w:lang w:val="pl-PL"/>
        </w:rPr>
        <w:t>8</w:t>
      </w:r>
      <w:bookmarkEnd w:id="510"/>
    </w:p>
    <w:p w:rsidR="000E2AE3" w:rsidRDefault="000E2AE3" w:rsidP="000E2AE3">
      <w:pPr>
        <w:suppressAutoHyphens/>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806D69" w:rsidP="00806D69">
      <w:pPr>
        <w:rPr>
          <w:rFonts w:ascii="Lato" w:hAnsi="Lato"/>
        </w:rPr>
      </w:pPr>
    </w:p>
    <w:p w:rsidR="00806D69" w:rsidRPr="00834A12" w:rsidRDefault="00806D69" w:rsidP="00806D69">
      <w:pPr>
        <w:pStyle w:val="Akapitzlist"/>
        <w:keepNext/>
        <w:numPr>
          <w:ilvl w:val="2"/>
          <w:numId w:val="38"/>
        </w:numPr>
        <w:tabs>
          <w:tab w:val="left" w:pos="709"/>
        </w:tabs>
        <w:spacing w:before="180" w:after="180" w:line="288" w:lineRule="auto"/>
        <w:ind w:left="709" w:hanging="709"/>
        <w:jc w:val="both"/>
        <w:outlineLvl w:val="2"/>
        <w:rPr>
          <w:rFonts w:ascii="Lato" w:hAnsi="Lato"/>
          <w:color w:val="365F91"/>
          <w:lang w:eastAsia="en-US"/>
        </w:rPr>
      </w:pPr>
      <w:bookmarkStart w:id="512" w:name="_Toc430598793"/>
      <w:bookmarkStart w:id="513" w:name="_Toc8035180"/>
      <w:bookmarkStart w:id="514" w:name="_Toc20218534"/>
      <w:r w:rsidRPr="00834A12">
        <w:rPr>
          <w:rFonts w:ascii="Lato" w:hAnsi="Lato"/>
          <w:color w:val="365F91"/>
          <w:lang w:eastAsia="en-US"/>
        </w:rPr>
        <w:lastRenderedPageBreak/>
        <w:t>Zużycie i koszty energii elektrycznej</w:t>
      </w:r>
      <w:bookmarkEnd w:id="512"/>
      <w:bookmarkEnd w:id="513"/>
      <w:bookmarkEnd w:id="514"/>
    </w:p>
    <w:p w:rsidR="00806D69" w:rsidRPr="00834A12" w:rsidRDefault="00806D69" w:rsidP="00281998">
      <w:pPr>
        <w:pStyle w:val="Legenda"/>
        <w:spacing w:after="0" w:line="312" w:lineRule="auto"/>
        <w:ind w:firstLine="709"/>
        <w:rPr>
          <w:rFonts w:ascii="Lato" w:hAnsi="Lato"/>
          <w:b w:val="0"/>
          <w:spacing w:val="0"/>
          <w:szCs w:val="24"/>
        </w:rPr>
      </w:pPr>
      <w:r w:rsidRPr="00834A12">
        <w:rPr>
          <w:rFonts w:ascii="Lato" w:hAnsi="Lato"/>
          <w:b w:val="0"/>
          <w:spacing w:val="0"/>
          <w:szCs w:val="24"/>
        </w:rPr>
        <w:t xml:space="preserve">W poniższej analizie uwagę zwracają maksymalna wartość zużycia energii oraz maksymalne jednostkowe zużycie energii. </w:t>
      </w:r>
      <w:r w:rsidR="00D7119C">
        <w:rPr>
          <w:rFonts w:ascii="Lato" w:hAnsi="Lato"/>
          <w:b w:val="0"/>
          <w:spacing w:val="0"/>
          <w:szCs w:val="24"/>
          <w:lang w:val="pl-PL"/>
        </w:rPr>
        <w:t>W</w:t>
      </w:r>
      <w:r w:rsidR="00A342D0">
        <w:rPr>
          <w:rFonts w:ascii="Lato" w:hAnsi="Lato"/>
          <w:b w:val="0"/>
          <w:spacing w:val="0"/>
          <w:szCs w:val="24"/>
          <w:lang w:val="pl-PL"/>
        </w:rPr>
        <w:t xml:space="preserve">artości </w:t>
      </w:r>
      <w:r w:rsidRPr="00834A12">
        <w:rPr>
          <w:rFonts w:ascii="Lato" w:hAnsi="Lato"/>
          <w:b w:val="0"/>
          <w:spacing w:val="0"/>
          <w:szCs w:val="24"/>
        </w:rPr>
        <w:t xml:space="preserve">maksymalne dotyczą </w:t>
      </w:r>
      <w:r w:rsidR="00D7119C">
        <w:rPr>
          <w:rFonts w:ascii="Lato" w:hAnsi="Lato"/>
          <w:b w:val="0"/>
          <w:spacing w:val="0"/>
          <w:szCs w:val="24"/>
          <w:lang w:val="pl-PL"/>
        </w:rPr>
        <w:t>obiektów hydroforni</w:t>
      </w:r>
      <w:r w:rsidRPr="00834A12">
        <w:rPr>
          <w:rFonts w:ascii="Lato" w:hAnsi="Lato"/>
          <w:b w:val="0"/>
          <w:spacing w:val="0"/>
          <w:szCs w:val="24"/>
        </w:rPr>
        <w:t>, któr</w:t>
      </w:r>
      <w:r w:rsidR="00D7119C">
        <w:rPr>
          <w:rFonts w:ascii="Lato" w:hAnsi="Lato"/>
          <w:b w:val="0"/>
          <w:spacing w:val="0"/>
          <w:szCs w:val="24"/>
          <w:lang w:val="pl-PL"/>
        </w:rPr>
        <w:t>e</w:t>
      </w:r>
      <w:r w:rsidRPr="00834A12">
        <w:rPr>
          <w:rFonts w:ascii="Lato" w:hAnsi="Lato"/>
          <w:b w:val="0"/>
          <w:spacing w:val="0"/>
          <w:szCs w:val="24"/>
        </w:rPr>
        <w:t xml:space="preserve"> ze względu na </w:t>
      </w:r>
      <w:r w:rsidRPr="00834A12">
        <w:rPr>
          <w:rFonts w:ascii="Lato" w:hAnsi="Lato"/>
          <w:b w:val="0"/>
          <w:spacing w:val="0"/>
          <w:szCs w:val="24"/>
          <w:lang w:val="pl-PL"/>
        </w:rPr>
        <w:t>swoją funkcję</w:t>
      </w:r>
      <w:r w:rsidRPr="00834A12">
        <w:rPr>
          <w:rFonts w:ascii="Lato" w:hAnsi="Lato"/>
          <w:b w:val="0"/>
          <w:spacing w:val="0"/>
          <w:szCs w:val="24"/>
        </w:rPr>
        <w:t xml:space="preserve"> ma</w:t>
      </w:r>
      <w:r w:rsidR="00D7119C">
        <w:rPr>
          <w:rFonts w:ascii="Lato" w:hAnsi="Lato"/>
          <w:b w:val="0"/>
          <w:spacing w:val="0"/>
          <w:szCs w:val="24"/>
          <w:lang w:val="pl-PL"/>
        </w:rPr>
        <w:t>ją</w:t>
      </w:r>
      <w:r w:rsidRPr="00834A12">
        <w:rPr>
          <w:rFonts w:ascii="Lato" w:hAnsi="Lato"/>
          <w:b w:val="0"/>
          <w:spacing w:val="0"/>
          <w:szCs w:val="24"/>
        </w:rPr>
        <w:t xml:space="preserve"> duże potrzeby energetyczne. </w:t>
      </w:r>
    </w:p>
    <w:p w:rsidR="00806D69" w:rsidRPr="00834A12" w:rsidRDefault="00806D69" w:rsidP="00281998">
      <w:pPr>
        <w:rPr>
          <w:rFonts w:ascii="Lato" w:hAnsi="Lato"/>
        </w:rPr>
      </w:pPr>
    </w:p>
    <w:p w:rsidR="00806D69" w:rsidRPr="00834A12" w:rsidRDefault="00806D69" w:rsidP="00806D69">
      <w:pPr>
        <w:pStyle w:val="Legenda"/>
        <w:spacing w:before="0"/>
        <w:rPr>
          <w:rFonts w:ascii="Lato" w:hAnsi="Lato"/>
          <w:bCs/>
          <w:color w:val="1F497D"/>
          <w:sz w:val="20"/>
          <w:szCs w:val="20"/>
          <w:lang w:val="pl-PL"/>
        </w:rPr>
      </w:pPr>
      <w:bookmarkStart w:id="515" w:name="_Toc430598894"/>
      <w:bookmarkStart w:id="516" w:name="_Toc8035242"/>
      <w:bookmarkStart w:id="517" w:name="_Toc20219206"/>
      <w:r w:rsidRPr="00834A12">
        <w:rPr>
          <w:rFonts w:ascii="Lato" w:hAnsi="Lato"/>
          <w:bCs/>
          <w:color w:val="1F497D"/>
          <w:sz w:val="20"/>
          <w:szCs w:val="20"/>
        </w:rPr>
        <w:t xml:space="preserve">Tabela </w:t>
      </w:r>
      <w:r w:rsidRPr="00834A12">
        <w:rPr>
          <w:rFonts w:ascii="Lato" w:hAnsi="Lato"/>
          <w:bCs/>
          <w:color w:val="1F497D"/>
          <w:sz w:val="20"/>
          <w:szCs w:val="20"/>
        </w:rPr>
        <w:fldChar w:fldCharType="begin"/>
      </w:r>
      <w:r w:rsidRPr="00834A12">
        <w:rPr>
          <w:rFonts w:ascii="Lato" w:hAnsi="Lato"/>
          <w:bCs/>
          <w:color w:val="1F497D"/>
          <w:sz w:val="20"/>
          <w:szCs w:val="20"/>
        </w:rPr>
        <w:instrText xml:space="preserve"> STYLEREF 1 \s </w:instrText>
      </w:r>
      <w:r w:rsidRPr="00834A12">
        <w:rPr>
          <w:rFonts w:ascii="Lato" w:hAnsi="Lato"/>
          <w:bCs/>
          <w:color w:val="1F497D"/>
          <w:sz w:val="20"/>
          <w:szCs w:val="20"/>
        </w:rPr>
        <w:fldChar w:fldCharType="separate"/>
      </w:r>
      <w:r w:rsidR="0040205B">
        <w:rPr>
          <w:rFonts w:ascii="Lato" w:hAnsi="Lato"/>
          <w:bCs/>
          <w:noProof/>
          <w:color w:val="1F497D"/>
          <w:sz w:val="20"/>
          <w:szCs w:val="20"/>
        </w:rPr>
        <w:t>6</w:t>
      </w:r>
      <w:r w:rsidRPr="00834A12">
        <w:rPr>
          <w:rFonts w:ascii="Lato" w:hAnsi="Lato"/>
          <w:bCs/>
          <w:color w:val="1F497D"/>
          <w:sz w:val="20"/>
          <w:szCs w:val="20"/>
        </w:rPr>
        <w:fldChar w:fldCharType="end"/>
      </w:r>
      <w:r w:rsidRPr="00834A12">
        <w:rPr>
          <w:rFonts w:ascii="Lato" w:hAnsi="Lato"/>
          <w:bCs/>
          <w:color w:val="1F497D"/>
          <w:sz w:val="20"/>
          <w:szCs w:val="20"/>
        </w:rPr>
        <w:noBreakHyphen/>
      </w:r>
      <w:r w:rsidRPr="00834A12">
        <w:rPr>
          <w:rFonts w:ascii="Lato" w:hAnsi="Lato"/>
          <w:bCs/>
          <w:color w:val="1F497D"/>
          <w:sz w:val="20"/>
          <w:szCs w:val="20"/>
        </w:rPr>
        <w:fldChar w:fldCharType="begin"/>
      </w:r>
      <w:r w:rsidRPr="00834A12">
        <w:rPr>
          <w:rFonts w:ascii="Lato" w:hAnsi="Lato"/>
          <w:bCs/>
          <w:color w:val="1F497D"/>
          <w:sz w:val="20"/>
          <w:szCs w:val="20"/>
        </w:rPr>
        <w:instrText xml:space="preserve"> SEQ Tabela \* ARABIC \s 1 </w:instrText>
      </w:r>
      <w:r w:rsidRPr="00834A12">
        <w:rPr>
          <w:rFonts w:ascii="Lato" w:hAnsi="Lato"/>
          <w:bCs/>
          <w:color w:val="1F497D"/>
          <w:sz w:val="20"/>
          <w:szCs w:val="20"/>
        </w:rPr>
        <w:fldChar w:fldCharType="separate"/>
      </w:r>
      <w:r w:rsidR="0040205B">
        <w:rPr>
          <w:rFonts w:ascii="Lato" w:hAnsi="Lato"/>
          <w:bCs/>
          <w:noProof/>
          <w:color w:val="1F497D"/>
          <w:sz w:val="20"/>
          <w:szCs w:val="20"/>
        </w:rPr>
        <w:t>4</w:t>
      </w:r>
      <w:r w:rsidRPr="00834A12">
        <w:rPr>
          <w:rFonts w:ascii="Lato" w:hAnsi="Lato"/>
          <w:bCs/>
          <w:color w:val="1F497D"/>
          <w:sz w:val="20"/>
          <w:szCs w:val="20"/>
        </w:rPr>
        <w:fldChar w:fldCharType="end"/>
      </w:r>
      <w:r w:rsidRPr="00834A12">
        <w:rPr>
          <w:rFonts w:ascii="Lato" w:hAnsi="Lato"/>
          <w:bCs/>
          <w:color w:val="1F497D"/>
          <w:sz w:val="20"/>
          <w:szCs w:val="20"/>
        </w:rPr>
        <w:t xml:space="preserve"> Zużycie i koszty energii elektrycznej w analizowanej grupie obiektów w roku 201</w:t>
      </w:r>
      <w:bookmarkEnd w:id="515"/>
      <w:bookmarkEnd w:id="516"/>
      <w:r w:rsidRPr="00834A12">
        <w:rPr>
          <w:rFonts w:ascii="Lato" w:hAnsi="Lato"/>
          <w:bCs/>
          <w:color w:val="1F497D"/>
          <w:sz w:val="20"/>
          <w:szCs w:val="20"/>
          <w:lang w:val="pl-PL"/>
        </w:rPr>
        <w:t>8</w:t>
      </w:r>
      <w:bookmarkEnd w:id="517"/>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5339"/>
        <w:gridCol w:w="4666"/>
      </w:tblGrid>
      <w:tr w:rsidR="00806D69" w:rsidRPr="00834A12" w:rsidTr="008C4DDC">
        <w:trPr>
          <w:trHeight w:val="255"/>
          <w:jc w:val="center"/>
        </w:trPr>
        <w:tc>
          <w:tcPr>
            <w:tcW w:w="2668" w:type="pct"/>
            <w:shd w:val="clear" w:color="auto" w:fill="auto"/>
            <w:noWrap/>
            <w:vAlign w:val="bottom"/>
          </w:tcPr>
          <w:p w:rsidR="00806D69" w:rsidRPr="00834A12" w:rsidRDefault="00806D69" w:rsidP="008C4DDC">
            <w:pPr>
              <w:ind w:firstLine="0"/>
              <w:rPr>
                <w:rFonts w:ascii="Lato" w:hAnsi="Lato"/>
                <w:i/>
                <w:iCs/>
                <w:color w:val="365F91"/>
                <w:sz w:val="20"/>
                <w:szCs w:val="20"/>
              </w:rPr>
            </w:pPr>
            <w:r w:rsidRPr="00834A12">
              <w:rPr>
                <w:rFonts w:ascii="Lato" w:hAnsi="Lato"/>
                <w:i/>
                <w:iCs/>
                <w:color w:val="365F91"/>
                <w:sz w:val="20"/>
                <w:szCs w:val="20"/>
              </w:rPr>
              <w:t>Liczba obiektów:</w:t>
            </w:r>
          </w:p>
        </w:tc>
        <w:tc>
          <w:tcPr>
            <w:tcW w:w="2332" w:type="pct"/>
            <w:shd w:val="clear" w:color="auto" w:fill="auto"/>
            <w:noWrap/>
            <w:vAlign w:val="bottom"/>
          </w:tcPr>
          <w:p w:rsidR="00806D69" w:rsidRPr="00834A12" w:rsidRDefault="00D7119C" w:rsidP="008C4DDC">
            <w:pPr>
              <w:ind w:firstLine="0"/>
              <w:jc w:val="center"/>
              <w:rPr>
                <w:rFonts w:ascii="Lato" w:hAnsi="Lato"/>
                <w:i/>
                <w:iCs/>
                <w:color w:val="365F91"/>
                <w:sz w:val="20"/>
                <w:szCs w:val="20"/>
              </w:rPr>
            </w:pPr>
            <w:r>
              <w:rPr>
                <w:rFonts w:ascii="Lato" w:hAnsi="Lato"/>
                <w:i/>
                <w:iCs/>
                <w:color w:val="365F91"/>
                <w:sz w:val="20"/>
                <w:szCs w:val="20"/>
              </w:rPr>
              <w:t>17</w:t>
            </w:r>
          </w:p>
        </w:tc>
      </w:tr>
      <w:tr w:rsidR="00806D69" w:rsidRPr="00834A12" w:rsidTr="008C4DDC">
        <w:trPr>
          <w:trHeight w:val="255"/>
          <w:jc w:val="center"/>
        </w:trPr>
        <w:tc>
          <w:tcPr>
            <w:tcW w:w="5000" w:type="pct"/>
            <w:gridSpan w:val="2"/>
            <w:shd w:val="clear" w:color="auto" w:fill="C6D9F1"/>
            <w:noWrap/>
            <w:vAlign w:val="bottom"/>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Zużycie energii</w:t>
            </w:r>
          </w:p>
        </w:tc>
      </w:tr>
      <w:tr w:rsidR="00806D69" w:rsidRPr="00834A12" w:rsidTr="008C4DDC">
        <w:trPr>
          <w:trHeight w:val="255"/>
          <w:jc w:val="center"/>
        </w:trPr>
        <w:tc>
          <w:tcPr>
            <w:tcW w:w="5000" w:type="pct"/>
            <w:gridSpan w:val="2"/>
            <w:shd w:val="clear" w:color="auto" w:fill="auto"/>
            <w:noWrap/>
            <w:vAlign w:val="bottom"/>
            <w:hideMark/>
          </w:tcPr>
          <w:p w:rsidR="00806D69" w:rsidRPr="00834A12" w:rsidRDefault="00806D69" w:rsidP="008C4DDC">
            <w:pPr>
              <w:spacing w:line="240" w:lineRule="auto"/>
              <w:ind w:firstLine="0"/>
              <w:jc w:val="center"/>
              <w:rPr>
                <w:rFonts w:ascii="Lato" w:hAnsi="Lato"/>
                <w:i/>
                <w:iCs/>
                <w:color w:val="365F91"/>
                <w:sz w:val="16"/>
                <w:szCs w:val="16"/>
              </w:rPr>
            </w:pPr>
            <w:r w:rsidRPr="00834A12">
              <w:rPr>
                <w:rFonts w:ascii="Lato" w:hAnsi="Lato"/>
                <w:i/>
                <w:iCs/>
                <w:color w:val="365F91"/>
                <w:sz w:val="16"/>
                <w:szCs w:val="16"/>
              </w:rPr>
              <w:t xml:space="preserve"> [kWh]</w:t>
            </w:r>
          </w:p>
        </w:tc>
      </w:tr>
      <w:tr w:rsidR="00D7119C" w:rsidRPr="00834A12" w:rsidTr="008C4DDC">
        <w:trPr>
          <w:trHeight w:val="255"/>
          <w:jc w:val="center"/>
        </w:trPr>
        <w:tc>
          <w:tcPr>
            <w:tcW w:w="2668" w:type="pct"/>
            <w:shd w:val="clear" w:color="auto" w:fill="auto"/>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Min</w:t>
            </w:r>
          </w:p>
        </w:tc>
        <w:tc>
          <w:tcPr>
            <w:tcW w:w="2332" w:type="pct"/>
            <w:shd w:val="clear" w:color="auto" w:fill="auto"/>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80,00</w:t>
            </w:r>
          </w:p>
        </w:tc>
      </w:tr>
      <w:tr w:rsidR="00D7119C" w:rsidRPr="00834A12" w:rsidTr="008C4DDC">
        <w:trPr>
          <w:trHeight w:val="255"/>
          <w:jc w:val="center"/>
        </w:trPr>
        <w:tc>
          <w:tcPr>
            <w:tcW w:w="2668" w:type="pct"/>
            <w:shd w:val="clear" w:color="auto" w:fill="auto"/>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Średnia</w:t>
            </w:r>
          </w:p>
        </w:tc>
        <w:tc>
          <w:tcPr>
            <w:tcW w:w="2332" w:type="pct"/>
            <w:shd w:val="clear" w:color="auto" w:fill="auto"/>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44 451,24</w:t>
            </w:r>
          </w:p>
        </w:tc>
      </w:tr>
      <w:tr w:rsidR="00D7119C" w:rsidRPr="00834A12" w:rsidTr="008C4DDC">
        <w:trPr>
          <w:trHeight w:val="255"/>
          <w:jc w:val="center"/>
        </w:trPr>
        <w:tc>
          <w:tcPr>
            <w:tcW w:w="2668" w:type="pct"/>
            <w:shd w:val="clear" w:color="auto" w:fill="auto"/>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Max</w:t>
            </w:r>
          </w:p>
        </w:tc>
        <w:tc>
          <w:tcPr>
            <w:tcW w:w="2332" w:type="pct"/>
            <w:shd w:val="clear" w:color="auto" w:fill="auto"/>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263 832,00</w:t>
            </w:r>
          </w:p>
        </w:tc>
      </w:tr>
      <w:tr w:rsidR="00806D69" w:rsidRPr="00834A12" w:rsidTr="008C4DDC">
        <w:trPr>
          <w:trHeight w:val="255"/>
          <w:jc w:val="center"/>
        </w:trPr>
        <w:tc>
          <w:tcPr>
            <w:tcW w:w="2668" w:type="pct"/>
            <w:shd w:val="clear" w:color="auto" w:fill="auto"/>
            <w:noWrap/>
            <w:vAlign w:val="bottom"/>
            <w:hideMark/>
          </w:tcPr>
          <w:p w:rsidR="00806D69" w:rsidRPr="00834A12" w:rsidRDefault="00806D69" w:rsidP="008C4DDC">
            <w:pPr>
              <w:spacing w:line="240" w:lineRule="auto"/>
              <w:ind w:firstLine="0"/>
              <w:jc w:val="center"/>
              <w:rPr>
                <w:rFonts w:ascii="Lato" w:hAnsi="Lato"/>
                <w:b/>
                <w:i/>
                <w:iCs/>
                <w:color w:val="365F91"/>
                <w:sz w:val="20"/>
                <w:szCs w:val="20"/>
              </w:rPr>
            </w:pPr>
            <w:r w:rsidRPr="00834A12">
              <w:rPr>
                <w:rFonts w:ascii="Lato" w:hAnsi="Lato"/>
                <w:b/>
                <w:i/>
                <w:iCs/>
                <w:color w:val="365F91"/>
                <w:sz w:val="20"/>
                <w:szCs w:val="20"/>
              </w:rPr>
              <w:t>Suma</w:t>
            </w:r>
          </w:p>
        </w:tc>
        <w:tc>
          <w:tcPr>
            <w:tcW w:w="2332" w:type="pct"/>
            <w:shd w:val="clear" w:color="auto" w:fill="auto"/>
            <w:noWrap/>
            <w:vAlign w:val="bottom"/>
            <w:hideMark/>
          </w:tcPr>
          <w:p w:rsidR="00806D69"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755 671,00</w:t>
            </w:r>
          </w:p>
        </w:tc>
      </w:tr>
    </w:tbl>
    <w:p w:rsidR="00806D69" w:rsidRPr="00834A12" w:rsidRDefault="00806D69" w:rsidP="00806D69">
      <w:pPr>
        <w:pStyle w:val="Akapitzlist"/>
        <w:ind w:left="720"/>
        <w:jc w:val="both"/>
        <w:rPr>
          <w:rFonts w:ascii="Lato" w:hAnsi="Lato"/>
        </w:rPr>
      </w:pP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5321"/>
        <w:gridCol w:w="4684"/>
      </w:tblGrid>
      <w:tr w:rsidR="00806D69" w:rsidRPr="00834A12" w:rsidTr="008C4DDC">
        <w:trPr>
          <w:trHeight w:val="255"/>
          <w:jc w:val="center"/>
        </w:trPr>
        <w:tc>
          <w:tcPr>
            <w:tcW w:w="5000" w:type="pct"/>
            <w:gridSpan w:val="2"/>
            <w:shd w:val="clear" w:color="auto" w:fill="C6D9F1"/>
            <w:noWrap/>
            <w:vAlign w:val="bottom"/>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Jednostkowe zużycie energii</w:t>
            </w:r>
          </w:p>
        </w:tc>
      </w:tr>
      <w:tr w:rsidR="00806D69" w:rsidRPr="00834A12" w:rsidTr="008C4DDC">
        <w:trPr>
          <w:trHeight w:val="255"/>
          <w:jc w:val="center"/>
        </w:trPr>
        <w:tc>
          <w:tcPr>
            <w:tcW w:w="5000" w:type="pct"/>
            <w:gridSpan w:val="2"/>
            <w:shd w:val="clear" w:color="auto" w:fill="auto"/>
            <w:noWrap/>
            <w:vAlign w:val="bottom"/>
            <w:hideMark/>
          </w:tcPr>
          <w:p w:rsidR="00806D69" w:rsidRPr="00834A12" w:rsidRDefault="00806D69" w:rsidP="008C4DDC">
            <w:pPr>
              <w:spacing w:line="240" w:lineRule="auto"/>
              <w:ind w:firstLine="0"/>
              <w:jc w:val="center"/>
              <w:rPr>
                <w:rFonts w:ascii="Lato" w:hAnsi="Lato"/>
                <w:i/>
                <w:iCs/>
                <w:color w:val="365F91"/>
                <w:sz w:val="16"/>
                <w:szCs w:val="16"/>
              </w:rPr>
            </w:pPr>
            <w:r w:rsidRPr="00834A12">
              <w:rPr>
                <w:rFonts w:ascii="Lato" w:hAnsi="Lato"/>
                <w:i/>
                <w:iCs/>
                <w:color w:val="365F91"/>
                <w:sz w:val="16"/>
                <w:szCs w:val="16"/>
              </w:rPr>
              <w:t xml:space="preserve"> [kWh/m</w:t>
            </w:r>
            <w:r w:rsidRPr="00834A12">
              <w:rPr>
                <w:rFonts w:ascii="Lato" w:hAnsi="Lato"/>
                <w:i/>
                <w:iCs/>
                <w:color w:val="365F91"/>
                <w:sz w:val="16"/>
                <w:szCs w:val="16"/>
                <w:vertAlign w:val="superscript"/>
              </w:rPr>
              <w:t>2</w:t>
            </w:r>
            <w:r w:rsidRPr="00834A12">
              <w:rPr>
                <w:rFonts w:ascii="Lato" w:hAnsi="Lato"/>
                <w:i/>
                <w:iCs/>
                <w:color w:val="365F91"/>
                <w:sz w:val="16"/>
                <w:szCs w:val="16"/>
              </w:rPr>
              <w:t>]</w:t>
            </w:r>
          </w:p>
        </w:tc>
      </w:tr>
      <w:tr w:rsidR="00D7119C" w:rsidRPr="00834A12" w:rsidTr="0003431E">
        <w:trPr>
          <w:trHeight w:val="255"/>
          <w:jc w:val="center"/>
        </w:trPr>
        <w:tc>
          <w:tcPr>
            <w:tcW w:w="2659" w:type="pct"/>
            <w:shd w:val="clear" w:color="auto" w:fill="auto"/>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Min</w:t>
            </w:r>
          </w:p>
        </w:tc>
        <w:tc>
          <w:tcPr>
            <w:tcW w:w="2341" w:type="pct"/>
            <w:shd w:val="clear" w:color="auto" w:fill="auto"/>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0,49</w:t>
            </w:r>
          </w:p>
        </w:tc>
      </w:tr>
      <w:tr w:rsidR="00D7119C" w:rsidRPr="00834A12" w:rsidTr="0003431E">
        <w:trPr>
          <w:trHeight w:val="255"/>
          <w:jc w:val="center"/>
        </w:trPr>
        <w:tc>
          <w:tcPr>
            <w:tcW w:w="2659" w:type="pct"/>
            <w:shd w:val="clear" w:color="auto" w:fill="auto"/>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Średnia</w:t>
            </w:r>
          </w:p>
        </w:tc>
        <w:tc>
          <w:tcPr>
            <w:tcW w:w="2341" w:type="pct"/>
            <w:shd w:val="clear" w:color="auto" w:fill="auto"/>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73,59</w:t>
            </w:r>
          </w:p>
        </w:tc>
      </w:tr>
      <w:tr w:rsidR="00D7119C" w:rsidRPr="00834A12" w:rsidTr="0003431E">
        <w:trPr>
          <w:trHeight w:val="255"/>
          <w:jc w:val="center"/>
        </w:trPr>
        <w:tc>
          <w:tcPr>
            <w:tcW w:w="2659" w:type="pct"/>
            <w:shd w:val="clear" w:color="auto" w:fill="auto"/>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Max</w:t>
            </w:r>
          </w:p>
        </w:tc>
        <w:tc>
          <w:tcPr>
            <w:tcW w:w="2341" w:type="pct"/>
            <w:shd w:val="clear" w:color="auto" w:fill="auto"/>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717,47</w:t>
            </w:r>
          </w:p>
        </w:tc>
      </w:tr>
    </w:tbl>
    <w:p w:rsidR="00806D69" w:rsidRPr="00834A12" w:rsidRDefault="00806D69" w:rsidP="00806D69">
      <w:pPr>
        <w:pStyle w:val="Akapitzlist"/>
        <w:ind w:left="0"/>
        <w:jc w:val="center"/>
        <w:rPr>
          <w:rFonts w:ascii="Lato" w:hAnsi="Lato"/>
        </w:rPr>
      </w:pP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5321"/>
        <w:gridCol w:w="4684"/>
      </w:tblGrid>
      <w:tr w:rsidR="00806D69" w:rsidRPr="00834A12" w:rsidTr="008C4DDC">
        <w:trPr>
          <w:trHeight w:val="255"/>
          <w:jc w:val="center"/>
        </w:trPr>
        <w:tc>
          <w:tcPr>
            <w:tcW w:w="5000" w:type="pct"/>
            <w:gridSpan w:val="2"/>
            <w:shd w:val="clear" w:color="auto" w:fill="C6D9F1"/>
            <w:noWrap/>
            <w:vAlign w:val="bottom"/>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Koszty energii</w:t>
            </w:r>
          </w:p>
        </w:tc>
      </w:tr>
      <w:tr w:rsidR="00806D69" w:rsidRPr="00834A12" w:rsidTr="008C4DDC">
        <w:trPr>
          <w:trHeight w:val="255"/>
          <w:jc w:val="center"/>
        </w:trPr>
        <w:tc>
          <w:tcPr>
            <w:tcW w:w="5000" w:type="pct"/>
            <w:gridSpan w:val="2"/>
            <w:shd w:val="clear" w:color="000000" w:fill="FFFFFF"/>
            <w:noWrap/>
            <w:vAlign w:val="bottom"/>
            <w:hideMark/>
          </w:tcPr>
          <w:p w:rsidR="00806D69" w:rsidRPr="00834A12" w:rsidRDefault="00806D69"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[zł]</w:t>
            </w:r>
          </w:p>
        </w:tc>
      </w:tr>
      <w:tr w:rsidR="00D7119C" w:rsidRPr="00834A12" w:rsidTr="008C4DDC">
        <w:trPr>
          <w:trHeight w:val="255"/>
          <w:jc w:val="center"/>
        </w:trPr>
        <w:tc>
          <w:tcPr>
            <w:tcW w:w="2659" w:type="pct"/>
            <w:shd w:val="clear" w:color="000000" w:fill="FFFFFF"/>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Min</w:t>
            </w:r>
          </w:p>
        </w:tc>
        <w:tc>
          <w:tcPr>
            <w:tcW w:w="2341" w:type="pct"/>
            <w:shd w:val="clear" w:color="000000" w:fill="FFFFFF"/>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1 760,66</w:t>
            </w:r>
          </w:p>
        </w:tc>
      </w:tr>
      <w:tr w:rsidR="00D7119C" w:rsidRPr="00834A12" w:rsidTr="008C4DDC">
        <w:trPr>
          <w:trHeight w:val="255"/>
          <w:jc w:val="center"/>
        </w:trPr>
        <w:tc>
          <w:tcPr>
            <w:tcW w:w="2659" w:type="pct"/>
            <w:shd w:val="clear" w:color="000000" w:fill="FFFFFF"/>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Średnia</w:t>
            </w:r>
          </w:p>
        </w:tc>
        <w:tc>
          <w:tcPr>
            <w:tcW w:w="2341" w:type="pct"/>
            <w:shd w:val="clear" w:color="000000" w:fill="FFFFFF"/>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17 816,72</w:t>
            </w:r>
          </w:p>
        </w:tc>
      </w:tr>
      <w:tr w:rsidR="00D7119C" w:rsidRPr="00834A12" w:rsidTr="008C4DDC">
        <w:trPr>
          <w:trHeight w:val="255"/>
          <w:jc w:val="center"/>
        </w:trPr>
        <w:tc>
          <w:tcPr>
            <w:tcW w:w="2659" w:type="pct"/>
            <w:shd w:val="clear" w:color="000000" w:fill="FFFFFF"/>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Max</w:t>
            </w:r>
          </w:p>
        </w:tc>
        <w:tc>
          <w:tcPr>
            <w:tcW w:w="2341" w:type="pct"/>
            <w:shd w:val="clear" w:color="000000" w:fill="FFFFFF"/>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86 311,33</w:t>
            </w:r>
          </w:p>
        </w:tc>
      </w:tr>
      <w:tr w:rsidR="00806D69" w:rsidRPr="00834A12" w:rsidTr="008C4DDC">
        <w:trPr>
          <w:trHeight w:val="338"/>
          <w:jc w:val="center"/>
        </w:trPr>
        <w:tc>
          <w:tcPr>
            <w:tcW w:w="2659" w:type="pct"/>
            <w:shd w:val="clear" w:color="000000" w:fill="FFFFFF"/>
            <w:noWrap/>
            <w:vAlign w:val="bottom"/>
            <w:hideMark/>
          </w:tcPr>
          <w:p w:rsidR="00806D69" w:rsidRPr="00834A12" w:rsidRDefault="00806D69"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Suma</w:t>
            </w:r>
          </w:p>
        </w:tc>
        <w:tc>
          <w:tcPr>
            <w:tcW w:w="2341" w:type="pct"/>
            <w:shd w:val="clear" w:color="000000" w:fill="FFFFFF"/>
            <w:noWrap/>
            <w:vAlign w:val="bottom"/>
            <w:hideMark/>
          </w:tcPr>
          <w:p w:rsidR="00806D69"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302 884,26</w:t>
            </w:r>
          </w:p>
        </w:tc>
      </w:tr>
    </w:tbl>
    <w:p w:rsidR="00806D69" w:rsidRPr="00834A12" w:rsidRDefault="00806D69" w:rsidP="00806D69">
      <w:pPr>
        <w:pStyle w:val="Akapitzlist"/>
        <w:ind w:left="720"/>
        <w:jc w:val="both"/>
        <w:rPr>
          <w:rFonts w:ascii="Lato" w:hAnsi="Lato"/>
        </w:rPr>
      </w:pP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5339"/>
        <w:gridCol w:w="4666"/>
      </w:tblGrid>
      <w:tr w:rsidR="00806D69" w:rsidRPr="00834A12" w:rsidTr="008C4DDC">
        <w:trPr>
          <w:trHeight w:val="553"/>
          <w:jc w:val="center"/>
        </w:trPr>
        <w:tc>
          <w:tcPr>
            <w:tcW w:w="5000" w:type="pct"/>
            <w:gridSpan w:val="2"/>
            <w:shd w:val="clear" w:color="auto" w:fill="C6D9F1"/>
            <w:noWrap/>
            <w:vAlign w:val="bottom"/>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Jednostkowa cena energii/paliw</w:t>
            </w:r>
          </w:p>
          <w:p w:rsidR="00806D69" w:rsidRPr="00834A12" w:rsidRDefault="00806D69" w:rsidP="008C4DDC">
            <w:pPr>
              <w:spacing w:line="240" w:lineRule="auto"/>
              <w:ind w:firstLine="0"/>
              <w:rPr>
                <w:rFonts w:ascii="Lato" w:hAnsi="Lato"/>
                <w:color w:val="365F91"/>
                <w:sz w:val="20"/>
                <w:szCs w:val="20"/>
              </w:rPr>
            </w:pPr>
            <w:r w:rsidRPr="00834A12">
              <w:rPr>
                <w:rFonts w:ascii="Lato" w:hAnsi="Lato"/>
                <w:color w:val="365F91"/>
                <w:sz w:val="20"/>
                <w:szCs w:val="20"/>
              </w:rPr>
              <w:t> </w:t>
            </w:r>
          </w:p>
        </w:tc>
      </w:tr>
      <w:tr w:rsidR="00806D69" w:rsidRPr="00834A12" w:rsidTr="008C4DDC">
        <w:trPr>
          <w:trHeight w:val="277"/>
          <w:jc w:val="center"/>
        </w:trPr>
        <w:tc>
          <w:tcPr>
            <w:tcW w:w="5000" w:type="pct"/>
            <w:gridSpan w:val="2"/>
            <w:shd w:val="clear" w:color="000000" w:fill="FFFFFF"/>
            <w:noWrap/>
            <w:vAlign w:val="center"/>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i/>
                <w:iCs/>
                <w:color w:val="365F91"/>
                <w:sz w:val="16"/>
                <w:szCs w:val="16"/>
              </w:rPr>
              <w:t>[zł/kWh]</w:t>
            </w:r>
          </w:p>
        </w:tc>
      </w:tr>
      <w:tr w:rsidR="00D7119C" w:rsidRPr="00834A12" w:rsidTr="0003431E">
        <w:trPr>
          <w:trHeight w:val="255"/>
          <w:jc w:val="center"/>
        </w:trPr>
        <w:tc>
          <w:tcPr>
            <w:tcW w:w="2668" w:type="pct"/>
            <w:shd w:val="clear" w:color="000000" w:fill="FFFFFF"/>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Min</w:t>
            </w:r>
          </w:p>
        </w:tc>
        <w:tc>
          <w:tcPr>
            <w:tcW w:w="2332" w:type="pct"/>
            <w:shd w:val="clear" w:color="000000" w:fill="FFFFFF"/>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0,31</w:t>
            </w:r>
          </w:p>
        </w:tc>
      </w:tr>
      <w:tr w:rsidR="00D7119C" w:rsidRPr="00834A12" w:rsidTr="0003431E">
        <w:trPr>
          <w:trHeight w:val="255"/>
          <w:jc w:val="center"/>
        </w:trPr>
        <w:tc>
          <w:tcPr>
            <w:tcW w:w="2668" w:type="pct"/>
            <w:shd w:val="clear" w:color="000000" w:fill="FFFFFF"/>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Średnia</w:t>
            </w:r>
          </w:p>
        </w:tc>
        <w:tc>
          <w:tcPr>
            <w:tcW w:w="2332" w:type="pct"/>
            <w:shd w:val="clear" w:color="000000" w:fill="FFFFFF"/>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0,40</w:t>
            </w:r>
          </w:p>
        </w:tc>
      </w:tr>
      <w:tr w:rsidR="00D7119C" w:rsidRPr="00834A12" w:rsidTr="0003431E">
        <w:trPr>
          <w:trHeight w:val="255"/>
          <w:jc w:val="center"/>
        </w:trPr>
        <w:tc>
          <w:tcPr>
            <w:tcW w:w="2668" w:type="pct"/>
            <w:shd w:val="clear" w:color="000000" w:fill="FFFFFF"/>
            <w:noWrap/>
            <w:vAlign w:val="bottom"/>
            <w:hideMark/>
          </w:tcPr>
          <w:p w:rsidR="00D7119C" w:rsidRPr="00834A12" w:rsidRDefault="00D7119C" w:rsidP="008C4DDC">
            <w:pPr>
              <w:spacing w:line="240" w:lineRule="auto"/>
              <w:ind w:firstLine="0"/>
              <w:jc w:val="center"/>
              <w:rPr>
                <w:rFonts w:ascii="Lato" w:hAnsi="Lato"/>
                <w:i/>
                <w:iCs/>
                <w:color w:val="365F91"/>
                <w:sz w:val="20"/>
                <w:szCs w:val="20"/>
              </w:rPr>
            </w:pPr>
            <w:r w:rsidRPr="00834A12">
              <w:rPr>
                <w:rFonts w:ascii="Lato" w:hAnsi="Lato"/>
                <w:i/>
                <w:iCs/>
                <w:color w:val="365F91"/>
                <w:sz w:val="20"/>
                <w:szCs w:val="20"/>
              </w:rPr>
              <w:t>Max</w:t>
            </w:r>
          </w:p>
        </w:tc>
        <w:tc>
          <w:tcPr>
            <w:tcW w:w="2332" w:type="pct"/>
            <w:shd w:val="clear" w:color="000000" w:fill="FFFFFF"/>
            <w:noWrap/>
            <w:vAlign w:val="bottom"/>
            <w:hideMark/>
          </w:tcPr>
          <w:p w:rsidR="00D7119C" w:rsidRPr="00D7119C" w:rsidRDefault="00D7119C" w:rsidP="00D7119C">
            <w:pPr>
              <w:spacing w:line="240" w:lineRule="auto"/>
              <w:ind w:firstLine="0"/>
              <w:jc w:val="center"/>
              <w:rPr>
                <w:rFonts w:ascii="Lato" w:hAnsi="Lato"/>
                <w:i/>
                <w:iCs/>
                <w:color w:val="365F91"/>
                <w:sz w:val="20"/>
                <w:szCs w:val="20"/>
              </w:rPr>
            </w:pPr>
            <w:r w:rsidRPr="00D7119C">
              <w:rPr>
                <w:rFonts w:ascii="Lato" w:hAnsi="Lato"/>
                <w:i/>
                <w:iCs/>
                <w:color w:val="365F91"/>
                <w:sz w:val="20"/>
                <w:szCs w:val="20"/>
              </w:rPr>
              <w:t>50,79</w:t>
            </w:r>
          </w:p>
        </w:tc>
      </w:tr>
    </w:tbl>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806D69" w:rsidP="00806D69">
      <w:pPr>
        <w:jc w:val="both"/>
        <w:rPr>
          <w:rFonts w:ascii="Lato" w:hAnsi="Lato"/>
        </w:rPr>
      </w:pPr>
    </w:p>
    <w:p w:rsidR="00806D69" w:rsidRPr="00834A12" w:rsidRDefault="00806D69" w:rsidP="00D77430">
      <w:pPr>
        <w:ind w:firstLine="709"/>
        <w:jc w:val="both"/>
        <w:rPr>
          <w:rFonts w:ascii="Lato" w:hAnsi="Lato"/>
        </w:rPr>
      </w:pPr>
      <w:r w:rsidRPr="00834A12">
        <w:rPr>
          <w:rFonts w:ascii="Lato" w:hAnsi="Lato"/>
        </w:rPr>
        <w:t>Na poniższych wykresach przedstawiono jednostkowe wartości kosztów oraz zużycia energii elektrycznej.</w:t>
      </w:r>
    </w:p>
    <w:p w:rsidR="00806D69" w:rsidRPr="00834A12" w:rsidRDefault="0054647A" w:rsidP="0054647A">
      <w:pPr>
        <w:ind w:firstLine="0"/>
        <w:jc w:val="center"/>
        <w:rPr>
          <w:rFonts w:ascii="Lato" w:hAnsi="Lato"/>
        </w:rPr>
      </w:pPr>
      <w:r>
        <w:rPr>
          <w:noProof/>
        </w:rPr>
        <w:lastRenderedPageBreak/>
        <w:drawing>
          <wp:inline distT="0" distB="0" distL="0" distR="0" wp14:anchorId="017912FF" wp14:editId="1CDA75EA">
            <wp:extent cx="5534025" cy="3762375"/>
            <wp:effectExtent l="0" t="0" r="0" b="0"/>
            <wp:docPr id="4769" name="Wykres 47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06D69" w:rsidRDefault="00806D69" w:rsidP="00D7119C">
      <w:pPr>
        <w:pStyle w:val="Legenda"/>
        <w:keepNext w:val="0"/>
        <w:jc w:val="center"/>
        <w:rPr>
          <w:rFonts w:ascii="Lato" w:hAnsi="Lato"/>
          <w:color w:val="1F497D"/>
          <w:sz w:val="20"/>
          <w:szCs w:val="20"/>
          <w:lang w:val="pl-PL"/>
        </w:rPr>
      </w:pPr>
      <w:bookmarkStart w:id="518" w:name="_Toc430598980"/>
      <w:bookmarkStart w:id="519" w:name="_Toc8035312"/>
      <w:bookmarkStart w:id="520" w:name="_Toc20219262"/>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5</w:t>
      </w:r>
      <w:r w:rsidRPr="00834A12">
        <w:rPr>
          <w:rFonts w:ascii="Lato" w:hAnsi="Lato"/>
          <w:color w:val="1F497D"/>
          <w:sz w:val="20"/>
          <w:szCs w:val="20"/>
        </w:rPr>
        <w:fldChar w:fldCharType="end"/>
      </w:r>
      <w:r w:rsidRPr="00834A12">
        <w:rPr>
          <w:rFonts w:ascii="Lato" w:hAnsi="Lato"/>
          <w:color w:val="1F497D"/>
          <w:sz w:val="20"/>
          <w:szCs w:val="20"/>
        </w:rPr>
        <w:t xml:space="preserve"> Jednostkowe koszty energii elektrycznej</w:t>
      </w:r>
      <w:bookmarkEnd w:id="518"/>
      <w:bookmarkEnd w:id="519"/>
      <w:bookmarkEnd w:id="520"/>
    </w:p>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2542F4" w:rsidRDefault="002542F4" w:rsidP="0054647A">
      <w:pPr>
        <w:ind w:firstLine="0"/>
        <w:jc w:val="center"/>
        <w:rPr>
          <w:rFonts w:ascii="Lato" w:hAnsi="Lato"/>
        </w:rPr>
      </w:pPr>
    </w:p>
    <w:p w:rsidR="00806D69" w:rsidRPr="00834A12" w:rsidRDefault="0054647A" w:rsidP="0054647A">
      <w:pPr>
        <w:ind w:firstLine="0"/>
        <w:jc w:val="center"/>
        <w:rPr>
          <w:rFonts w:ascii="Lato" w:hAnsi="Lato"/>
        </w:rPr>
      </w:pPr>
      <w:r>
        <w:rPr>
          <w:noProof/>
        </w:rPr>
        <w:drawing>
          <wp:inline distT="0" distB="0" distL="0" distR="0" wp14:anchorId="03EA4B1C" wp14:editId="4E501985">
            <wp:extent cx="5738812" cy="3381375"/>
            <wp:effectExtent l="0" t="0" r="0" b="0"/>
            <wp:docPr id="4770" name="Wykres 4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06D69" w:rsidRDefault="00806D69" w:rsidP="00D7119C">
      <w:pPr>
        <w:pStyle w:val="Legenda"/>
        <w:keepNext w:val="0"/>
        <w:jc w:val="center"/>
        <w:rPr>
          <w:rFonts w:ascii="Lato" w:hAnsi="Lato"/>
          <w:color w:val="1F497D"/>
          <w:sz w:val="20"/>
          <w:szCs w:val="20"/>
          <w:lang w:val="pl-PL"/>
        </w:rPr>
      </w:pPr>
      <w:bookmarkStart w:id="521" w:name="_Toc430598981"/>
      <w:bookmarkStart w:id="522" w:name="_Toc8035313"/>
      <w:bookmarkStart w:id="523" w:name="_Toc20219263"/>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t xml:space="preserve"> Jednostkowe zużycie energii elektrycznej</w:t>
      </w:r>
      <w:bookmarkEnd w:id="521"/>
      <w:bookmarkEnd w:id="522"/>
      <w:bookmarkEnd w:id="523"/>
    </w:p>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2542F4" w:rsidRPr="002542F4" w:rsidRDefault="002542F4" w:rsidP="002542F4">
      <w:pPr>
        <w:rPr>
          <w:lang w:eastAsia="x-none"/>
        </w:rPr>
      </w:pPr>
    </w:p>
    <w:p w:rsidR="00806D69" w:rsidRPr="00834A12" w:rsidRDefault="0054647A" w:rsidP="0054647A">
      <w:pPr>
        <w:pStyle w:val="Legenda"/>
        <w:keepNext w:val="0"/>
        <w:jc w:val="center"/>
        <w:rPr>
          <w:rFonts w:ascii="Lato" w:hAnsi="Lato"/>
        </w:rPr>
      </w:pPr>
      <w:r>
        <w:rPr>
          <w:noProof/>
          <w:lang w:val="pl-PL" w:eastAsia="pl-PL"/>
        </w:rPr>
        <w:lastRenderedPageBreak/>
        <w:drawing>
          <wp:inline distT="0" distB="0" distL="0" distR="0" wp14:anchorId="71EFE92E" wp14:editId="1BD1747C">
            <wp:extent cx="5667375" cy="3762375"/>
            <wp:effectExtent l="0" t="0" r="0" b="0"/>
            <wp:docPr id="4771" name="Wykres 4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06D69" w:rsidRDefault="00806D69" w:rsidP="0054647A">
      <w:pPr>
        <w:pStyle w:val="Legenda"/>
        <w:keepNext w:val="0"/>
        <w:jc w:val="center"/>
        <w:rPr>
          <w:rFonts w:ascii="Lato" w:hAnsi="Lato"/>
          <w:color w:val="1F497D"/>
          <w:sz w:val="20"/>
          <w:szCs w:val="20"/>
          <w:lang w:val="pl-PL"/>
        </w:rPr>
      </w:pPr>
      <w:bookmarkStart w:id="524" w:name="_Toc8035314"/>
      <w:bookmarkStart w:id="525" w:name="_Toc20219264"/>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7</w:t>
      </w:r>
      <w:r w:rsidRPr="00834A12">
        <w:rPr>
          <w:rFonts w:ascii="Lato" w:hAnsi="Lato"/>
          <w:color w:val="1F497D"/>
          <w:sz w:val="20"/>
          <w:szCs w:val="20"/>
        </w:rPr>
        <w:fldChar w:fldCharType="end"/>
      </w:r>
      <w:r w:rsidRPr="00834A12">
        <w:rPr>
          <w:rFonts w:ascii="Lato" w:hAnsi="Lato"/>
        </w:rPr>
        <w:t xml:space="preserve"> </w:t>
      </w:r>
      <w:r w:rsidRPr="00834A12">
        <w:rPr>
          <w:rFonts w:ascii="Lato" w:hAnsi="Lato"/>
          <w:color w:val="1F497D"/>
          <w:sz w:val="20"/>
          <w:szCs w:val="20"/>
        </w:rPr>
        <w:t>Porównanie kosztów jednostkowych energii elektrycznej w poszczególnych obiektach użyteczności publicznej</w:t>
      </w:r>
      <w:bookmarkEnd w:id="524"/>
      <w:bookmarkEnd w:id="525"/>
    </w:p>
    <w:p w:rsidR="002542F4" w:rsidRDefault="002542F4" w:rsidP="002542F4">
      <w:pPr>
        <w:suppressAutoHyphens/>
        <w:spacing w:after="240"/>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54647A" w:rsidP="0054647A">
      <w:pPr>
        <w:ind w:firstLine="0"/>
        <w:rPr>
          <w:rFonts w:ascii="Lato" w:hAnsi="Lato"/>
        </w:rPr>
      </w:pPr>
      <w:r>
        <w:rPr>
          <w:noProof/>
        </w:rPr>
        <w:drawing>
          <wp:inline distT="0" distB="0" distL="0" distR="0" wp14:anchorId="4D6E8CBE" wp14:editId="251A2ABE">
            <wp:extent cx="5657849" cy="3486150"/>
            <wp:effectExtent l="0" t="0" r="635" b="0"/>
            <wp:docPr id="4772" name="Wykres 47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06D69" w:rsidRDefault="00806D69" w:rsidP="0054647A">
      <w:pPr>
        <w:pStyle w:val="Legenda"/>
        <w:keepNext w:val="0"/>
        <w:jc w:val="center"/>
        <w:rPr>
          <w:rFonts w:ascii="Lato" w:hAnsi="Lato"/>
          <w:color w:val="1F497D"/>
          <w:sz w:val="20"/>
          <w:szCs w:val="20"/>
          <w:lang w:val="pl-PL"/>
        </w:rPr>
      </w:pPr>
      <w:bookmarkStart w:id="526" w:name="_Toc8035315"/>
      <w:bookmarkStart w:id="527" w:name="_Toc20219265"/>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8</w:t>
      </w:r>
      <w:r w:rsidRPr="00834A12">
        <w:rPr>
          <w:rFonts w:ascii="Lato" w:hAnsi="Lato"/>
          <w:color w:val="1F497D"/>
          <w:sz w:val="20"/>
          <w:szCs w:val="20"/>
        </w:rPr>
        <w:fldChar w:fldCharType="end"/>
      </w:r>
      <w:r w:rsidRPr="00834A12">
        <w:rPr>
          <w:rFonts w:ascii="Lato" w:hAnsi="Lato"/>
          <w:color w:val="1F497D"/>
          <w:sz w:val="20"/>
          <w:szCs w:val="20"/>
        </w:rPr>
        <w:t xml:space="preserve"> Porównanie jednostkowego zużycia energii elektrycznej w poszczególnych obiektach użyteczności publicznej</w:t>
      </w:r>
      <w:bookmarkEnd w:id="526"/>
      <w:bookmarkEnd w:id="527"/>
    </w:p>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54647A" w:rsidP="0054647A">
      <w:pPr>
        <w:pStyle w:val="Legenda"/>
        <w:keepNext w:val="0"/>
        <w:jc w:val="left"/>
        <w:rPr>
          <w:rFonts w:ascii="Lato" w:hAnsi="Lato"/>
        </w:rPr>
      </w:pPr>
      <w:r>
        <w:rPr>
          <w:noProof/>
          <w:lang w:val="pl-PL" w:eastAsia="pl-PL"/>
        </w:rPr>
        <w:lastRenderedPageBreak/>
        <w:drawing>
          <wp:inline distT="0" distB="0" distL="0" distR="0" wp14:anchorId="77E68D11" wp14:editId="62BEC168">
            <wp:extent cx="5972810" cy="3568065"/>
            <wp:effectExtent l="0" t="0" r="8890" b="0"/>
            <wp:docPr id="4773" name="Wykres 4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06D69" w:rsidRDefault="00806D69" w:rsidP="0054647A">
      <w:pPr>
        <w:pStyle w:val="Legenda"/>
        <w:keepNext w:val="0"/>
        <w:jc w:val="center"/>
        <w:rPr>
          <w:rFonts w:ascii="Lato" w:hAnsi="Lato"/>
          <w:color w:val="1F497D"/>
          <w:sz w:val="20"/>
          <w:szCs w:val="20"/>
          <w:lang w:val="pl-PL"/>
        </w:rPr>
      </w:pPr>
      <w:bookmarkStart w:id="528" w:name="_Toc8035316"/>
      <w:bookmarkStart w:id="529" w:name="_Toc20219266"/>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9</w:t>
      </w:r>
      <w:r w:rsidRPr="00834A12">
        <w:rPr>
          <w:rFonts w:ascii="Lato" w:hAnsi="Lato"/>
          <w:color w:val="1F497D"/>
          <w:sz w:val="20"/>
          <w:szCs w:val="20"/>
        </w:rPr>
        <w:fldChar w:fldCharType="end"/>
      </w:r>
      <w:r w:rsidRPr="00834A12">
        <w:rPr>
          <w:rFonts w:ascii="Lato" w:hAnsi="Lato"/>
          <w:color w:val="1F497D"/>
          <w:sz w:val="20"/>
          <w:szCs w:val="20"/>
        </w:rPr>
        <w:t xml:space="preserve"> Porównanie jednostkowej ceny energii elektrycznej w poszczególnych obiektach użyteczności publicznej</w:t>
      </w:r>
      <w:bookmarkStart w:id="530" w:name="_Toc430598794"/>
      <w:bookmarkStart w:id="531" w:name="_Toc8035181"/>
      <w:bookmarkEnd w:id="528"/>
      <w:r w:rsidR="0054647A">
        <w:rPr>
          <w:rFonts w:ascii="Lato" w:hAnsi="Lato"/>
          <w:color w:val="1F497D"/>
          <w:sz w:val="20"/>
          <w:szCs w:val="20"/>
          <w:lang w:val="pl-PL"/>
        </w:rPr>
        <w:t xml:space="preserve"> (z wyłączeniem obiektów SWHer oraz BIB_Pia)</w:t>
      </w:r>
      <w:bookmarkEnd w:id="529"/>
    </w:p>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2542F4" w:rsidRPr="002542F4" w:rsidRDefault="002542F4" w:rsidP="002542F4">
      <w:pPr>
        <w:rPr>
          <w:lang w:eastAsia="x-none"/>
        </w:rPr>
      </w:pPr>
    </w:p>
    <w:p w:rsidR="00806D69" w:rsidRPr="00834A12" w:rsidRDefault="00806D69" w:rsidP="00806D69">
      <w:pPr>
        <w:pStyle w:val="Akapitzlist"/>
        <w:keepNext/>
        <w:numPr>
          <w:ilvl w:val="2"/>
          <w:numId w:val="38"/>
        </w:numPr>
        <w:tabs>
          <w:tab w:val="left" w:pos="709"/>
        </w:tabs>
        <w:spacing w:before="180" w:after="180" w:line="288" w:lineRule="auto"/>
        <w:ind w:left="709" w:hanging="709"/>
        <w:jc w:val="both"/>
        <w:outlineLvl w:val="2"/>
        <w:rPr>
          <w:rFonts w:ascii="Lato" w:hAnsi="Lato"/>
          <w:color w:val="365F91"/>
          <w:lang w:eastAsia="en-US"/>
        </w:rPr>
      </w:pPr>
      <w:bookmarkStart w:id="532" w:name="_Toc20218535"/>
      <w:r w:rsidRPr="00834A12">
        <w:rPr>
          <w:rFonts w:ascii="Lato" w:hAnsi="Lato"/>
          <w:color w:val="365F91"/>
          <w:lang w:eastAsia="en-US"/>
        </w:rPr>
        <w:t xml:space="preserve">Zużycie i </w:t>
      </w:r>
      <w:bookmarkEnd w:id="530"/>
      <w:bookmarkEnd w:id="531"/>
      <w:r w:rsidRPr="00834A12">
        <w:rPr>
          <w:rFonts w:ascii="Lato" w:hAnsi="Lato"/>
          <w:color w:val="365F91"/>
          <w:lang w:eastAsia="en-US"/>
        </w:rPr>
        <w:t>koszt ciepła</w:t>
      </w:r>
      <w:bookmarkEnd w:id="532"/>
    </w:p>
    <w:p w:rsidR="00806D69" w:rsidRPr="00834A12" w:rsidRDefault="00806D69" w:rsidP="00D77430">
      <w:pPr>
        <w:pStyle w:val="Legenda"/>
        <w:keepNext w:val="0"/>
        <w:spacing w:before="0" w:after="0" w:line="312" w:lineRule="auto"/>
        <w:ind w:firstLine="709"/>
        <w:rPr>
          <w:rFonts w:ascii="Lato" w:hAnsi="Lato"/>
          <w:b w:val="0"/>
          <w:spacing w:val="0"/>
          <w:szCs w:val="24"/>
          <w:lang w:val="pl-PL"/>
        </w:rPr>
      </w:pPr>
      <w:bookmarkStart w:id="533" w:name="_Toc430598895"/>
      <w:r w:rsidRPr="00834A12">
        <w:rPr>
          <w:rFonts w:ascii="Lato" w:hAnsi="Lato"/>
          <w:b w:val="0"/>
          <w:spacing w:val="0"/>
          <w:szCs w:val="24"/>
        </w:rPr>
        <w:t xml:space="preserve">W poniższej tabeli przedstawiono zużycie oraz koszt </w:t>
      </w:r>
      <w:r w:rsidRPr="00834A12">
        <w:rPr>
          <w:rFonts w:ascii="Lato" w:hAnsi="Lato"/>
          <w:b w:val="0"/>
          <w:spacing w:val="0"/>
          <w:szCs w:val="24"/>
          <w:lang w:val="pl-PL"/>
        </w:rPr>
        <w:t>ciepła na potrzeby ogrzewania oraz przygotowania ciepłej wody użytkowej</w:t>
      </w:r>
      <w:r w:rsidRPr="00834A12">
        <w:rPr>
          <w:rFonts w:ascii="Lato" w:hAnsi="Lato"/>
          <w:b w:val="0"/>
          <w:spacing w:val="0"/>
          <w:szCs w:val="24"/>
        </w:rPr>
        <w:t xml:space="preserve"> w</w:t>
      </w:r>
      <w:r w:rsidRPr="00834A12">
        <w:rPr>
          <w:rFonts w:ascii="Lato" w:hAnsi="Lato"/>
          <w:b w:val="0"/>
          <w:spacing w:val="0"/>
          <w:szCs w:val="24"/>
          <w:lang w:val="pl-PL"/>
        </w:rPr>
        <w:t xml:space="preserve"> 1</w:t>
      </w:r>
      <w:r w:rsidR="004F076B">
        <w:rPr>
          <w:rFonts w:ascii="Lato" w:hAnsi="Lato"/>
          <w:b w:val="0"/>
          <w:spacing w:val="0"/>
          <w:szCs w:val="24"/>
          <w:lang w:val="pl-PL"/>
        </w:rPr>
        <w:t>7</w:t>
      </w:r>
      <w:r w:rsidRPr="00834A12">
        <w:rPr>
          <w:rFonts w:ascii="Lato" w:hAnsi="Lato"/>
          <w:b w:val="0"/>
          <w:spacing w:val="0"/>
          <w:szCs w:val="24"/>
        </w:rPr>
        <w:t xml:space="preserve"> budynkach użyteczności publicznej</w:t>
      </w:r>
      <w:r w:rsidRPr="00834A12">
        <w:rPr>
          <w:rFonts w:ascii="Lato" w:hAnsi="Lato"/>
          <w:b w:val="0"/>
          <w:spacing w:val="0"/>
          <w:szCs w:val="24"/>
          <w:lang w:val="pl-PL"/>
        </w:rPr>
        <w:t xml:space="preserve"> dla których uzyskano pełne informacje.</w:t>
      </w:r>
    </w:p>
    <w:p w:rsidR="00806D69" w:rsidRPr="00834A12" w:rsidRDefault="00806D69" w:rsidP="00806D69">
      <w:pPr>
        <w:rPr>
          <w:rFonts w:ascii="Lato" w:hAnsi="Lato"/>
          <w:lang w:eastAsia="x-none"/>
        </w:rPr>
      </w:pPr>
    </w:p>
    <w:p w:rsidR="00806D69" w:rsidRPr="00834A12" w:rsidRDefault="00806D69" w:rsidP="00806D69">
      <w:pPr>
        <w:pStyle w:val="Legenda"/>
        <w:keepNext w:val="0"/>
        <w:spacing w:before="0"/>
        <w:rPr>
          <w:rFonts w:ascii="Lato" w:hAnsi="Lato"/>
          <w:bCs/>
          <w:color w:val="1F497D"/>
          <w:sz w:val="20"/>
          <w:szCs w:val="20"/>
          <w:lang w:val="pl-PL"/>
        </w:rPr>
      </w:pPr>
      <w:bookmarkStart w:id="534" w:name="_Toc8035243"/>
      <w:bookmarkStart w:id="535" w:name="_Toc20219207"/>
      <w:r w:rsidRPr="00834A12">
        <w:rPr>
          <w:rFonts w:ascii="Lato" w:hAnsi="Lato"/>
          <w:bCs/>
          <w:color w:val="1F497D"/>
          <w:sz w:val="20"/>
          <w:szCs w:val="20"/>
        </w:rPr>
        <w:t xml:space="preserve">Tabela </w:t>
      </w:r>
      <w:r w:rsidRPr="00834A12">
        <w:rPr>
          <w:rFonts w:ascii="Lato" w:hAnsi="Lato"/>
          <w:bCs/>
          <w:color w:val="1F497D"/>
          <w:sz w:val="20"/>
          <w:szCs w:val="20"/>
        </w:rPr>
        <w:fldChar w:fldCharType="begin"/>
      </w:r>
      <w:r w:rsidRPr="00834A12">
        <w:rPr>
          <w:rFonts w:ascii="Lato" w:hAnsi="Lato"/>
          <w:bCs/>
          <w:color w:val="1F497D"/>
          <w:sz w:val="20"/>
          <w:szCs w:val="20"/>
        </w:rPr>
        <w:instrText xml:space="preserve"> STYLEREF 1 \s </w:instrText>
      </w:r>
      <w:r w:rsidRPr="00834A12">
        <w:rPr>
          <w:rFonts w:ascii="Lato" w:hAnsi="Lato"/>
          <w:bCs/>
          <w:color w:val="1F497D"/>
          <w:sz w:val="20"/>
          <w:szCs w:val="20"/>
        </w:rPr>
        <w:fldChar w:fldCharType="separate"/>
      </w:r>
      <w:r w:rsidR="0040205B">
        <w:rPr>
          <w:rFonts w:ascii="Lato" w:hAnsi="Lato"/>
          <w:bCs/>
          <w:noProof/>
          <w:color w:val="1F497D"/>
          <w:sz w:val="20"/>
          <w:szCs w:val="20"/>
        </w:rPr>
        <w:t>6</w:t>
      </w:r>
      <w:r w:rsidRPr="00834A12">
        <w:rPr>
          <w:rFonts w:ascii="Lato" w:hAnsi="Lato"/>
          <w:bCs/>
          <w:color w:val="1F497D"/>
          <w:sz w:val="20"/>
          <w:szCs w:val="20"/>
        </w:rPr>
        <w:fldChar w:fldCharType="end"/>
      </w:r>
      <w:r w:rsidRPr="00834A12">
        <w:rPr>
          <w:rFonts w:ascii="Lato" w:hAnsi="Lato"/>
          <w:bCs/>
          <w:color w:val="1F497D"/>
          <w:sz w:val="20"/>
          <w:szCs w:val="20"/>
        </w:rPr>
        <w:noBreakHyphen/>
      </w:r>
      <w:r w:rsidRPr="00834A12">
        <w:rPr>
          <w:rFonts w:ascii="Lato" w:hAnsi="Lato"/>
          <w:bCs/>
          <w:color w:val="1F497D"/>
          <w:sz w:val="20"/>
          <w:szCs w:val="20"/>
        </w:rPr>
        <w:fldChar w:fldCharType="begin"/>
      </w:r>
      <w:r w:rsidRPr="00834A12">
        <w:rPr>
          <w:rFonts w:ascii="Lato" w:hAnsi="Lato"/>
          <w:bCs/>
          <w:color w:val="1F497D"/>
          <w:sz w:val="20"/>
          <w:szCs w:val="20"/>
        </w:rPr>
        <w:instrText xml:space="preserve"> SEQ Tabela \* ARABIC \s 1 </w:instrText>
      </w:r>
      <w:r w:rsidRPr="00834A12">
        <w:rPr>
          <w:rFonts w:ascii="Lato" w:hAnsi="Lato"/>
          <w:bCs/>
          <w:color w:val="1F497D"/>
          <w:sz w:val="20"/>
          <w:szCs w:val="20"/>
        </w:rPr>
        <w:fldChar w:fldCharType="separate"/>
      </w:r>
      <w:r w:rsidR="0040205B">
        <w:rPr>
          <w:rFonts w:ascii="Lato" w:hAnsi="Lato"/>
          <w:bCs/>
          <w:noProof/>
          <w:color w:val="1F497D"/>
          <w:sz w:val="20"/>
          <w:szCs w:val="20"/>
        </w:rPr>
        <w:t>5</w:t>
      </w:r>
      <w:r w:rsidRPr="00834A12">
        <w:rPr>
          <w:rFonts w:ascii="Lato" w:hAnsi="Lato"/>
          <w:bCs/>
          <w:color w:val="1F497D"/>
          <w:sz w:val="20"/>
          <w:szCs w:val="20"/>
        </w:rPr>
        <w:fldChar w:fldCharType="end"/>
      </w:r>
      <w:r w:rsidRPr="00834A12">
        <w:rPr>
          <w:rFonts w:ascii="Lato" w:hAnsi="Lato"/>
          <w:bCs/>
          <w:color w:val="1F497D"/>
          <w:sz w:val="20"/>
          <w:szCs w:val="20"/>
        </w:rPr>
        <w:t xml:space="preserve"> Zużycie i koszty </w:t>
      </w:r>
      <w:r w:rsidRPr="00834A12">
        <w:rPr>
          <w:rFonts w:ascii="Lato" w:hAnsi="Lato"/>
          <w:bCs/>
          <w:color w:val="1F497D"/>
          <w:sz w:val="20"/>
          <w:szCs w:val="20"/>
          <w:lang w:val="pl-PL"/>
        </w:rPr>
        <w:t>ciepła</w:t>
      </w:r>
      <w:r w:rsidRPr="00834A12">
        <w:rPr>
          <w:rFonts w:ascii="Lato" w:hAnsi="Lato"/>
          <w:bCs/>
          <w:color w:val="1F497D"/>
          <w:sz w:val="20"/>
          <w:szCs w:val="20"/>
        </w:rPr>
        <w:t xml:space="preserve"> w analizowanej grupie obiektów w roku 201</w:t>
      </w:r>
      <w:bookmarkEnd w:id="533"/>
      <w:bookmarkEnd w:id="534"/>
      <w:r w:rsidRPr="00834A12">
        <w:rPr>
          <w:rFonts w:ascii="Lato" w:hAnsi="Lato"/>
          <w:bCs/>
          <w:color w:val="1F497D"/>
          <w:sz w:val="20"/>
          <w:szCs w:val="20"/>
          <w:lang w:val="pl-PL"/>
        </w:rPr>
        <w:t>8</w:t>
      </w:r>
      <w:bookmarkEnd w:id="535"/>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5339"/>
        <w:gridCol w:w="4666"/>
      </w:tblGrid>
      <w:tr w:rsidR="00806D69" w:rsidRPr="00834A12" w:rsidTr="008C4DDC">
        <w:trPr>
          <w:trHeight w:val="255"/>
          <w:jc w:val="center"/>
        </w:trPr>
        <w:tc>
          <w:tcPr>
            <w:tcW w:w="2668" w:type="pct"/>
            <w:shd w:val="clear" w:color="auto" w:fill="auto"/>
            <w:noWrap/>
            <w:vAlign w:val="bottom"/>
          </w:tcPr>
          <w:p w:rsidR="00806D69" w:rsidRPr="00834A12" w:rsidRDefault="00806D69" w:rsidP="008C4DDC">
            <w:pPr>
              <w:ind w:firstLine="0"/>
              <w:rPr>
                <w:rFonts w:ascii="Lato" w:hAnsi="Lato"/>
                <w:i/>
                <w:iCs/>
                <w:color w:val="365F91"/>
                <w:sz w:val="20"/>
                <w:szCs w:val="20"/>
              </w:rPr>
            </w:pPr>
            <w:r w:rsidRPr="00834A12">
              <w:rPr>
                <w:rFonts w:ascii="Lato" w:hAnsi="Lato"/>
                <w:i/>
                <w:iCs/>
                <w:color w:val="365F91"/>
                <w:sz w:val="20"/>
                <w:szCs w:val="20"/>
              </w:rPr>
              <w:t>Liczba obiektów:</w:t>
            </w:r>
          </w:p>
        </w:tc>
        <w:tc>
          <w:tcPr>
            <w:tcW w:w="2332" w:type="pct"/>
            <w:shd w:val="clear" w:color="auto" w:fill="auto"/>
            <w:noWrap/>
            <w:vAlign w:val="bottom"/>
          </w:tcPr>
          <w:p w:rsidR="00806D69" w:rsidRPr="00834A12" w:rsidRDefault="00806D69" w:rsidP="004F076B">
            <w:pPr>
              <w:ind w:firstLine="0"/>
              <w:jc w:val="right"/>
              <w:rPr>
                <w:rFonts w:ascii="Lato" w:hAnsi="Lato"/>
                <w:i/>
                <w:iCs/>
                <w:color w:val="365F91"/>
                <w:sz w:val="20"/>
                <w:szCs w:val="20"/>
              </w:rPr>
            </w:pPr>
            <w:r w:rsidRPr="00834A12">
              <w:rPr>
                <w:rFonts w:ascii="Lato" w:hAnsi="Lato"/>
                <w:i/>
                <w:iCs/>
                <w:color w:val="365F91"/>
                <w:sz w:val="20"/>
                <w:szCs w:val="20"/>
              </w:rPr>
              <w:t>1</w:t>
            </w:r>
            <w:r w:rsidR="004F076B">
              <w:rPr>
                <w:rFonts w:ascii="Lato" w:hAnsi="Lato"/>
                <w:i/>
                <w:iCs/>
                <w:color w:val="365F91"/>
                <w:sz w:val="20"/>
                <w:szCs w:val="20"/>
              </w:rPr>
              <w:t>2</w:t>
            </w:r>
          </w:p>
        </w:tc>
      </w:tr>
      <w:tr w:rsidR="00806D69" w:rsidRPr="00834A12" w:rsidTr="008C4DDC">
        <w:trPr>
          <w:trHeight w:val="255"/>
          <w:jc w:val="center"/>
        </w:trPr>
        <w:tc>
          <w:tcPr>
            <w:tcW w:w="5000" w:type="pct"/>
            <w:gridSpan w:val="2"/>
            <w:shd w:val="clear" w:color="auto" w:fill="C6D9F1"/>
            <w:noWrap/>
            <w:vAlign w:val="center"/>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Zużycie ciepła</w:t>
            </w:r>
          </w:p>
        </w:tc>
      </w:tr>
      <w:tr w:rsidR="00806D69" w:rsidRPr="00834A12" w:rsidTr="008C4DDC">
        <w:trPr>
          <w:trHeight w:val="255"/>
          <w:jc w:val="center"/>
        </w:trPr>
        <w:tc>
          <w:tcPr>
            <w:tcW w:w="5000" w:type="pct"/>
            <w:gridSpan w:val="2"/>
            <w:shd w:val="clear" w:color="auto" w:fill="auto"/>
            <w:noWrap/>
            <w:vAlign w:val="bottom"/>
            <w:hideMark/>
          </w:tcPr>
          <w:p w:rsidR="00806D69" w:rsidRPr="00834A12" w:rsidRDefault="00806D69" w:rsidP="008C4DDC">
            <w:pPr>
              <w:spacing w:line="240" w:lineRule="auto"/>
              <w:ind w:firstLine="0"/>
              <w:jc w:val="center"/>
              <w:rPr>
                <w:rFonts w:ascii="Lato" w:hAnsi="Lato"/>
                <w:i/>
                <w:iCs/>
                <w:color w:val="365F91"/>
                <w:sz w:val="16"/>
                <w:szCs w:val="16"/>
              </w:rPr>
            </w:pPr>
            <w:r w:rsidRPr="00834A12">
              <w:rPr>
                <w:rFonts w:ascii="Lato" w:hAnsi="Lato"/>
                <w:i/>
                <w:iCs/>
                <w:color w:val="365F91"/>
                <w:sz w:val="16"/>
                <w:szCs w:val="16"/>
              </w:rPr>
              <w:t xml:space="preserve"> [GJ]</w:t>
            </w:r>
          </w:p>
        </w:tc>
      </w:tr>
      <w:tr w:rsidR="004F076B" w:rsidRPr="00834A12" w:rsidTr="004F076B">
        <w:trPr>
          <w:trHeight w:val="255"/>
          <w:jc w:val="center"/>
        </w:trPr>
        <w:tc>
          <w:tcPr>
            <w:tcW w:w="2668" w:type="pct"/>
            <w:shd w:val="clear" w:color="auto" w:fill="auto"/>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Min</w:t>
            </w:r>
          </w:p>
        </w:tc>
        <w:tc>
          <w:tcPr>
            <w:tcW w:w="2332" w:type="pct"/>
            <w:shd w:val="clear" w:color="auto" w:fill="auto"/>
            <w:noWrap/>
            <w:vAlign w:val="center"/>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12,97</w:t>
            </w:r>
          </w:p>
        </w:tc>
      </w:tr>
      <w:tr w:rsidR="004F076B" w:rsidRPr="00834A12" w:rsidTr="004F076B">
        <w:trPr>
          <w:trHeight w:val="255"/>
          <w:jc w:val="center"/>
        </w:trPr>
        <w:tc>
          <w:tcPr>
            <w:tcW w:w="2668" w:type="pct"/>
            <w:shd w:val="clear" w:color="auto" w:fill="auto"/>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Średnia</w:t>
            </w:r>
          </w:p>
        </w:tc>
        <w:tc>
          <w:tcPr>
            <w:tcW w:w="2332" w:type="pct"/>
            <w:shd w:val="clear" w:color="auto" w:fill="auto"/>
            <w:noWrap/>
            <w:vAlign w:val="center"/>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307,41</w:t>
            </w:r>
          </w:p>
        </w:tc>
      </w:tr>
      <w:tr w:rsidR="004F076B" w:rsidRPr="00834A12" w:rsidTr="004F076B">
        <w:trPr>
          <w:trHeight w:val="300"/>
          <w:jc w:val="center"/>
        </w:trPr>
        <w:tc>
          <w:tcPr>
            <w:tcW w:w="2668" w:type="pct"/>
            <w:shd w:val="clear" w:color="auto" w:fill="auto"/>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Max</w:t>
            </w:r>
          </w:p>
        </w:tc>
        <w:tc>
          <w:tcPr>
            <w:tcW w:w="2332" w:type="pct"/>
            <w:shd w:val="clear" w:color="auto" w:fill="auto"/>
            <w:noWrap/>
            <w:vAlign w:val="center"/>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920,26</w:t>
            </w:r>
          </w:p>
        </w:tc>
      </w:tr>
      <w:tr w:rsidR="00806D69" w:rsidRPr="00834A12" w:rsidTr="004F076B">
        <w:trPr>
          <w:trHeight w:val="255"/>
          <w:jc w:val="center"/>
        </w:trPr>
        <w:tc>
          <w:tcPr>
            <w:tcW w:w="2668" w:type="pct"/>
            <w:shd w:val="clear" w:color="auto" w:fill="auto"/>
            <w:noWrap/>
            <w:vAlign w:val="bottom"/>
            <w:hideMark/>
          </w:tcPr>
          <w:p w:rsidR="00806D69" w:rsidRPr="00834A12" w:rsidRDefault="00806D69" w:rsidP="008C4DDC">
            <w:pPr>
              <w:spacing w:line="240" w:lineRule="auto"/>
              <w:ind w:firstLine="0"/>
              <w:rPr>
                <w:rFonts w:ascii="Lato" w:hAnsi="Lato"/>
                <w:b/>
                <w:i/>
                <w:iCs/>
                <w:color w:val="365F91"/>
                <w:sz w:val="20"/>
                <w:szCs w:val="20"/>
              </w:rPr>
            </w:pPr>
            <w:r w:rsidRPr="00834A12">
              <w:rPr>
                <w:rFonts w:ascii="Lato" w:hAnsi="Lato"/>
                <w:b/>
                <w:i/>
                <w:iCs/>
                <w:color w:val="365F91"/>
                <w:sz w:val="20"/>
                <w:szCs w:val="20"/>
              </w:rPr>
              <w:t>Suma</w:t>
            </w:r>
          </w:p>
        </w:tc>
        <w:tc>
          <w:tcPr>
            <w:tcW w:w="2332" w:type="pct"/>
            <w:shd w:val="clear" w:color="auto" w:fill="auto"/>
            <w:noWrap/>
            <w:vAlign w:val="center"/>
            <w:hideMark/>
          </w:tcPr>
          <w:p w:rsidR="00806D69"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3 688,91</w:t>
            </w:r>
          </w:p>
        </w:tc>
      </w:tr>
    </w:tbl>
    <w:p w:rsidR="00806D69" w:rsidRPr="00834A12" w:rsidRDefault="00806D69" w:rsidP="00806D69">
      <w:pPr>
        <w:pStyle w:val="Akapitzlist"/>
        <w:ind w:left="720"/>
        <w:jc w:val="both"/>
        <w:rPr>
          <w:rFonts w:ascii="Lato" w:hAnsi="Lato"/>
        </w:rPr>
      </w:pP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5321"/>
        <w:gridCol w:w="4684"/>
      </w:tblGrid>
      <w:tr w:rsidR="00806D69" w:rsidRPr="00834A12" w:rsidTr="008C4DDC">
        <w:trPr>
          <w:trHeight w:val="255"/>
          <w:jc w:val="center"/>
        </w:trPr>
        <w:tc>
          <w:tcPr>
            <w:tcW w:w="5000" w:type="pct"/>
            <w:gridSpan w:val="2"/>
            <w:shd w:val="clear" w:color="auto" w:fill="C6D9F1"/>
            <w:noWrap/>
            <w:vAlign w:val="center"/>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Jednostkowe zużycie ciepła</w:t>
            </w:r>
          </w:p>
        </w:tc>
      </w:tr>
      <w:tr w:rsidR="00806D69" w:rsidRPr="00834A12" w:rsidTr="008C4DDC">
        <w:trPr>
          <w:trHeight w:val="255"/>
          <w:jc w:val="center"/>
        </w:trPr>
        <w:tc>
          <w:tcPr>
            <w:tcW w:w="5000" w:type="pct"/>
            <w:gridSpan w:val="2"/>
            <w:shd w:val="clear" w:color="auto" w:fill="auto"/>
            <w:noWrap/>
            <w:vAlign w:val="bottom"/>
            <w:hideMark/>
          </w:tcPr>
          <w:p w:rsidR="00806D69" w:rsidRPr="00834A12" w:rsidRDefault="00806D69" w:rsidP="008C4DDC">
            <w:pPr>
              <w:spacing w:line="240" w:lineRule="auto"/>
              <w:ind w:firstLine="0"/>
              <w:jc w:val="center"/>
              <w:rPr>
                <w:rFonts w:ascii="Lato" w:hAnsi="Lato"/>
                <w:i/>
                <w:iCs/>
                <w:color w:val="365F91"/>
                <w:sz w:val="16"/>
                <w:szCs w:val="16"/>
              </w:rPr>
            </w:pPr>
            <w:r w:rsidRPr="00834A12">
              <w:rPr>
                <w:rFonts w:ascii="Lato" w:hAnsi="Lato"/>
                <w:i/>
                <w:iCs/>
                <w:color w:val="365F91"/>
                <w:sz w:val="16"/>
                <w:szCs w:val="16"/>
              </w:rPr>
              <w:t xml:space="preserve"> [GJ/m</w:t>
            </w:r>
            <w:r w:rsidRPr="00834A12">
              <w:rPr>
                <w:rFonts w:ascii="Lato" w:hAnsi="Lato"/>
                <w:i/>
                <w:iCs/>
                <w:color w:val="365F91"/>
                <w:sz w:val="16"/>
                <w:szCs w:val="16"/>
                <w:vertAlign w:val="superscript"/>
              </w:rPr>
              <w:t>2</w:t>
            </w:r>
            <w:r w:rsidRPr="00834A12">
              <w:rPr>
                <w:rFonts w:ascii="Lato" w:hAnsi="Lato"/>
                <w:i/>
                <w:iCs/>
                <w:color w:val="365F91"/>
                <w:sz w:val="16"/>
                <w:szCs w:val="16"/>
              </w:rPr>
              <w:t>]</w:t>
            </w:r>
          </w:p>
        </w:tc>
      </w:tr>
      <w:tr w:rsidR="004F076B" w:rsidRPr="00834A12" w:rsidTr="008C4DDC">
        <w:trPr>
          <w:trHeight w:val="255"/>
          <w:jc w:val="center"/>
        </w:trPr>
        <w:tc>
          <w:tcPr>
            <w:tcW w:w="2659" w:type="pct"/>
            <w:shd w:val="clear" w:color="auto" w:fill="auto"/>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Min</w:t>
            </w:r>
          </w:p>
        </w:tc>
        <w:tc>
          <w:tcPr>
            <w:tcW w:w="2341" w:type="pct"/>
            <w:shd w:val="clear" w:color="auto" w:fill="auto"/>
            <w:noWrap/>
            <w:vAlign w:val="bottom"/>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0,07</w:t>
            </w:r>
          </w:p>
        </w:tc>
      </w:tr>
      <w:tr w:rsidR="004F076B" w:rsidRPr="00834A12" w:rsidTr="008C4DDC">
        <w:trPr>
          <w:trHeight w:val="255"/>
          <w:jc w:val="center"/>
        </w:trPr>
        <w:tc>
          <w:tcPr>
            <w:tcW w:w="2659" w:type="pct"/>
            <w:shd w:val="clear" w:color="auto" w:fill="auto"/>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Średnia</w:t>
            </w:r>
          </w:p>
        </w:tc>
        <w:tc>
          <w:tcPr>
            <w:tcW w:w="2341" w:type="pct"/>
            <w:shd w:val="clear" w:color="auto" w:fill="auto"/>
            <w:noWrap/>
            <w:vAlign w:val="bottom"/>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0,39</w:t>
            </w:r>
          </w:p>
        </w:tc>
      </w:tr>
      <w:tr w:rsidR="004F076B" w:rsidRPr="00834A12" w:rsidTr="008C4DDC">
        <w:trPr>
          <w:trHeight w:val="255"/>
          <w:jc w:val="center"/>
        </w:trPr>
        <w:tc>
          <w:tcPr>
            <w:tcW w:w="2659" w:type="pct"/>
            <w:shd w:val="clear" w:color="auto" w:fill="auto"/>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Max</w:t>
            </w:r>
          </w:p>
        </w:tc>
        <w:tc>
          <w:tcPr>
            <w:tcW w:w="2341" w:type="pct"/>
            <w:shd w:val="clear" w:color="auto" w:fill="auto"/>
            <w:noWrap/>
            <w:vAlign w:val="bottom"/>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0,52</w:t>
            </w:r>
          </w:p>
        </w:tc>
      </w:tr>
    </w:tbl>
    <w:p w:rsidR="00A342D0" w:rsidRDefault="00A342D0" w:rsidP="00806D69">
      <w:pPr>
        <w:pStyle w:val="Akapitzlist"/>
        <w:ind w:left="720"/>
        <w:jc w:val="both"/>
        <w:rPr>
          <w:rFonts w:ascii="Lato" w:hAnsi="Lato"/>
        </w:rPr>
      </w:pPr>
    </w:p>
    <w:p w:rsidR="00A342D0" w:rsidRDefault="00A342D0" w:rsidP="00806D69">
      <w:pPr>
        <w:pStyle w:val="Akapitzlist"/>
        <w:ind w:left="720"/>
        <w:jc w:val="both"/>
        <w:rPr>
          <w:rFonts w:ascii="Lato" w:hAnsi="Lato"/>
        </w:rPr>
      </w:pPr>
      <w:r>
        <w:rPr>
          <w:rFonts w:ascii="Lato" w:hAnsi="Lato"/>
        </w:rPr>
        <w:br w:type="column"/>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5321"/>
        <w:gridCol w:w="4684"/>
      </w:tblGrid>
      <w:tr w:rsidR="00806D69" w:rsidRPr="00834A12" w:rsidTr="008C4DDC">
        <w:trPr>
          <w:trHeight w:val="255"/>
          <w:jc w:val="center"/>
        </w:trPr>
        <w:tc>
          <w:tcPr>
            <w:tcW w:w="5000" w:type="pct"/>
            <w:gridSpan w:val="2"/>
            <w:shd w:val="clear" w:color="auto" w:fill="C6D9F1"/>
            <w:noWrap/>
            <w:vAlign w:val="center"/>
            <w:hideMark/>
          </w:tcPr>
          <w:p w:rsidR="00806D69" w:rsidRPr="00834A12" w:rsidRDefault="00A342D0" w:rsidP="008C4DDC">
            <w:pPr>
              <w:spacing w:line="240" w:lineRule="auto"/>
              <w:ind w:firstLine="0"/>
              <w:jc w:val="center"/>
              <w:rPr>
                <w:rFonts w:ascii="Lato" w:hAnsi="Lato"/>
                <w:color w:val="365F91"/>
                <w:sz w:val="20"/>
                <w:szCs w:val="20"/>
              </w:rPr>
            </w:pPr>
            <w:r>
              <w:rPr>
                <w:rFonts w:ascii="Lato" w:hAnsi="Lato"/>
              </w:rPr>
              <w:br w:type="column"/>
            </w:r>
            <w:r w:rsidR="00806D69" w:rsidRPr="00834A12">
              <w:rPr>
                <w:rFonts w:ascii="Lato" w:hAnsi="Lato"/>
                <w:color w:val="365F91"/>
                <w:sz w:val="20"/>
                <w:szCs w:val="20"/>
              </w:rPr>
              <w:t>Koszty ciepła</w:t>
            </w:r>
          </w:p>
        </w:tc>
      </w:tr>
      <w:tr w:rsidR="00806D69" w:rsidRPr="00834A12" w:rsidTr="008C4DDC">
        <w:trPr>
          <w:trHeight w:val="255"/>
          <w:jc w:val="center"/>
        </w:trPr>
        <w:tc>
          <w:tcPr>
            <w:tcW w:w="5000" w:type="pct"/>
            <w:gridSpan w:val="2"/>
            <w:shd w:val="clear" w:color="000000" w:fill="FFFFFF"/>
            <w:noWrap/>
            <w:vAlign w:val="bottom"/>
            <w:hideMark/>
          </w:tcPr>
          <w:p w:rsidR="00806D69" w:rsidRPr="00834A12" w:rsidRDefault="00806D69" w:rsidP="008C4DDC">
            <w:pPr>
              <w:spacing w:line="240" w:lineRule="auto"/>
              <w:ind w:firstLine="0"/>
              <w:jc w:val="center"/>
              <w:rPr>
                <w:rFonts w:ascii="Lato" w:hAnsi="Lato"/>
                <w:i/>
                <w:iCs/>
                <w:color w:val="365F91"/>
                <w:sz w:val="16"/>
                <w:szCs w:val="16"/>
              </w:rPr>
            </w:pPr>
            <w:r w:rsidRPr="00834A12">
              <w:rPr>
                <w:rFonts w:ascii="Lato" w:hAnsi="Lato"/>
                <w:i/>
                <w:iCs/>
                <w:color w:val="365F91"/>
                <w:sz w:val="16"/>
                <w:szCs w:val="16"/>
              </w:rPr>
              <w:t>[zł]</w:t>
            </w:r>
          </w:p>
        </w:tc>
      </w:tr>
      <w:tr w:rsidR="004F076B" w:rsidRPr="00834A12" w:rsidTr="008C4DDC">
        <w:trPr>
          <w:trHeight w:val="255"/>
          <w:jc w:val="center"/>
        </w:trPr>
        <w:tc>
          <w:tcPr>
            <w:tcW w:w="2659" w:type="pct"/>
            <w:shd w:val="clear" w:color="000000" w:fill="FFFFFF"/>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Min</w:t>
            </w:r>
          </w:p>
        </w:tc>
        <w:tc>
          <w:tcPr>
            <w:tcW w:w="2341" w:type="pct"/>
            <w:shd w:val="clear" w:color="000000" w:fill="FFFFFF"/>
            <w:noWrap/>
            <w:vAlign w:val="bottom"/>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1 432,41</w:t>
            </w:r>
          </w:p>
        </w:tc>
      </w:tr>
      <w:tr w:rsidR="004F076B" w:rsidRPr="00834A12" w:rsidTr="008C4DDC">
        <w:trPr>
          <w:trHeight w:val="255"/>
          <w:jc w:val="center"/>
        </w:trPr>
        <w:tc>
          <w:tcPr>
            <w:tcW w:w="2659" w:type="pct"/>
            <w:shd w:val="clear" w:color="000000" w:fill="FFFFFF"/>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Średnia</w:t>
            </w:r>
          </w:p>
        </w:tc>
        <w:tc>
          <w:tcPr>
            <w:tcW w:w="2341" w:type="pct"/>
            <w:shd w:val="clear" w:color="000000" w:fill="FFFFFF"/>
            <w:noWrap/>
            <w:vAlign w:val="bottom"/>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23 749,82</w:t>
            </w:r>
          </w:p>
        </w:tc>
      </w:tr>
      <w:tr w:rsidR="004F076B" w:rsidRPr="00834A12" w:rsidTr="008C4DDC">
        <w:trPr>
          <w:trHeight w:val="255"/>
          <w:jc w:val="center"/>
        </w:trPr>
        <w:tc>
          <w:tcPr>
            <w:tcW w:w="2659" w:type="pct"/>
            <w:shd w:val="clear" w:color="000000" w:fill="FFFFFF"/>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Max</w:t>
            </w:r>
          </w:p>
        </w:tc>
        <w:tc>
          <w:tcPr>
            <w:tcW w:w="2341" w:type="pct"/>
            <w:shd w:val="clear" w:color="000000" w:fill="FFFFFF"/>
            <w:noWrap/>
            <w:vAlign w:val="bottom"/>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73 474,53</w:t>
            </w:r>
          </w:p>
        </w:tc>
      </w:tr>
      <w:tr w:rsidR="00806D69" w:rsidRPr="00834A12" w:rsidTr="008C4DDC">
        <w:trPr>
          <w:trHeight w:val="255"/>
          <w:jc w:val="center"/>
        </w:trPr>
        <w:tc>
          <w:tcPr>
            <w:tcW w:w="2659" w:type="pct"/>
            <w:shd w:val="clear" w:color="000000" w:fill="FFFFFF"/>
            <w:noWrap/>
            <w:vAlign w:val="bottom"/>
            <w:hideMark/>
          </w:tcPr>
          <w:p w:rsidR="00806D69" w:rsidRPr="00834A12" w:rsidRDefault="00806D69" w:rsidP="008C4DDC">
            <w:pPr>
              <w:spacing w:line="240" w:lineRule="auto"/>
              <w:ind w:firstLine="0"/>
              <w:rPr>
                <w:rFonts w:ascii="Lato" w:hAnsi="Lato"/>
                <w:b/>
                <w:i/>
                <w:iCs/>
                <w:color w:val="365F91"/>
                <w:sz w:val="20"/>
                <w:szCs w:val="20"/>
              </w:rPr>
            </w:pPr>
            <w:r w:rsidRPr="00834A12">
              <w:rPr>
                <w:rFonts w:ascii="Lato" w:hAnsi="Lato"/>
                <w:b/>
                <w:i/>
                <w:iCs/>
                <w:color w:val="365F91"/>
                <w:sz w:val="20"/>
                <w:szCs w:val="20"/>
              </w:rPr>
              <w:t>Suma</w:t>
            </w:r>
          </w:p>
        </w:tc>
        <w:tc>
          <w:tcPr>
            <w:tcW w:w="2341" w:type="pct"/>
            <w:shd w:val="clear" w:color="000000" w:fill="FFFFFF"/>
            <w:noWrap/>
            <w:vAlign w:val="bottom"/>
            <w:hideMark/>
          </w:tcPr>
          <w:p w:rsidR="00806D69"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284 997,89</w:t>
            </w:r>
          </w:p>
        </w:tc>
      </w:tr>
    </w:tbl>
    <w:p w:rsidR="00806D69" w:rsidRPr="00834A12" w:rsidRDefault="00806D69" w:rsidP="00806D69">
      <w:pPr>
        <w:pStyle w:val="Akapitzlist"/>
        <w:ind w:left="720"/>
        <w:jc w:val="both"/>
        <w:rPr>
          <w:rFonts w:ascii="Lato" w:hAnsi="Lato"/>
        </w:rPr>
      </w:pP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5339"/>
        <w:gridCol w:w="4666"/>
      </w:tblGrid>
      <w:tr w:rsidR="00806D69" w:rsidRPr="00834A12" w:rsidTr="008C4DDC">
        <w:trPr>
          <w:trHeight w:val="386"/>
          <w:jc w:val="center"/>
        </w:trPr>
        <w:tc>
          <w:tcPr>
            <w:tcW w:w="5000" w:type="pct"/>
            <w:gridSpan w:val="2"/>
            <w:shd w:val="clear" w:color="auto" w:fill="C6D9F1"/>
            <w:noWrap/>
            <w:vAlign w:val="center"/>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Jednostkowa cena ciepła</w:t>
            </w:r>
          </w:p>
        </w:tc>
      </w:tr>
      <w:tr w:rsidR="00806D69" w:rsidRPr="00834A12" w:rsidTr="008C4DDC">
        <w:trPr>
          <w:trHeight w:val="277"/>
          <w:jc w:val="center"/>
        </w:trPr>
        <w:tc>
          <w:tcPr>
            <w:tcW w:w="5000" w:type="pct"/>
            <w:gridSpan w:val="2"/>
            <w:shd w:val="clear" w:color="000000" w:fill="FFFFFF"/>
            <w:noWrap/>
            <w:vAlign w:val="center"/>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i/>
                <w:iCs/>
                <w:color w:val="365F91"/>
                <w:sz w:val="16"/>
                <w:szCs w:val="16"/>
              </w:rPr>
              <w:t>[zł/GJ]</w:t>
            </w:r>
          </w:p>
        </w:tc>
      </w:tr>
      <w:tr w:rsidR="004F076B" w:rsidRPr="00834A12" w:rsidTr="008C4DDC">
        <w:trPr>
          <w:trHeight w:val="255"/>
          <w:jc w:val="center"/>
        </w:trPr>
        <w:tc>
          <w:tcPr>
            <w:tcW w:w="2668" w:type="pct"/>
            <w:shd w:val="clear" w:color="000000" w:fill="FFFFFF"/>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Min</w:t>
            </w:r>
          </w:p>
        </w:tc>
        <w:tc>
          <w:tcPr>
            <w:tcW w:w="2332" w:type="pct"/>
            <w:shd w:val="clear" w:color="000000" w:fill="FFFFFF"/>
            <w:noWrap/>
            <w:vAlign w:val="bottom"/>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40,97</w:t>
            </w:r>
          </w:p>
        </w:tc>
      </w:tr>
      <w:tr w:rsidR="004F076B" w:rsidRPr="00834A12" w:rsidTr="008C4DDC">
        <w:trPr>
          <w:trHeight w:val="255"/>
          <w:jc w:val="center"/>
        </w:trPr>
        <w:tc>
          <w:tcPr>
            <w:tcW w:w="2668" w:type="pct"/>
            <w:shd w:val="clear" w:color="000000" w:fill="FFFFFF"/>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Średnia</w:t>
            </w:r>
          </w:p>
        </w:tc>
        <w:tc>
          <w:tcPr>
            <w:tcW w:w="2332" w:type="pct"/>
            <w:shd w:val="clear" w:color="000000" w:fill="FFFFFF"/>
            <w:noWrap/>
            <w:vAlign w:val="bottom"/>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77,26</w:t>
            </w:r>
          </w:p>
        </w:tc>
      </w:tr>
      <w:tr w:rsidR="004F076B" w:rsidRPr="00834A12" w:rsidTr="008C4DDC">
        <w:trPr>
          <w:trHeight w:val="255"/>
          <w:jc w:val="center"/>
        </w:trPr>
        <w:tc>
          <w:tcPr>
            <w:tcW w:w="2668" w:type="pct"/>
            <w:shd w:val="clear" w:color="000000" w:fill="FFFFFF"/>
            <w:noWrap/>
            <w:vAlign w:val="bottom"/>
            <w:hideMark/>
          </w:tcPr>
          <w:p w:rsidR="004F076B" w:rsidRPr="00834A12" w:rsidRDefault="004F076B" w:rsidP="008C4DDC">
            <w:pPr>
              <w:spacing w:line="240" w:lineRule="auto"/>
              <w:ind w:firstLine="0"/>
              <w:rPr>
                <w:rFonts w:ascii="Lato" w:hAnsi="Lato"/>
                <w:i/>
                <w:iCs/>
                <w:color w:val="365F91"/>
                <w:sz w:val="20"/>
                <w:szCs w:val="20"/>
              </w:rPr>
            </w:pPr>
            <w:r w:rsidRPr="00834A12">
              <w:rPr>
                <w:rFonts w:ascii="Lato" w:hAnsi="Lato"/>
                <w:i/>
                <w:iCs/>
                <w:color w:val="365F91"/>
                <w:sz w:val="20"/>
                <w:szCs w:val="20"/>
              </w:rPr>
              <w:t>Max</w:t>
            </w:r>
          </w:p>
        </w:tc>
        <w:tc>
          <w:tcPr>
            <w:tcW w:w="2332" w:type="pct"/>
            <w:shd w:val="clear" w:color="000000" w:fill="FFFFFF"/>
            <w:noWrap/>
            <w:vAlign w:val="bottom"/>
            <w:hideMark/>
          </w:tcPr>
          <w:p w:rsidR="004F076B" w:rsidRPr="004F076B" w:rsidRDefault="004F076B" w:rsidP="004F076B">
            <w:pPr>
              <w:ind w:firstLine="0"/>
              <w:jc w:val="right"/>
              <w:rPr>
                <w:rFonts w:ascii="Lato" w:hAnsi="Lato"/>
                <w:i/>
                <w:iCs/>
                <w:color w:val="1F497D"/>
                <w:sz w:val="20"/>
                <w:szCs w:val="20"/>
              </w:rPr>
            </w:pPr>
            <w:r w:rsidRPr="004F076B">
              <w:rPr>
                <w:rFonts w:ascii="Lato" w:hAnsi="Lato"/>
                <w:i/>
                <w:iCs/>
                <w:color w:val="1F497D"/>
                <w:sz w:val="20"/>
                <w:szCs w:val="20"/>
              </w:rPr>
              <w:t>141,53</w:t>
            </w:r>
          </w:p>
        </w:tc>
      </w:tr>
    </w:tbl>
    <w:p w:rsidR="00806D69" w:rsidRPr="00834A12" w:rsidRDefault="004F076B" w:rsidP="00806D69">
      <w:pPr>
        <w:pStyle w:val="Legenda"/>
        <w:jc w:val="center"/>
        <w:rPr>
          <w:rFonts w:ascii="Lato" w:hAnsi="Lato"/>
          <w:color w:val="1F497D"/>
          <w:sz w:val="20"/>
          <w:szCs w:val="20"/>
        </w:rPr>
      </w:pPr>
      <w:bookmarkStart w:id="536" w:name="_Toc430598987"/>
      <w:bookmarkStart w:id="537" w:name="_Toc282111024"/>
      <w:bookmarkStart w:id="538" w:name="_Toc328984462"/>
      <w:bookmarkStart w:id="539" w:name="_Toc413090713"/>
      <w:bookmarkEnd w:id="511"/>
      <w:r>
        <w:rPr>
          <w:noProof/>
          <w:lang w:val="pl-PL" w:eastAsia="pl-PL"/>
        </w:rPr>
        <w:drawing>
          <wp:inline distT="0" distB="0" distL="0" distR="0" wp14:anchorId="4B0E92C4" wp14:editId="092136D5">
            <wp:extent cx="5857875" cy="3662363"/>
            <wp:effectExtent l="0" t="0" r="0" b="0"/>
            <wp:docPr id="63" name="Wykres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06D69" w:rsidRPr="00834A12" w:rsidRDefault="00806D69" w:rsidP="00806D69">
      <w:pPr>
        <w:pStyle w:val="Legenda"/>
        <w:jc w:val="center"/>
        <w:rPr>
          <w:rFonts w:ascii="Lato" w:hAnsi="Lato"/>
          <w:color w:val="1F497D"/>
          <w:sz w:val="20"/>
          <w:szCs w:val="20"/>
          <w:lang w:val="pl-PL"/>
        </w:rPr>
      </w:pPr>
      <w:r w:rsidRPr="00834A12">
        <w:rPr>
          <w:rFonts w:ascii="Lato" w:hAnsi="Lato"/>
          <w:color w:val="1F497D"/>
          <w:sz w:val="20"/>
          <w:szCs w:val="20"/>
        </w:rPr>
        <w:br/>
      </w:r>
      <w:bookmarkStart w:id="540" w:name="_Toc8035317"/>
      <w:bookmarkStart w:id="541" w:name="_Toc20219267"/>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10</w:t>
      </w:r>
      <w:r w:rsidRPr="00834A12">
        <w:rPr>
          <w:rFonts w:ascii="Lato" w:hAnsi="Lato"/>
          <w:color w:val="1F497D"/>
          <w:sz w:val="20"/>
          <w:szCs w:val="20"/>
        </w:rPr>
        <w:fldChar w:fldCharType="end"/>
      </w:r>
      <w:r w:rsidRPr="00834A12">
        <w:rPr>
          <w:rFonts w:ascii="Lato" w:hAnsi="Lato"/>
          <w:color w:val="1F497D"/>
          <w:sz w:val="20"/>
          <w:szCs w:val="20"/>
        </w:rPr>
        <w:t xml:space="preserve"> Jednostkowe koszty </w:t>
      </w:r>
      <w:bookmarkEnd w:id="536"/>
      <w:bookmarkEnd w:id="540"/>
      <w:r w:rsidRPr="00834A12">
        <w:rPr>
          <w:rFonts w:ascii="Lato" w:hAnsi="Lato"/>
          <w:color w:val="1F497D"/>
          <w:sz w:val="20"/>
          <w:szCs w:val="20"/>
          <w:lang w:val="pl-PL"/>
        </w:rPr>
        <w:t>ciepła</w:t>
      </w:r>
      <w:bookmarkEnd w:id="541"/>
    </w:p>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806D69" w:rsidP="00806D69">
      <w:pPr>
        <w:rPr>
          <w:rFonts w:ascii="Lato" w:hAnsi="Lato"/>
          <w:lang w:eastAsia="x-none"/>
        </w:rPr>
      </w:pPr>
    </w:p>
    <w:p w:rsidR="00806D69" w:rsidRPr="00834A12" w:rsidRDefault="004F076B" w:rsidP="00806D69">
      <w:pPr>
        <w:keepNext/>
        <w:ind w:firstLine="0"/>
        <w:rPr>
          <w:rFonts w:ascii="Lato" w:hAnsi="Lato"/>
        </w:rPr>
      </w:pPr>
      <w:r>
        <w:rPr>
          <w:noProof/>
        </w:rPr>
        <w:lastRenderedPageBreak/>
        <w:drawing>
          <wp:inline distT="0" distB="0" distL="0" distR="0" wp14:anchorId="5A4143BF" wp14:editId="14D0E356">
            <wp:extent cx="5743575" cy="3624263"/>
            <wp:effectExtent l="0" t="0" r="0" b="0"/>
            <wp:docPr id="64" name="Wykres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21B25" w:rsidRPr="00834A12" w:rsidRDefault="00806D69" w:rsidP="00806D69">
      <w:pPr>
        <w:pStyle w:val="Legenda"/>
        <w:jc w:val="center"/>
        <w:rPr>
          <w:rFonts w:ascii="Lato" w:hAnsi="Lato"/>
          <w:color w:val="1F497D"/>
          <w:sz w:val="20"/>
          <w:szCs w:val="20"/>
          <w:lang w:val="pl-PL"/>
        </w:rPr>
      </w:pPr>
      <w:bookmarkStart w:id="542" w:name="_Toc430598988"/>
      <w:bookmarkStart w:id="543" w:name="_Toc8035318"/>
      <w:bookmarkStart w:id="544" w:name="_Toc20219268"/>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11</w:t>
      </w:r>
      <w:r w:rsidRPr="00834A12">
        <w:rPr>
          <w:rFonts w:ascii="Lato" w:hAnsi="Lato"/>
          <w:color w:val="1F497D"/>
          <w:sz w:val="20"/>
          <w:szCs w:val="20"/>
        </w:rPr>
        <w:fldChar w:fldCharType="end"/>
      </w:r>
      <w:r w:rsidRPr="00834A12">
        <w:rPr>
          <w:rFonts w:ascii="Lato" w:hAnsi="Lato"/>
          <w:color w:val="1F497D"/>
          <w:sz w:val="20"/>
          <w:szCs w:val="20"/>
        </w:rPr>
        <w:t xml:space="preserve"> Jednostkowe zużycie </w:t>
      </w:r>
      <w:r w:rsidR="004F076B">
        <w:rPr>
          <w:rFonts w:ascii="Lato" w:hAnsi="Lato"/>
          <w:color w:val="1F497D"/>
          <w:sz w:val="20"/>
          <w:szCs w:val="20"/>
          <w:lang w:val="pl-PL"/>
        </w:rPr>
        <w:t>ciepła</w:t>
      </w:r>
      <w:r w:rsidRPr="00834A12">
        <w:rPr>
          <w:rFonts w:ascii="Lato" w:hAnsi="Lato"/>
          <w:color w:val="1F497D"/>
          <w:sz w:val="20"/>
          <w:szCs w:val="20"/>
        </w:rPr>
        <w:t xml:space="preserve"> w analizowanych obiektach</w:t>
      </w:r>
      <w:bookmarkEnd w:id="542"/>
      <w:bookmarkEnd w:id="543"/>
      <w:bookmarkEnd w:id="544"/>
    </w:p>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A21B25" w:rsidRPr="00834A12" w:rsidRDefault="00A21B25" w:rsidP="00A21B25">
      <w:pPr>
        <w:rPr>
          <w:rFonts w:ascii="Lato" w:hAnsi="Lato"/>
          <w:lang w:eastAsia="x-none"/>
        </w:rPr>
      </w:pPr>
    </w:p>
    <w:p w:rsidR="00806D69" w:rsidRPr="00834A12" w:rsidRDefault="004F076B" w:rsidP="00A21B25">
      <w:pPr>
        <w:ind w:left="510" w:firstLine="0"/>
        <w:rPr>
          <w:rFonts w:ascii="Lato" w:hAnsi="Lato"/>
        </w:rPr>
      </w:pPr>
      <w:r>
        <w:rPr>
          <w:noProof/>
        </w:rPr>
        <w:drawing>
          <wp:inline distT="0" distB="0" distL="0" distR="0" wp14:anchorId="2CAE11C4" wp14:editId="2CEC5689">
            <wp:extent cx="5738813" cy="3457575"/>
            <wp:effectExtent l="0" t="0" r="0" b="0"/>
            <wp:docPr id="65" name="Wykres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806D69" w:rsidRPr="00834A12" w:rsidRDefault="00806D69" w:rsidP="00806D69">
      <w:pPr>
        <w:pStyle w:val="Legenda"/>
        <w:jc w:val="center"/>
        <w:rPr>
          <w:rFonts w:ascii="Lato" w:hAnsi="Lato"/>
          <w:color w:val="1F497D"/>
          <w:sz w:val="20"/>
          <w:szCs w:val="20"/>
          <w:lang w:val="pl-PL"/>
        </w:rPr>
      </w:pPr>
      <w:bookmarkStart w:id="545" w:name="_Toc430598990"/>
      <w:bookmarkStart w:id="546" w:name="_Toc8035319"/>
      <w:bookmarkStart w:id="547" w:name="_Toc20219269"/>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12</w:t>
      </w:r>
      <w:r w:rsidRPr="00834A12">
        <w:rPr>
          <w:rFonts w:ascii="Lato" w:hAnsi="Lato"/>
          <w:color w:val="1F497D"/>
          <w:sz w:val="20"/>
          <w:szCs w:val="20"/>
        </w:rPr>
        <w:fldChar w:fldCharType="end"/>
      </w:r>
      <w:r w:rsidRPr="00834A12">
        <w:rPr>
          <w:rFonts w:ascii="Lato" w:hAnsi="Lato"/>
          <w:color w:val="1F497D"/>
          <w:sz w:val="20"/>
          <w:szCs w:val="20"/>
        </w:rPr>
        <w:t xml:space="preserve"> Koszty jednostkowe </w:t>
      </w:r>
      <w:bookmarkEnd w:id="545"/>
      <w:bookmarkEnd w:id="546"/>
      <w:r w:rsidRPr="00834A12">
        <w:rPr>
          <w:rFonts w:ascii="Lato" w:hAnsi="Lato"/>
          <w:color w:val="1F497D"/>
          <w:sz w:val="20"/>
          <w:szCs w:val="20"/>
          <w:lang w:val="pl-PL"/>
        </w:rPr>
        <w:t>ciepła</w:t>
      </w:r>
      <w:bookmarkEnd w:id="547"/>
    </w:p>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806D69" w:rsidP="00806D69">
      <w:pPr>
        <w:rPr>
          <w:rFonts w:ascii="Lato" w:hAnsi="Lato"/>
          <w:lang w:eastAsia="x-none"/>
        </w:rPr>
      </w:pPr>
    </w:p>
    <w:p w:rsidR="00806D69" w:rsidRPr="00834A12" w:rsidRDefault="004F076B" w:rsidP="004F076B">
      <w:pPr>
        <w:ind w:firstLine="0"/>
        <w:jc w:val="center"/>
        <w:rPr>
          <w:rFonts w:ascii="Lato" w:hAnsi="Lato"/>
        </w:rPr>
      </w:pPr>
      <w:r>
        <w:rPr>
          <w:noProof/>
        </w:rPr>
        <w:lastRenderedPageBreak/>
        <w:drawing>
          <wp:inline distT="0" distB="0" distL="0" distR="0" wp14:anchorId="01C08071" wp14:editId="510C2B24">
            <wp:extent cx="5862637" cy="3619500"/>
            <wp:effectExtent l="0" t="0" r="5080" b="0"/>
            <wp:docPr id="66" name="Wykres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806D69" w:rsidRDefault="00806D69" w:rsidP="004F076B">
      <w:pPr>
        <w:pStyle w:val="Legenda"/>
        <w:keepNext w:val="0"/>
        <w:jc w:val="center"/>
        <w:rPr>
          <w:rFonts w:ascii="Lato" w:hAnsi="Lato"/>
          <w:color w:val="1F497D"/>
          <w:sz w:val="20"/>
          <w:szCs w:val="20"/>
          <w:lang w:val="pl-PL"/>
        </w:rPr>
      </w:pPr>
      <w:bookmarkStart w:id="548" w:name="_Toc430598991"/>
      <w:bookmarkStart w:id="549" w:name="_Toc8035320"/>
      <w:bookmarkStart w:id="550" w:name="_Toc20219270"/>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13</w:t>
      </w:r>
      <w:r w:rsidRPr="00834A12">
        <w:rPr>
          <w:rFonts w:ascii="Lato" w:hAnsi="Lato"/>
          <w:color w:val="1F497D"/>
          <w:sz w:val="20"/>
          <w:szCs w:val="20"/>
        </w:rPr>
        <w:fldChar w:fldCharType="end"/>
      </w:r>
      <w:r w:rsidRPr="00834A12">
        <w:rPr>
          <w:rFonts w:ascii="Lato" w:hAnsi="Lato"/>
          <w:color w:val="1F497D"/>
          <w:sz w:val="20"/>
          <w:szCs w:val="20"/>
        </w:rPr>
        <w:t xml:space="preserve"> Jednostkowe zużycie </w:t>
      </w:r>
      <w:bookmarkEnd w:id="548"/>
      <w:bookmarkEnd w:id="549"/>
      <w:r w:rsidRPr="00834A12">
        <w:rPr>
          <w:rFonts w:ascii="Lato" w:hAnsi="Lato"/>
          <w:color w:val="1F497D"/>
          <w:sz w:val="20"/>
          <w:szCs w:val="20"/>
          <w:lang w:val="pl-PL"/>
        </w:rPr>
        <w:t>ciepła</w:t>
      </w:r>
      <w:bookmarkEnd w:id="550"/>
    </w:p>
    <w:p w:rsidR="002542F4" w:rsidRDefault="002542F4" w:rsidP="002542F4">
      <w:pPr>
        <w:suppressAutoHyphens/>
        <w:spacing w:after="240"/>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4F076B" w:rsidP="004F076B">
      <w:pPr>
        <w:ind w:firstLine="0"/>
        <w:rPr>
          <w:rFonts w:ascii="Lato" w:hAnsi="Lato"/>
        </w:rPr>
      </w:pPr>
      <w:r>
        <w:rPr>
          <w:noProof/>
        </w:rPr>
        <w:drawing>
          <wp:inline distT="0" distB="0" distL="0" distR="0" wp14:anchorId="5ADFF7D8" wp14:editId="5D33FC4C">
            <wp:extent cx="5972810" cy="3909695"/>
            <wp:effectExtent l="0" t="0" r="8890" b="0"/>
            <wp:docPr id="67" name="Wykres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806D69" w:rsidRDefault="00806D69" w:rsidP="004F076B">
      <w:pPr>
        <w:pStyle w:val="Legenda"/>
        <w:keepNext w:val="0"/>
        <w:jc w:val="center"/>
        <w:rPr>
          <w:rFonts w:ascii="Lato" w:hAnsi="Lato"/>
          <w:color w:val="1F497D"/>
          <w:sz w:val="20"/>
          <w:szCs w:val="20"/>
          <w:lang w:val="pl-PL"/>
        </w:rPr>
      </w:pPr>
      <w:bookmarkStart w:id="551" w:name="_Toc8035321"/>
      <w:bookmarkStart w:id="552" w:name="_Toc20219271"/>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14</w:t>
      </w:r>
      <w:r w:rsidRPr="00834A12">
        <w:rPr>
          <w:rFonts w:ascii="Lato" w:hAnsi="Lato"/>
          <w:color w:val="1F497D"/>
          <w:sz w:val="20"/>
          <w:szCs w:val="20"/>
        </w:rPr>
        <w:fldChar w:fldCharType="end"/>
      </w:r>
      <w:r w:rsidRPr="00834A12">
        <w:rPr>
          <w:rFonts w:ascii="Lato" w:hAnsi="Lato"/>
          <w:color w:val="1F497D"/>
          <w:sz w:val="20"/>
          <w:szCs w:val="20"/>
        </w:rPr>
        <w:t xml:space="preserve"> Jednostkowa cena </w:t>
      </w:r>
      <w:r w:rsidRPr="00834A12">
        <w:rPr>
          <w:rFonts w:ascii="Lato" w:hAnsi="Lato"/>
          <w:color w:val="1F497D"/>
          <w:sz w:val="20"/>
          <w:szCs w:val="20"/>
          <w:lang w:val="pl-PL"/>
        </w:rPr>
        <w:t xml:space="preserve">ciepła </w:t>
      </w:r>
      <w:r w:rsidRPr="00834A12">
        <w:rPr>
          <w:rFonts w:ascii="Lato" w:hAnsi="Lato"/>
          <w:color w:val="1F497D"/>
          <w:sz w:val="20"/>
          <w:szCs w:val="20"/>
        </w:rPr>
        <w:t>dla poszczególnych obiektów</w:t>
      </w:r>
      <w:bookmarkStart w:id="553" w:name="_Toc430598796"/>
      <w:bookmarkStart w:id="554" w:name="_Toc8035182"/>
      <w:bookmarkEnd w:id="551"/>
      <w:bookmarkEnd w:id="552"/>
    </w:p>
    <w:p w:rsidR="002542F4" w:rsidRDefault="002542F4" w:rsidP="002542F4">
      <w:pPr>
        <w:suppressAutoHyphens/>
        <w:spacing w:after="240"/>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806D69" w:rsidP="00806D69">
      <w:pPr>
        <w:pStyle w:val="Akapitzlist"/>
        <w:keepNext/>
        <w:numPr>
          <w:ilvl w:val="2"/>
          <w:numId w:val="38"/>
        </w:numPr>
        <w:tabs>
          <w:tab w:val="left" w:pos="709"/>
        </w:tabs>
        <w:spacing w:before="180" w:after="180" w:line="288" w:lineRule="auto"/>
        <w:ind w:left="709" w:hanging="709"/>
        <w:jc w:val="both"/>
        <w:outlineLvl w:val="2"/>
        <w:rPr>
          <w:rFonts w:ascii="Lato" w:hAnsi="Lato"/>
          <w:color w:val="365F91"/>
          <w:lang w:eastAsia="en-US"/>
        </w:rPr>
      </w:pPr>
      <w:bookmarkStart w:id="555" w:name="_Toc430598797"/>
      <w:bookmarkStart w:id="556" w:name="_Toc8035183"/>
      <w:bookmarkStart w:id="557" w:name="_Toc20218536"/>
      <w:bookmarkEnd w:id="553"/>
      <w:bookmarkEnd w:id="554"/>
      <w:r w:rsidRPr="00834A12">
        <w:rPr>
          <w:rFonts w:ascii="Lato" w:hAnsi="Lato"/>
          <w:color w:val="365F91"/>
          <w:lang w:eastAsia="en-US"/>
        </w:rPr>
        <w:lastRenderedPageBreak/>
        <w:t>Klasyfikacja obiektów</w:t>
      </w:r>
      <w:bookmarkEnd w:id="537"/>
      <w:bookmarkEnd w:id="538"/>
      <w:bookmarkEnd w:id="539"/>
      <w:bookmarkEnd w:id="555"/>
      <w:bookmarkEnd w:id="556"/>
      <w:bookmarkEnd w:id="557"/>
    </w:p>
    <w:p w:rsidR="00D41384" w:rsidRPr="009730D2" w:rsidRDefault="00806D69" w:rsidP="00D77430">
      <w:pPr>
        <w:ind w:firstLine="709"/>
        <w:jc w:val="both"/>
        <w:rPr>
          <w:rFonts w:ascii="Lato" w:hAnsi="Lato"/>
        </w:rPr>
      </w:pPr>
      <w:r w:rsidRPr="00834A12">
        <w:rPr>
          <w:rFonts w:ascii="Lato" w:hAnsi="Lato"/>
        </w:rPr>
        <w:t xml:space="preserve">Priorytet działań w zakresie modernizacji obiektów, a także </w:t>
      </w:r>
      <w:r w:rsidR="00D03562">
        <w:rPr>
          <w:rFonts w:ascii="Lato" w:hAnsi="Lato"/>
        </w:rPr>
        <w:t>zmniejszania kosztów energii na </w:t>
      </w:r>
      <w:r w:rsidRPr="00834A12">
        <w:rPr>
          <w:rFonts w:ascii="Lato" w:hAnsi="Lato"/>
        </w:rPr>
        <w:t>ogrzewanie oraz obciążenia środowiska ustalono na podstawie klasyfikacji do grup G1 – G4. Granicę podziału stanowi średni koszt mediów energetycznych wykorzystywanych do ogrzewania (średnia arytmetyczna kosztów poszczególnych obiektów) oraz założony poziom jednostkowego zużycia energii w</w:t>
      </w:r>
      <w:r w:rsidR="00A342D0">
        <w:rPr>
          <w:rFonts w:ascii="Lato" w:hAnsi="Lato"/>
        </w:rPr>
        <w:t xml:space="preserve"> </w:t>
      </w:r>
      <w:r w:rsidRPr="00834A12">
        <w:rPr>
          <w:rFonts w:ascii="Lato" w:hAnsi="Lato"/>
        </w:rPr>
        <w:t>wysokości 0,</w:t>
      </w:r>
      <w:r w:rsidR="00D41384">
        <w:rPr>
          <w:rFonts w:ascii="Lato" w:hAnsi="Lato"/>
        </w:rPr>
        <w:t>35</w:t>
      </w:r>
      <w:r w:rsidRPr="00834A12">
        <w:rPr>
          <w:rFonts w:ascii="Lato" w:hAnsi="Lato"/>
        </w:rPr>
        <w:t xml:space="preserve"> GJ/m</w:t>
      </w:r>
      <w:r w:rsidRPr="00834A12">
        <w:rPr>
          <w:rFonts w:ascii="Lato" w:hAnsi="Lato"/>
          <w:vertAlign w:val="superscript"/>
        </w:rPr>
        <w:t>2</w:t>
      </w:r>
      <w:r w:rsidRPr="00834A12">
        <w:rPr>
          <w:rFonts w:ascii="Lato" w:hAnsi="Lato"/>
        </w:rPr>
        <w:t xml:space="preserve">/rok możliwego do osiągnięcia w wyniku modernizacji. Ten poziom wskaźnika zużycia energii na potrzeby cieplne dla przeciętnego obiektu edukacyjnego można uzyskać </w:t>
      </w:r>
      <w:r w:rsidRPr="009730D2">
        <w:rPr>
          <w:rFonts w:ascii="Lato" w:hAnsi="Lato"/>
        </w:rPr>
        <w:t xml:space="preserve">w wyniku prowadzenia działań termomodernizacyjnych. </w:t>
      </w:r>
    </w:p>
    <w:p w:rsidR="00806D69" w:rsidRPr="00834A12" w:rsidRDefault="00806D69" w:rsidP="00D77430">
      <w:pPr>
        <w:ind w:firstLine="709"/>
        <w:jc w:val="both"/>
        <w:rPr>
          <w:rFonts w:ascii="Lato" w:hAnsi="Lato"/>
        </w:rPr>
      </w:pPr>
      <w:r w:rsidRPr="009730D2">
        <w:rPr>
          <w:rFonts w:ascii="Lato" w:hAnsi="Lato"/>
        </w:rPr>
        <w:t xml:space="preserve">Generalna klasyfikacja obiektów do grup G1, G2, G3 oraz G4 została przedstawiona </w:t>
      </w:r>
      <w:r w:rsidR="003F7B25" w:rsidRPr="009730D2">
        <w:rPr>
          <w:rFonts w:ascii="Lato" w:hAnsi="Lato"/>
        </w:rPr>
        <w:br/>
      </w:r>
      <w:r w:rsidRPr="009730D2">
        <w:rPr>
          <w:rFonts w:ascii="Lato" w:hAnsi="Lato"/>
        </w:rPr>
        <w:t>w tabeli 6-</w:t>
      </w:r>
      <w:r w:rsidR="009730D2" w:rsidRPr="009730D2">
        <w:rPr>
          <w:rFonts w:ascii="Lato" w:hAnsi="Lato"/>
        </w:rPr>
        <w:t>15</w:t>
      </w:r>
      <w:r w:rsidRPr="009730D2">
        <w:rPr>
          <w:rFonts w:ascii="Lato" w:hAnsi="Lato"/>
        </w:rPr>
        <w:t>.</w:t>
      </w:r>
    </w:p>
    <w:p w:rsidR="00806D69" w:rsidRPr="00834A12" w:rsidRDefault="00806D69" w:rsidP="00D77430">
      <w:pPr>
        <w:ind w:firstLine="709"/>
        <w:jc w:val="both"/>
        <w:rPr>
          <w:rFonts w:ascii="Lato" w:hAnsi="Lato"/>
        </w:rPr>
      </w:pPr>
      <w:r w:rsidRPr="00834A12">
        <w:rPr>
          <w:rFonts w:ascii="Lato" w:hAnsi="Lato"/>
        </w:rPr>
        <w:t>Do grupy G1 o najwyższym priorytecie działań, według kryteriów najwyższego kosztu rocznego za media energetyczne oraz jednostkowego zużycia wszystkich paliw i energii, zaliczono obiekty, które są lub powinny zostać objęte postępowaniem przedinwestycyjnym: przeglądy wstępne, audyty energetyczne, projekty techniczne i po potwierdze</w:t>
      </w:r>
      <w:r w:rsidR="00D03562">
        <w:rPr>
          <w:rFonts w:ascii="Lato" w:hAnsi="Lato"/>
        </w:rPr>
        <w:t>niu efektywności ekonomicznej i </w:t>
      </w:r>
      <w:r w:rsidRPr="00834A12">
        <w:rPr>
          <w:rFonts w:ascii="Lato" w:hAnsi="Lato"/>
        </w:rPr>
        <w:t>wykonalności finansowej winny być zrealizowane programowe inwestycje. Grupa G2, charakteryzująca się wysokim jednostkowym zużyciem paliw i energii oraz umiarkowanymi kosztami rocznymi również wymaga działań diagnostycznych oraz inwestycyjnych. W grupach G3 i G4 uzasadnione są jedynie działania bezinwestycyjne, polegające np. na bieżącym zarządzaniu energią, rozwiązaniu problemu optymalnego doboru taryf, zmiany głównego nośnika zasilania (optymalizacja kosztów jednostkowych mediów).</w:t>
      </w:r>
    </w:p>
    <w:p w:rsidR="00806D69" w:rsidRPr="00834A12" w:rsidRDefault="00806D69" w:rsidP="00D77430">
      <w:pPr>
        <w:ind w:firstLine="709"/>
        <w:jc w:val="both"/>
        <w:rPr>
          <w:rFonts w:ascii="Lato" w:hAnsi="Lato"/>
        </w:rPr>
      </w:pPr>
      <w:r w:rsidRPr="00834A12">
        <w:rPr>
          <w:rFonts w:ascii="Lato" w:hAnsi="Lato"/>
        </w:rPr>
        <w:t>Analizie poddano 1</w:t>
      </w:r>
      <w:r w:rsidR="00D41384">
        <w:rPr>
          <w:rFonts w:ascii="Lato" w:hAnsi="Lato"/>
        </w:rPr>
        <w:t>2</w:t>
      </w:r>
      <w:r w:rsidRPr="00834A12">
        <w:rPr>
          <w:rFonts w:ascii="Lato" w:hAnsi="Lato"/>
        </w:rPr>
        <w:t xml:space="preserve"> budynków użyteczności publicznej, dla których uzyskano kompletne dane.</w:t>
      </w:r>
    </w:p>
    <w:p w:rsidR="00806D69" w:rsidRPr="00834A12" w:rsidRDefault="00806D69" w:rsidP="00806D69">
      <w:pPr>
        <w:jc w:val="both"/>
        <w:rPr>
          <w:rFonts w:ascii="Lato" w:hAnsi="Lato"/>
        </w:rPr>
      </w:pPr>
    </w:p>
    <w:p w:rsidR="00806D69" w:rsidRPr="00834A12" w:rsidRDefault="00D41384" w:rsidP="00806D69">
      <w:pPr>
        <w:keepNext/>
        <w:ind w:firstLine="0"/>
        <w:jc w:val="center"/>
        <w:rPr>
          <w:rFonts w:ascii="Lato" w:hAnsi="Lato"/>
        </w:rPr>
      </w:pPr>
      <w:r>
        <w:rPr>
          <w:noProof/>
        </w:rPr>
        <w:lastRenderedPageBreak/>
        <w:drawing>
          <wp:inline distT="0" distB="0" distL="0" distR="0" wp14:anchorId="2F659D61" wp14:editId="68535B84">
            <wp:extent cx="5972810" cy="4458335"/>
            <wp:effectExtent l="0" t="0" r="8890" b="0"/>
            <wp:docPr id="68" name="Wykres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06D69" w:rsidRPr="00834A12" w:rsidRDefault="00806D69" w:rsidP="00806D69">
      <w:pPr>
        <w:pStyle w:val="Legenda"/>
        <w:jc w:val="center"/>
        <w:rPr>
          <w:rFonts w:ascii="Lato" w:hAnsi="Lato"/>
          <w:color w:val="1F497D"/>
          <w:sz w:val="20"/>
          <w:szCs w:val="20"/>
        </w:rPr>
      </w:pPr>
      <w:bookmarkStart w:id="558" w:name="_Toc282091284"/>
      <w:bookmarkStart w:id="559" w:name="_Toc328984644"/>
      <w:bookmarkStart w:id="560" w:name="_Toc413090887"/>
      <w:bookmarkStart w:id="561" w:name="_Toc430599005"/>
      <w:bookmarkStart w:id="562" w:name="_Toc8035327"/>
      <w:bookmarkStart w:id="563" w:name="_Toc20219272"/>
      <w:r w:rsidRPr="00834A12">
        <w:rPr>
          <w:rFonts w:ascii="Lato" w:hAnsi="Lato"/>
          <w:color w:val="1F497D"/>
          <w:sz w:val="20"/>
          <w:szCs w:val="20"/>
        </w:rPr>
        <w:t xml:space="preserve">Rysunek </w:t>
      </w:r>
      <w:r w:rsidRPr="00834A12">
        <w:rPr>
          <w:rFonts w:ascii="Lato" w:hAnsi="Lato"/>
          <w:color w:val="1F497D"/>
          <w:sz w:val="20"/>
          <w:szCs w:val="20"/>
        </w:rPr>
        <w:fldChar w:fldCharType="begin"/>
      </w:r>
      <w:r w:rsidRPr="00834A12">
        <w:rPr>
          <w:rFonts w:ascii="Lato" w:hAnsi="Lato"/>
          <w:color w:val="1F497D"/>
          <w:sz w:val="20"/>
          <w:szCs w:val="20"/>
        </w:rPr>
        <w:instrText xml:space="preserve"> STYLEREF 1 \s </w:instrText>
      </w:r>
      <w:r w:rsidRPr="00834A12">
        <w:rPr>
          <w:rFonts w:ascii="Lato" w:hAnsi="Lato"/>
          <w:color w:val="1F497D"/>
          <w:sz w:val="20"/>
          <w:szCs w:val="20"/>
        </w:rPr>
        <w:fldChar w:fldCharType="separate"/>
      </w:r>
      <w:r w:rsidR="0040205B">
        <w:rPr>
          <w:rFonts w:ascii="Lato" w:hAnsi="Lato"/>
          <w:noProof/>
          <w:color w:val="1F497D"/>
          <w:sz w:val="20"/>
          <w:szCs w:val="20"/>
        </w:rPr>
        <w:t>6</w:t>
      </w:r>
      <w:r w:rsidRPr="00834A12">
        <w:rPr>
          <w:rFonts w:ascii="Lato" w:hAnsi="Lato"/>
          <w:color w:val="1F497D"/>
          <w:sz w:val="20"/>
          <w:szCs w:val="20"/>
        </w:rPr>
        <w:fldChar w:fldCharType="end"/>
      </w:r>
      <w:r w:rsidRPr="00834A12">
        <w:rPr>
          <w:rFonts w:ascii="Lato" w:hAnsi="Lato"/>
          <w:color w:val="1F497D"/>
          <w:sz w:val="20"/>
          <w:szCs w:val="20"/>
        </w:rPr>
        <w:noBreakHyphen/>
      </w:r>
      <w:r w:rsidRPr="00834A12">
        <w:rPr>
          <w:rFonts w:ascii="Lato" w:hAnsi="Lato"/>
          <w:color w:val="1F497D"/>
          <w:sz w:val="20"/>
          <w:szCs w:val="20"/>
        </w:rPr>
        <w:fldChar w:fldCharType="begin"/>
      </w:r>
      <w:r w:rsidRPr="00834A12">
        <w:rPr>
          <w:rFonts w:ascii="Lato" w:hAnsi="Lato"/>
          <w:color w:val="1F497D"/>
          <w:sz w:val="20"/>
          <w:szCs w:val="20"/>
        </w:rPr>
        <w:instrText xml:space="preserve"> SEQ Rysunek \* ARABIC \s 1 </w:instrText>
      </w:r>
      <w:r w:rsidRPr="00834A12">
        <w:rPr>
          <w:rFonts w:ascii="Lato" w:hAnsi="Lato"/>
          <w:color w:val="1F497D"/>
          <w:sz w:val="20"/>
          <w:szCs w:val="20"/>
        </w:rPr>
        <w:fldChar w:fldCharType="separate"/>
      </w:r>
      <w:r w:rsidR="0040205B">
        <w:rPr>
          <w:rFonts w:ascii="Lato" w:hAnsi="Lato"/>
          <w:noProof/>
          <w:color w:val="1F497D"/>
          <w:sz w:val="20"/>
          <w:szCs w:val="20"/>
        </w:rPr>
        <w:t>15</w:t>
      </w:r>
      <w:r w:rsidRPr="00834A12">
        <w:rPr>
          <w:rFonts w:ascii="Lato" w:hAnsi="Lato"/>
          <w:color w:val="1F497D"/>
          <w:sz w:val="20"/>
          <w:szCs w:val="20"/>
        </w:rPr>
        <w:fldChar w:fldCharType="end"/>
      </w:r>
      <w:r w:rsidRPr="00834A12">
        <w:rPr>
          <w:rFonts w:ascii="Lato" w:hAnsi="Lato"/>
          <w:color w:val="1F497D"/>
          <w:sz w:val="20"/>
          <w:szCs w:val="20"/>
        </w:rPr>
        <w:t xml:space="preserve"> Klasyfikacja obiektów do poszczególnych grup priorytetowych</w:t>
      </w:r>
      <w:bookmarkEnd w:id="558"/>
      <w:bookmarkEnd w:id="559"/>
      <w:bookmarkEnd w:id="560"/>
      <w:bookmarkEnd w:id="561"/>
      <w:bookmarkEnd w:id="562"/>
      <w:bookmarkEnd w:id="563"/>
    </w:p>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806D69" w:rsidP="00806D69">
      <w:pPr>
        <w:jc w:val="both"/>
        <w:rPr>
          <w:rFonts w:ascii="Lato" w:hAnsi="Lato"/>
        </w:rPr>
      </w:pPr>
    </w:p>
    <w:p w:rsidR="00806D69" w:rsidRPr="00834A12" w:rsidRDefault="00806D69" w:rsidP="00806D69">
      <w:pPr>
        <w:ind w:firstLine="0"/>
        <w:rPr>
          <w:rFonts w:ascii="Lato" w:hAnsi="Lato"/>
        </w:rPr>
      </w:pPr>
      <w:r w:rsidRPr="00834A12">
        <w:rPr>
          <w:rFonts w:ascii="Lato" w:hAnsi="Lato"/>
        </w:rPr>
        <w:t>Do poszczególnych Grup zakwalifikowano następującą liczbę obiektów:</w:t>
      </w:r>
    </w:p>
    <w:p w:rsidR="00806D69" w:rsidRPr="00834A12" w:rsidRDefault="00806D69" w:rsidP="00806D69">
      <w:pPr>
        <w:rPr>
          <w:rFonts w:ascii="Lato" w:hAnsi="Lato"/>
        </w:rPr>
      </w:pP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000" w:firstRow="0" w:lastRow="0" w:firstColumn="0" w:lastColumn="0" w:noHBand="0" w:noVBand="0"/>
      </w:tblPr>
      <w:tblGrid>
        <w:gridCol w:w="3421"/>
        <w:gridCol w:w="3162"/>
        <w:gridCol w:w="3422"/>
      </w:tblGrid>
      <w:tr w:rsidR="00806D69" w:rsidRPr="00834A12" w:rsidTr="008C4DDC">
        <w:trPr>
          <w:trHeight w:val="402"/>
          <w:jc w:val="center"/>
        </w:trPr>
        <w:tc>
          <w:tcPr>
            <w:tcW w:w="1710" w:type="pct"/>
            <w:shd w:val="clear" w:color="auto" w:fill="DBE5F1"/>
            <w:noWrap/>
            <w:vAlign w:val="center"/>
          </w:tcPr>
          <w:p w:rsidR="00806D69" w:rsidRPr="00834A12" w:rsidRDefault="00806D69" w:rsidP="008C4DDC">
            <w:pPr>
              <w:ind w:firstLine="0"/>
              <w:jc w:val="center"/>
              <w:rPr>
                <w:rFonts w:ascii="Lato" w:hAnsi="Lato"/>
                <w:iCs/>
                <w:color w:val="1F497D"/>
                <w:sz w:val="20"/>
                <w:szCs w:val="20"/>
              </w:rPr>
            </w:pPr>
            <w:r w:rsidRPr="00834A12">
              <w:rPr>
                <w:rFonts w:ascii="Lato" w:hAnsi="Lato"/>
                <w:iCs/>
                <w:color w:val="1F497D"/>
                <w:sz w:val="20"/>
                <w:szCs w:val="20"/>
              </w:rPr>
              <w:t>Symbol grupy</w:t>
            </w:r>
          </w:p>
        </w:tc>
        <w:tc>
          <w:tcPr>
            <w:tcW w:w="1580" w:type="pct"/>
            <w:shd w:val="clear" w:color="auto" w:fill="DBE5F1"/>
            <w:noWrap/>
            <w:vAlign w:val="center"/>
          </w:tcPr>
          <w:p w:rsidR="00806D69" w:rsidRPr="00834A12" w:rsidRDefault="00806D69" w:rsidP="008C4DDC">
            <w:pPr>
              <w:ind w:firstLine="0"/>
              <w:jc w:val="center"/>
              <w:rPr>
                <w:rFonts w:ascii="Lato" w:hAnsi="Lato"/>
                <w:iCs/>
                <w:color w:val="1F497D"/>
                <w:sz w:val="20"/>
                <w:szCs w:val="20"/>
              </w:rPr>
            </w:pPr>
            <w:r w:rsidRPr="00834A12">
              <w:rPr>
                <w:rFonts w:ascii="Lato" w:hAnsi="Lato"/>
                <w:iCs/>
                <w:color w:val="1F497D"/>
                <w:sz w:val="20"/>
                <w:szCs w:val="20"/>
              </w:rPr>
              <w:t>Liczba obiektów</w:t>
            </w:r>
          </w:p>
        </w:tc>
        <w:tc>
          <w:tcPr>
            <w:tcW w:w="1710" w:type="pct"/>
            <w:shd w:val="clear" w:color="auto" w:fill="DBE5F1"/>
            <w:noWrap/>
            <w:vAlign w:val="center"/>
          </w:tcPr>
          <w:p w:rsidR="00806D69" w:rsidRPr="00834A12" w:rsidRDefault="00806D69" w:rsidP="008C4DDC">
            <w:pPr>
              <w:ind w:firstLine="0"/>
              <w:jc w:val="center"/>
              <w:rPr>
                <w:rFonts w:ascii="Lato" w:hAnsi="Lato"/>
                <w:iCs/>
                <w:color w:val="1F497D"/>
                <w:sz w:val="20"/>
                <w:szCs w:val="20"/>
              </w:rPr>
            </w:pPr>
            <w:r w:rsidRPr="00834A12">
              <w:rPr>
                <w:rFonts w:ascii="Lato" w:hAnsi="Lato"/>
                <w:iCs/>
                <w:color w:val="1F497D"/>
                <w:sz w:val="20"/>
                <w:szCs w:val="20"/>
              </w:rPr>
              <w:t>Udział wg liczby obiektów</w:t>
            </w:r>
          </w:p>
        </w:tc>
      </w:tr>
      <w:tr w:rsidR="00D41384" w:rsidRPr="00834A12" w:rsidTr="008C4DDC">
        <w:trPr>
          <w:trHeight w:val="255"/>
          <w:jc w:val="center"/>
        </w:trPr>
        <w:tc>
          <w:tcPr>
            <w:tcW w:w="1710" w:type="pct"/>
            <w:noWrap/>
            <w:vAlign w:val="bottom"/>
          </w:tcPr>
          <w:p w:rsidR="00D41384" w:rsidRPr="00834A12" w:rsidRDefault="00D41384" w:rsidP="008C4DDC">
            <w:pPr>
              <w:ind w:firstLine="0"/>
              <w:jc w:val="center"/>
              <w:rPr>
                <w:rFonts w:ascii="Lato" w:hAnsi="Lato"/>
                <w:iCs/>
                <w:color w:val="1F497D"/>
                <w:sz w:val="20"/>
                <w:szCs w:val="20"/>
              </w:rPr>
            </w:pPr>
            <w:r w:rsidRPr="00834A12">
              <w:rPr>
                <w:rFonts w:ascii="Lato" w:hAnsi="Lato"/>
                <w:iCs/>
                <w:color w:val="1F497D"/>
                <w:sz w:val="20"/>
                <w:szCs w:val="20"/>
              </w:rPr>
              <w:t>Grupa G1</w:t>
            </w:r>
          </w:p>
        </w:tc>
        <w:tc>
          <w:tcPr>
            <w:tcW w:w="1580" w:type="pct"/>
            <w:noWrap/>
            <w:vAlign w:val="bottom"/>
          </w:tcPr>
          <w:p w:rsidR="00D41384" w:rsidRPr="00D41384" w:rsidRDefault="00D41384" w:rsidP="00D41384">
            <w:pPr>
              <w:ind w:firstLine="0"/>
              <w:jc w:val="center"/>
              <w:rPr>
                <w:rFonts w:ascii="Lato" w:hAnsi="Lato"/>
                <w:iCs/>
                <w:color w:val="1F497D"/>
                <w:sz w:val="20"/>
                <w:szCs w:val="20"/>
              </w:rPr>
            </w:pPr>
            <w:r w:rsidRPr="00D41384">
              <w:rPr>
                <w:rFonts w:ascii="Lato" w:hAnsi="Lato"/>
                <w:iCs/>
                <w:color w:val="1F497D"/>
                <w:sz w:val="20"/>
                <w:szCs w:val="20"/>
              </w:rPr>
              <w:t>4</w:t>
            </w:r>
          </w:p>
        </w:tc>
        <w:tc>
          <w:tcPr>
            <w:tcW w:w="1710" w:type="pct"/>
            <w:noWrap/>
            <w:vAlign w:val="bottom"/>
          </w:tcPr>
          <w:p w:rsidR="00D41384" w:rsidRPr="00D41384" w:rsidRDefault="00D41384" w:rsidP="00D41384">
            <w:pPr>
              <w:ind w:firstLine="0"/>
              <w:jc w:val="center"/>
              <w:rPr>
                <w:rFonts w:ascii="Lato" w:hAnsi="Lato"/>
                <w:iCs/>
                <w:color w:val="1F497D"/>
                <w:sz w:val="20"/>
                <w:szCs w:val="20"/>
              </w:rPr>
            </w:pPr>
            <w:r w:rsidRPr="00D41384">
              <w:rPr>
                <w:rFonts w:ascii="Lato" w:hAnsi="Lato"/>
                <w:iCs/>
                <w:color w:val="1F497D"/>
                <w:sz w:val="20"/>
                <w:szCs w:val="20"/>
              </w:rPr>
              <w:t>33,3%</w:t>
            </w:r>
          </w:p>
        </w:tc>
      </w:tr>
      <w:tr w:rsidR="00D41384" w:rsidRPr="00834A12" w:rsidTr="008C4DDC">
        <w:trPr>
          <w:trHeight w:val="255"/>
          <w:jc w:val="center"/>
        </w:trPr>
        <w:tc>
          <w:tcPr>
            <w:tcW w:w="1710" w:type="pct"/>
            <w:noWrap/>
            <w:vAlign w:val="bottom"/>
          </w:tcPr>
          <w:p w:rsidR="00D41384" w:rsidRPr="00834A12" w:rsidRDefault="00D41384" w:rsidP="008C4DDC">
            <w:pPr>
              <w:ind w:firstLine="0"/>
              <w:jc w:val="center"/>
              <w:rPr>
                <w:rFonts w:ascii="Lato" w:hAnsi="Lato"/>
                <w:iCs/>
                <w:color w:val="1F497D"/>
                <w:sz w:val="20"/>
                <w:szCs w:val="20"/>
              </w:rPr>
            </w:pPr>
            <w:r w:rsidRPr="00834A12">
              <w:rPr>
                <w:rFonts w:ascii="Lato" w:hAnsi="Lato"/>
                <w:iCs/>
                <w:color w:val="1F497D"/>
                <w:sz w:val="20"/>
                <w:szCs w:val="20"/>
              </w:rPr>
              <w:t>Grupa G2</w:t>
            </w:r>
          </w:p>
        </w:tc>
        <w:tc>
          <w:tcPr>
            <w:tcW w:w="1580" w:type="pct"/>
            <w:noWrap/>
            <w:vAlign w:val="bottom"/>
          </w:tcPr>
          <w:p w:rsidR="00D41384" w:rsidRPr="00D41384" w:rsidRDefault="00D41384" w:rsidP="00D41384">
            <w:pPr>
              <w:ind w:firstLine="0"/>
              <w:jc w:val="center"/>
              <w:rPr>
                <w:rFonts w:ascii="Lato" w:hAnsi="Lato"/>
                <w:iCs/>
                <w:color w:val="1F497D"/>
                <w:sz w:val="20"/>
                <w:szCs w:val="20"/>
              </w:rPr>
            </w:pPr>
            <w:r w:rsidRPr="00D41384">
              <w:rPr>
                <w:rFonts w:ascii="Lato" w:hAnsi="Lato"/>
                <w:iCs/>
                <w:color w:val="1F497D"/>
                <w:sz w:val="20"/>
                <w:szCs w:val="20"/>
              </w:rPr>
              <w:t>1</w:t>
            </w:r>
          </w:p>
        </w:tc>
        <w:tc>
          <w:tcPr>
            <w:tcW w:w="1710" w:type="pct"/>
            <w:noWrap/>
            <w:vAlign w:val="bottom"/>
          </w:tcPr>
          <w:p w:rsidR="00D41384" w:rsidRPr="00D41384" w:rsidRDefault="00D41384" w:rsidP="00D41384">
            <w:pPr>
              <w:ind w:firstLine="0"/>
              <w:jc w:val="center"/>
              <w:rPr>
                <w:rFonts w:ascii="Lato" w:hAnsi="Lato"/>
                <w:iCs/>
                <w:color w:val="1F497D"/>
                <w:sz w:val="20"/>
                <w:szCs w:val="20"/>
              </w:rPr>
            </w:pPr>
            <w:r w:rsidRPr="00D41384">
              <w:rPr>
                <w:rFonts w:ascii="Lato" w:hAnsi="Lato"/>
                <w:iCs/>
                <w:color w:val="1F497D"/>
                <w:sz w:val="20"/>
                <w:szCs w:val="20"/>
              </w:rPr>
              <w:t>8,3%</w:t>
            </w:r>
          </w:p>
        </w:tc>
      </w:tr>
      <w:tr w:rsidR="00D41384" w:rsidRPr="00834A12" w:rsidTr="008C4DDC">
        <w:trPr>
          <w:trHeight w:val="255"/>
          <w:jc w:val="center"/>
        </w:trPr>
        <w:tc>
          <w:tcPr>
            <w:tcW w:w="1710" w:type="pct"/>
            <w:noWrap/>
            <w:vAlign w:val="bottom"/>
          </w:tcPr>
          <w:p w:rsidR="00D41384" w:rsidRPr="00834A12" w:rsidRDefault="00D41384" w:rsidP="008C4DDC">
            <w:pPr>
              <w:ind w:firstLine="0"/>
              <w:jc w:val="center"/>
              <w:rPr>
                <w:rFonts w:ascii="Lato" w:hAnsi="Lato"/>
                <w:iCs/>
                <w:color w:val="1F497D"/>
                <w:sz w:val="20"/>
                <w:szCs w:val="20"/>
              </w:rPr>
            </w:pPr>
            <w:r w:rsidRPr="00834A12">
              <w:rPr>
                <w:rFonts w:ascii="Lato" w:hAnsi="Lato"/>
                <w:iCs/>
                <w:color w:val="1F497D"/>
                <w:sz w:val="20"/>
                <w:szCs w:val="20"/>
              </w:rPr>
              <w:t>Grupa G3</w:t>
            </w:r>
          </w:p>
        </w:tc>
        <w:tc>
          <w:tcPr>
            <w:tcW w:w="1580" w:type="pct"/>
            <w:noWrap/>
            <w:vAlign w:val="bottom"/>
          </w:tcPr>
          <w:p w:rsidR="00D41384" w:rsidRPr="00D41384" w:rsidRDefault="00D41384" w:rsidP="00D41384">
            <w:pPr>
              <w:ind w:firstLine="0"/>
              <w:jc w:val="center"/>
              <w:rPr>
                <w:rFonts w:ascii="Lato" w:hAnsi="Lato"/>
                <w:iCs/>
                <w:color w:val="1F497D"/>
                <w:sz w:val="20"/>
                <w:szCs w:val="20"/>
              </w:rPr>
            </w:pPr>
            <w:r w:rsidRPr="00D41384">
              <w:rPr>
                <w:rFonts w:ascii="Lato" w:hAnsi="Lato"/>
                <w:iCs/>
                <w:color w:val="1F497D"/>
                <w:sz w:val="20"/>
                <w:szCs w:val="20"/>
              </w:rPr>
              <w:t>0</w:t>
            </w:r>
          </w:p>
        </w:tc>
        <w:tc>
          <w:tcPr>
            <w:tcW w:w="1710" w:type="pct"/>
            <w:noWrap/>
            <w:vAlign w:val="bottom"/>
          </w:tcPr>
          <w:p w:rsidR="00D41384" w:rsidRPr="00D41384" w:rsidRDefault="00D41384" w:rsidP="00D41384">
            <w:pPr>
              <w:ind w:firstLine="0"/>
              <w:jc w:val="center"/>
              <w:rPr>
                <w:rFonts w:ascii="Lato" w:hAnsi="Lato"/>
                <w:iCs/>
                <w:color w:val="1F497D"/>
                <w:sz w:val="20"/>
                <w:szCs w:val="20"/>
              </w:rPr>
            </w:pPr>
            <w:r w:rsidRPr="00D41384">
              <w:rPr>
                <w:rFonts w:ascii="Lato" w:hAnsi="Lato"/>
                <w:iCs/>
                <w:color w:val="1F497D"/>
                <w:sz w:val="20"/>
                <w:szCs w:val="20"/>
              </w:rPr>
              <w:t>0,0%</w:t>
            </w:r>
          </w:p>
        </w:tc>
      </w:tr>
      <w:tr w:rsidR="00D41384" w:rsidRPr="00834A12" w:rsidTr="008C4DDC">
        <w:trPr>
          <w:trHeight w:val="320"/>
          <w:jc w:val="center"/>
        </w:trPr>
        <w:tc>
          <w:tcPr>
            <w:tcW w:w="1710" w:type="pct"/>
            <w:noWrap/>
            <w:vAlign w:val="bottom"/>
          </w:tcPr>
          <w:p w:rsidR="00D41384" w:rsidRPr="00834A12" w:rsidRDefault="00D41384" w:rsidP="008C4DDC">
            <w:pPr>
              <w:ind w:firstLine="0"/>
              <w:jc w:val="center"/>
              <w:rPr>
                <w:rFonts w:ascii="Lato" w:hAnsi="Lato"/>
                <w:iCs/>
                <w:color w:val="1F497D"/>
                <w:sz w:val="20"/>
                <w:szCs w:val="20"/>
              </w:rPr>
            </w:pPr>
            <w:r w:rsidRPr="00834A12">
              <w:rPr>
                <w:rFonts w:ascii="Lato" w:hAnsi="Lato"/>
                <w:iCs/>
                <w:color w:val="1F497D"/>
                <w:sz w:val="20"/>
                <w:szCs w:val="20"/>
              </w:rPr>
              <w:t>Grupa G4</w:t>
            </w:r>
          </w:p>
        </w:tc>
        <w:tc>
          <w:tcPr>
            <w:tcW w:w="1580" w:type="pct"/>
            <w:noWrap/>
            <w:vAlign w:val="bottom"/>
          </w:tcPr>
          <w:p w:rsidR="00D41384" w:rsidRPr="00D41384" w:rsidRDefault="00D41384" w:rsidP="00D41384">
            <w:pPr>
              <w:ind w:firstLine="0"/>
              <w:jc w:val="center"/>
              <w:rPr>
                <w:rFonts w:ascii="Lato" w:hAnsi="Lato"/>
                <w:iCs/>
                <w:color w:val="1F497D"/>
                <w:sz w:val="20"/>
                <w:szCs w:val="20"/>
              </w:rPr>
            </w:pPr>
            <w:r w:rsidRPr="00D41384">
              <w:rPr>
                <w:rFonts w:ascii="Lato" w:hAnsi="Lato"/>
                <w:iCs/>
                <w:color w:val="1F497D"/>
                <w:sz w:val="20"/>
                <w:szCs w:val="20"/>
              </w:rPr>
              <w:t>7</w:t>
            </w:r>
          </w:p>
        </w:tc>
        <w:tc>
          <w:tcPr>
            <w:tcW w:w="1710" w:type="pct"/>
            <w:noWrap/>
            <w:vAlign w:val="bottom"/>
          </w:tcPr>
          <w:p w:rsidR="00D41384" w:rsidRPr="00D41384" w:rsidRDefault="00D41384" w:rsidP="00D41384">
            <w:pPr>
              <w:ind w:firstLine="0"/>
              <w:jc w:val="center"/>
              <w:rPr>
                <w:rFonts w:ascii="Lato" w:hAnsi="Lato"/>
                <w:iCs/>
                <w:color w:val="1F497D"/>
                <w:sz w:val="20"/>
                <w:szCs w:val="20"/>
              </w:rPr>
            </w:pPr>
            <w:r w:rsidRPr="00D41384">
              <w:rPr>
                <w:rFonts w:ascii="Lato" w:hAnsi="Lato"/>
                <w:iCs/>
                <w:color w:val="1F497D"/>
                <w:sz w:val="20"/>
                <w:szCs w:val="20"/>
              </w:rPr>
              <w:t>58,3%</w:t>
            </w:r>
          </w:p>
        </w:tc>
      </w:tr>
    </w:tbl>
    <w:p w:rsidR="00806D69" w:rsidRPr="00834A12" w:rsidRDefault="00806D69" w:rsidP="00806D69">
      <w:pPr>
        <w:jc w:val="both"/>
        <w:rPr>
          <w:rFonts w:ascii="Lato" w:hAnsi="Lato"/>
        </w:rPr>
      </w:pPr>
    </w:p>
    <w:p w:rsidR="00806D69" w:rsidRPr="00834A12" w:rsidRDefault="00806D69" w:rsidP="00D77430">
      <w:pPr>
        <w:ind w:firstLine="709"/>
        <w:jc w:val="both"/>
        <w:rPr>
          <w:rFonts w:ascii="Lato" w:hAnsi="Lato"/>
        </w:rPr>
      </w:pPr>
      <w:r w:rsidRPr="00834A12">
        <w:rPr>
          <w:rFonts w:ascii="Lato" w:hAnsi="Lato"/>
        </w:rPr>
        <w:t xml:space="preserve">Obiekty z grupy G2 są to jednostki o dużym jednostkowym zużyciu energii oraz stosunkowo niskich kosztach rocznych, stanowią </w:t>
      </w:r>
      <w:r w:rsidR="00AC46AC">
        <w:rPr>
          <w:rFonts w:ascii="Lato" w:hAnsi="Lato"/>
        </w:rPr>
        <w:t>8,3</w:t>
      </w:r>
      <w:r w:rsidRPr="00834A12">
        <w:rPr>
          <w:rFonts w:ascii="Lato" w:hAnsi="Lato"/>
        </w:rPr>
        <w:t>% liczby wszystkich obiektów. W grupie G1 znalazł</w:t>
      </w:r>
      <w:r w:rsidR="00AC46AC">
        <w:rPr>
          <w:rFonts w:ascii="Lato" w:hAnsi="Lato"/>
        </w:rPr>
        <w:t>y</w:t>
      </w:r>
      <w:r w:rsidRPr="00834A12">
        <w:rPr>
          <w:rFonts w:ascii="Lato" w:hAnsi="Lato"/>
        </w:rPr>
        <w:t xml:space="preserve"> się </w:t>
      </w:r>
      <w:r w:rsidR="00AC46AC">
        <w:rPr>
          <w:rFonts w:ascii="Lato" w:hAnsi="Lato"/>
        </w:rPr>
        <w:t>4</w:t>
      </w:r>
      <w:r w:rsidR="00A342D0">
        <w:rPr>
          <w:rFonts w:ascii="Lato" w:hAnsi="Lato"/>
        </w:rPr>
        <w:t> </w:t>
      </w:r>
      <w:r w:rsidRPr="00834A12">
        <w:rPr>
          <w:rFonts w:ascii="Lato" w:hAnsi="Lato"/>
        </w:rPr>
        <w:t>obiekt</w:t>
      </w:r>
      <w:r w:rsidR="00AC46AC">
        <w:rPr>
          <w:rFonts w:ascii="Lato" w:hAnsi="Lato"/>
        </w:rPr>
        <w:t>y</w:t>
      </w:r>
      <w:r w:rsidRPr="00834A12">
        <w:rPr>
          <w:rFonts w:ascii="Lato" w:hAnsi="Lato"/>
        </w:rPr>
        <w:t xml:space="preserve">, co stanowi </w:t>
      </w:r>
      <w:r w:rsidR="00AC46AC">
        <w:rPr>
          <w:rFonts w:ascii="Lato" w:hAnsi="Lato"/>
        </w:rPr>
        <w:t>33,3</w:t>
      </w:r>
      <w:r w:rsidRPr="00834A12">
        <w:rPr>
          <w:rFonts w:ascii="Lato" w:hAnsi="Lato"/>
        </w:rPr>
        <w:t xml:space="preserve">% wszystkich obiektów w analizowanej grupie. To w tych grupach działania modernizacyjne mogą przynieść największe efekty energetyczne finansowe i ekologiczne. </w:t>
      </w:r>
    </w:p>
    <w:p w:rsidR="00806D69" w:rsidRPr="00834A12" w:rsidRDefault="00806D69" w:rsidP="00D77430">
      <w:pPr>
        <w:ind w:firstLine="709"/>
        <w:jc w:val="both"/>
        <w:rPr>
          <w:rFonts w:ascii="Lato" w:hAnsi="Lato"/>
        </w:rPr>
      </w:pPr>
    </w:p>
    <w:p w:rsidR="00806D69" w:rsidRPr="00834A12" w:rsidRDefault="00806D69" w:rsidP="00D77430">
      <w:pPr>
        <w:ind w:firstLine="709"/>
        <w:jc w:val="both"/>
        <w:rPr>
          <w:rFonts w:ascii="Lato" w:hAnsi="Lato"/>
        </w:rPr>
      </w:pPr>
      <w:r w:rsidRPr="00834A12">
        <w:rPr>
          <w:rFonts w:ascii="Lato" w:hAnsi="Lato"/>
        </w:rPr>
        <w:t>Zestawienie wszystkich analizowanych obiektów wraz z klasyfikacją do poszczególnych grup znajduje się w poniższej tabeli.</w:t>
      </w:r>
    </w:p>
    <w:p w:rsidR="00806D69" w:rsidRPr="00834A12" w:rsidRDefault="00806D69" w:rsidP="008F3D61">
      <w:pPr>
        <w:ind w:firstLine="709"/>
        <w:rPr>
          <w:rFonts w:ascii="Lato" w:hAnsi="Lato"/>
        </w:rPr>
      </w:pPr>
    </w:p>
    <w:p w:rsidR="00806D69" w:rsidRPr="00834A12" w:rsidRDefault="00806D69" w:rsidP="00806D69">
      <w:pPr>
        <w:pStyle w:val="Legenda"/>
        <w:rPr>
          <w:rFonts w:ascii="Lato" w:hAnsi="Lato"/>
          <w:color w:val="1F497D"/>
          <w:sz w:val="20"/>
          <w:szCs w:val="20"/>
        </w:rPr>
      </w:pPr>
      <w:bookmarkStart w:id="564" w:name="_Toc282111088"/>
      <w:bookmarkStart w:id="565" w:name="_Toc328984534"/>
      <w:bookmarkStart w:id="566" w:name="_Toc413090808"/>
      <w:bookmarkStart w:id="567" w:name="_Toc430598899"/>
      <w:bookmarkStart w:id="568" w:name="_Toc8035246"/>
      <w:bookmarkStart w:id="569" w:name="_Toc20219208"/>
      <w:r w:rsidRPr="00834A12">
        <w:rPr>
          <w:rFonts w:ascii="Lato" w:hAnsi="Lato"/>
          <w:bCs/>
          <w:color w:val="1F497D"/>
          <w:sz w:val="20"/>
          <w:szCs w:val="20"/>
        </w:rPr>
        <w:lastRenderedPageBreak/>
        <w:t xml:space="preserve">Tabela </w:t>
      </w:r>
      <w:r w:rsidRPr="00834A12">
        <w:rPr>
          <w:rFonts w:ascii="Lato" w:hAnsi="Lato"/>
          <w:bCs/>
          <w:color w:val="1F497D"/>
          <w:sz w:val="20"/>
          <w:szCs w:val="20"/>
        </w:rPr>
        <w:fldChar w:fldCharType="begin"/>
      </w:r>
      <w:r w:rsidRPr="00834A12">
        <w:rPr>
          <w:rFonts w:ascii="Lato" w:hAnsi="Lato"/>
          <w:bCs/>
          <w:color w:val="1F497D"/>
          <w:sz w:val="20"/>
          <w:szCs w:val="20"/>
        </w:rPr>
        <w:instrText xml:space="preserve"> STYLEREF 1 \s </w:instrText>
      </w:r>
      <w:r w:rsidRPr="00834A12">
        <w:rPr>
          <w:rFonts w:ascii="Lato" w:hAnsi="Lato"/>
          <w:bCs/>
          <w:color w:val="1F497D"/>
          <w:sz w:val="20"/>
          <w:szCs w:val="20"/>
        </w:rPr>
        <w:fldChar w:fldCharType="separate"/>
      </w:r>
      <w:r w:rsidR="0040205B">
        <w:rPr>
          <w:rFonts w:ascii="Lato" w:hAnsi="Lato"/>
          <w:bCs/>
          <w:noProof/>
          <w:color w:val="1F497D"/>
          <w:sz w:val="20"/>
          <w:szCs w:val="20"/>
        </w:rPr>
        <w:t>6</w:t>
      </w:r>
      <w:r w:rsidRPr="00834A12">
        <w:rPr>
          <w:rFonts w:ascii="Lato" w:hAnsi="Lato"/>
          <w:bCs/>
          <w:color w:val="1F497D"/>
          <w:sz w:val="20"/>
          <w:szCs w:val="20"/>
        </w:rPr>
        <w:fldChar w:fldCharType="end"/>
      </w:r>
      <w:r w:rsidRPr="00834A12">
        <w:rPr>
          <w:rFonts w:ascii="Lato" w:hAnsi="Lato"/>
          <w:bCs/>
          <w:color w:val="1F497D"/>
          <w:sz w:val="20"/>
          <w:szCs w:val="20"/>
        </w:rPr>
        <w:noBreakHyphen/>
      </w:r>
      <w:r w:rsidRPr="00834A12">
        <w:rPr>
          <w:rFonts w:ascii="Lato" w:hAnsi="Lato"/>
          <w:bCs/>
          <w:color w:val="1F497D"/>
          <w:sz w:val="20"/>
          <w:szCs w:val="20"/>
        </w:rPr>
        <w:fldChar w:fldCharType="begin"/>
      </w:r>
      <w:r w:rsidRPr="00834A12">
        <w:rPr>
          <w:rFonts w:ascii="Lato" w:hAnsi="Lato"/>
          <w:bCs/>
          <w:color w:val="1F497D"/>
          <w:sz w:val="20"/>
          <w:szCs w:val="20"/>
        </w:rPr>
        <w:instrText xml:space="preserve"> SEQ Tabela \* ARABIC \s 1 </w:instrText>
      </w:r>
      <w:r w:rsidRPr="00834A12">
        <w:rPr>
          <w:rFonts w:ascii="Lato" w:hAnsi="Lato"/>
          <w:bCs/>
          <w:color w:val="1F497D"/>
          <w:sz w:val="20"/>
          <w:szCs w:val="20"/>
        </w:rPr>
        <w:fldChar w:fldCharType="separate"/>
      </w:r>
      <w:r w:rsidR="0040205B">
        <w:rPr>
          <w:rFonts w:ascii="Lato" w:hAnsi="Lato"/>
          <w:bCs/>
          <w:noProof/>
          <w:color w:val="1F497D"/>
          <w:sz w:val="20"/>
          <w:szCs w:val="20"/>
        </w:rPr>
        <w:t>6</w:t>
      </w:r>
      <w:r w:rsidRPr="00834A12">
        <w:rPr>
          <w:rFonts w:ascii="Lato" w:hAnsi="Lato"/>
          <w:bCs/>
          <w:color w:val="1F497D"/>
          <w:sz w:val="20"/>
          <w:szCs w:val="20"/>
        </w:rPr>
        <w:fldChar w:fldCharType="end"/>
      </w:r>
      <w:r w:rsidRPr="00834A12">
        <w:rPr>
          <w:rFonts w:ascii="Lato" w:hAnsi="Lato"/>
          <w:bCs/>
          <w:color w:val="1F497D"/>
          <w:sz w:val="20"/>
          <w:szCs w:val="20"/>
        </w:rPr>
        <w:t xml:space="preserve"> </w:t>
      </w:r>
      <w:r w:rsidRPr="00834A12">
        <w:rPr>
          <w:rFonts w:ascii="Lato" w:hAnsi="Lato"/>
          <w:color w:val="1F497D"/>
          <w:sz w:val="20"/>
          <w:szCs w:val="20"/>
        </w:rPr>
        <w:t>Klasyfikacja obiektów do poszczególnych gryp priorytetowych</w:t>
      </w:r>
      <w:bookmarkEnd w:id="564"/>
      <w:bookmarkEnd w:id="565"/>
      <w:bookmarkEnd w:id="566"/>
      <w:bookmarkEnd w:id="567"/>
      <w:bookmarkEnd w:id="568"/>
      <w:bookmarkEnd w:id="569"/>
    </w:p>
    <w:tbl>
      <w:tblPr>
        <w:tblW w:w="0" w:type="auto"/>
        <w:jc w:val="center"/>
        <w:tblCellMar>
          <w:left w:w="70" w:type="dxa"/>
          <w:right w:w="70" w:type="dxa"/>
        </w:tblCellMar>
        <w:tblLook w:val="04A0" w:firstRow="1" w:lastRow="0" w:firstColumn="1" w:lastColumn="0" w:noHBand="0" w:noVBand="1"/>
      </w:tblPr>
      <w:tblGrid>
        <w:gridCol w:w="1488"/>
        <w:gridCol w:w="1826"/>
        <w:gridCol w:w="2710"/>
        <w:gridCol w:w="2551"/>
        <w:gridCol w:w="1430"/>
      </w:tblGrid>
      <w:tr w:rsidR="00806D69" w:rsidRPr="00834A12" w:rsidTr="008C4DDC">
        <w:trPr>
          <w:cantSplit/>
          <w:trHeight w:val="1020"/>
          <w:tblHeader/>
          <w:jc w:val="center"/>
        </w:trPr>
        <w:tc>
          <w:tcPr>
            <w:tcW w:w="1488"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Identyfikator</w:t>
            </w:r>
          </w:p>
        </w:tc>
        <w:tc>
          <w:tcPr>
            <w:tcW w:w="1826" w:type="dxa"/>
            <w:tcBorders>
              <w:top w:val="single" w:sz="4" w:space="0" w:color="4F81BD"/>
              <w:left w:val="nil"/>
              <w:bottom w:val="single" w:sz="4" w:space="0" w:color="4F81BD"/>
              <w:right w:val="single" w:sz="4" w:space="0" w:color="4F81BD"/>
            </w:tcBorders>
            <w:shd w:val="clear" w:color="000000" w:fill="DCE6F1"/>
            <w:vAlign w:val="center"/>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Powierzchnia ogrzewana</w:t>
            </w:r>
          </w:p>
        </w:tc>
        <w:tc>
          <w:tcPr>
            <w:tcW w:w="2710" w:type="dxa"/>
            <w:tcBorders>
              <w:top w:val="single" w:sz="4" w:space="0" w:color="4F81BD"/>
              <w:left w:val="nil"/>
              <w:bottom w:val="single" w:sz="4" w:space="0" w:color="4F81BD"/>
              <w:right w:val="single" w:sz="4" w:space="0" w:color="4F81BD"/>
            </w:tcBorders>
            <w:shd w:val="clear" w:color="000000" w:fill="DCE6F1"/>
            <w:vAlign w:val="center"/>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Koszty mediów energetycznych [zł]</w:t>
            </w:r>
          </w:p>
        </w:tc>
        <w:tc>
          <w:tcPr>
            <w:tcW w:w="2551" w:type="dxa"/>
            <w:tcBorders>
              <w:top w:val="single" w:sz="4" w:space="0" w:color="4F81BD"/>
              <w:left w:val="nil"/>
              <w:bottom w:val="single" w:sz="4" w:space="0" w:color="4F81BD"/>
              <w:right w:val="single" w:sz="4" w:space="0" w:color="4F81BD"/>
            </w:tcBorders>
            <w:shd w:val="clear" w:color="000000" w:fill="DCE6F1"/>
            <w:vAlign w:val="center"/>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Jednostkowe zużycie energii [GJ/m</w:t>
            </w:r>
            <w:r w:rsidRPr="00834A12">
              <w:rPr>
                <w:rFonts w:ascii="Lato" w:hAnsi="Lato"/>
                <w:color w:val="365F91"/>
                <w:sz w:val="20"/>
                <w:szCs w:val="20"/>
                <w:vertAlign w:val="superscript"/>
              </w:rPr>
              <w:t>2</w:t>
            </w:r>
            <w:r w:rsidRPr="00834A12">
              <w:rPr>
                <w:rFonts w:ascii="Lato" w:hAnsi="Lato"/>
                <w:color w:val="365F91"/>
                <w:sz w:val="20"/>
                <w:szCs w:val="20"/>
              </w:rPr>
              <w:t>]</w:t>
            </w:r>
          </w:p>
        </w:tc>
        <w:tc>
          <w:tcPr>
            <w:tcW w:w="1430" w:type="dxa"/>
            <w:tcBorders>
              <w:top w:val="single" w:sz="4" w:space="0" w:color="4F81BD"/>
              <w:left w:val="nil"/>
              <w:bottom w:val="single" w:sz="4" w:space="0" w:color="4F81BD"/>
              <w:right w:val="single" w:sz="4" w:space="0" w:color="4F81BD"/>
            </w:tcBorders>
            <w:shd w:val="clear" w:color="000000" w:fill="DCE6F1"/>
            <w:vAlign w:val="center"/>
            <w:hideMark/>
          </w:tcPr>
          <w:p w:rsidR="00806D69" w:rsidRPr="00834A12" w:rsidRDefault="00806D69" w:rsidP="008C4DDC">
            <w:pPr>
              <w:spacing w:line="240" w:lineRule="auto"/>
              <w:ind w:firstLine="0"/>
              <w:jc w:val="center"/>
              <w:rPr>
                <w:rFonts w:ascii="Lato" w:hAnsi="Lato"/>
                <w:color w:val="365F91"/>
                <w:sz w:val="20"/>
                <w:szCs w:val="20"/>
              </w:rPr>
            </w:pPr>
            <w:r w:rsidRPr="00834A12">
              <w:rPr>
                <w:rFonts w:ascii="Lato" w:hAnsi="Lato"/>
                <w:color w:val="365F91"/>
                <w:sz w:val="20"/>
                <w:szCs w:val="20"/>
              </w:rPr>
              <w:t>GRUPA</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SP_Olz</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941</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83 577</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1,14</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G1</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ZSP_Gorz</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1 878</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60 761</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0,97</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G1</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SP2</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453</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12 176</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0,97</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G2</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UG</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781</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21 620</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0,92</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G2</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BG_Bel</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440</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11 721</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0,89</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G2</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PP_Czyż</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450</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11 640</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0,79</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G2</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SP_Blu</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1 385</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81 476</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0,75</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G1</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SP_Czyż</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2 835</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62 625</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0,73</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G1</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GBP</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230</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5 453</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0,71</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G2</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PP_Turz</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1 276</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28 194</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0,69</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G2</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SP_Rog</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2 061</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106 740</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0,66</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G1</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SP_Turz</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3 924</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80 824</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0,65</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G1</w:t>
            </w:r>
          </w:p>
        </w:tc>
      </w:tr>
      <w:tr w:rsidR="00806D69" w:rsidRPr="00834A12" w:rsidTr="008C4DDC">
        <w:trPr>
          <w:trHeight w:val="362"/>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PP_Rog</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1 100</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20 787</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0,54</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G2</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GCK_Straz</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1 280</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21 225</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0,53</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G2</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GCK_Szk</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621</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10 600</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0,51</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G2</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UG_Bog</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1 047</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16 038</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0,51</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G2</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GCK_Kop</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650</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9 744</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0,46</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G2</w:t>
            </w:r>
          </w:p>
        </w:tc>
      </w:tr>
      <w:tr w:rsidR="00806D69" w:rsidRPr="00834A12" w:rsidTr="008C4DDC">
        <w:trPr>
          <w:trHeight w:val="300"/>
          <w:jc w:val="center"/>
        </w:trPr>
        <w:tc>
          <w:tcPr>
            <w:tcW w:w="1488" w:type="dxa"/>
            <w:tcBorders>
              <w:top w:val="nil"/>
              <w:left w:val="single" w:sz="4" w:space="0" w:color="4F81BD"/>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SP_PKU_Gorz</w:t>
            </w:r>
          </w:p>
        </w:tc>
        <w:tc>
          <w:tcPr>
            <w:tcW w:w="1826"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3 838</w:t>
            </w:r>
          </w:p>
        </w:tc>
        <w:tc>
          <w:tcPr>
            <w:tcW w:w="271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83 180</w:t>
            </w:r>
          </w:p>
        </w:tc>
        <w:tc>
          <w:tcPr>
            <w:tcW w:w="2551"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0,46</w:t>
            </w:r>
          </w:p>
        </w:tc>
        <w:tc>
          <w:tcPr>
            <w:tcW w:w="1430" w:type="dxa"/>
            <w:tcBorders>
              <w:top w:val="nil"/>
              <w:left w:val="nil"/>
              <w:bottom w:val="single" w:sz="4" w:space="0" w:color="4F81BD"/>
              <w:right w:val="single" w:sz="4" w:space="0" w:color="4F81BD"/>
            </w:tcBorders>
            <w:shd w:val="clear" w:color="000000" w:fill="FFFFFF"/>
            <w:vAlign w:val="bottom"/>
          </w:tcPr>
          <w:p w:rsidR="00806D69" w:rsidRPr="00834A12" w:rsidRDefault="00806D69" w:rsidP="008C4DDC">
            <w:pPr>
              <w:ind w:firstLine="0"/>
              <w:jc w:val="center"/>
              <w:rPr>
                <w:rFonts w:ascii="Lato" w:hAnsi="Lato"/>
                <w:color w:val="1F497D"/>
                <w:sz w:val="18"/>
                <w:szCs w:val="18"/>
              </w:rPr>
            </w:pPr>
            <w:r w:rsidRPr="00834A12">
              <w:rPr>
                <w:rFonts w:ascii="Lato" w:hAnsi="Lato"/>
                <w:color w:val="1F497D"/>
                <w:sz w:val="18"/>
                <w:szCs w:val="18"/>
              </w:rPr>
              <w:t>G1</w:t>
            </w:r>
          </w:p>
        </w:tc>
      </w:tr>
    </w:tbl>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806D69" w:rsidRPr="00834A12" w:rsidRDefault="00806D69" w:rsidP="00806D69">
      <w:pPr>
        <w:ind w:firstLine="0"/>
        <w:rPr>
          <w:rFonts w:ascii="Lato" w:hAnsi="Lato"/>
        </w:rPr>
      </w:pPr>
    </w:p>
    <w:p w:rsidR="00DE3918" w:rsidRPr="00834A12" w:rsidRDefault="00806D69" w:rsidP="00D77430">
      <w:pPr>
        <w:ind w:firstLine="709"/>
        <w:jc w:val="both"/>
        <w:rPr>
          <w:rFonts w:ascii="Lato" w:hAnsi="Lato"/>
        </w:rPr>
      </w:pPr>
      <w:r w:rsidRPr="00834A12">
        <w:rPr>
          <w:rFonts w:ascii="Lato" w:hAnsi="Lato"/>
        </w:rPr>
        <w:t xml:space="preserve">Łączny potencjał oszczędności energii dla analizowanej grupy budynków użyteczności publicznej wynosi ok. </w:t>
      </w:r>
      <w:r w:rsidR="009D5F2A">
        <w:rPr>
          <w:rFonts w:ascii="Lato" w:hAnsi="Lato"/>
        </w:rPr>
        <w:t>672</w:t>
      </w:r>
      <w:r w:rsidRPr="00834A12">
        <w:rPr>
          <w:rFonts w:ascii="Lato" w:hAnsi="Lato"/>
        </w:rPr>
        <w:t xml:space="preserve"> GJ/rok co stanowi ok. </w:t>
      </w:r>
      <w:r w:rsidR="009D5F2A">
        <w:rPr>
          <w:rFonts w:ascii="Lato" w:hAnsi="Lato"/>
        </w:rPr>
        <w:t>18</w:t>
      </w:r>
      <w:r w:rsidRPr="00834A12">
        <w:rPr>
          <w:rFonts w:ascii="Lato" w:hAnsi="Lato"/>
        </w:rPr>
        <w:t>% aktualnego zużycia energii w grupie.</w:t>
      </w:r>
    </w:p>
    <w:p w:rsidR="00DE3918" w:rsidRPr="00834A12" w:rsidRDefault="00DE3918" w:rsidP="00DE3918">
      <w:pPr>
        <w:jc w:val="both"/>
        <w:rPr>
          <w:rFonts w:ascii="Lato" w:hAnsi="Lato"/>
        </w:rPr>
      </w:pPr>
    </w:p>
    <w:p w:rsidR="006B024A" w:rsidRPr="003F7B25" w:rsidRDefault="006B024A" w:rsidP="00AB431C">
      <w:pPr>
        <w:pStyle w:val="Akapitzlist"/>
        <w:keepNext/>
        <w:numPr>
          <w:ilvl w:val="2"/>
          <w:numId w:val="38"/>
        </w:numPr>
        <w:tabs>
          <w:tab w:val="left" w:pos="709"/>
        </w:tabs>
        <w:spacing w:before="180" w:after="180" w:line="288" w:lineRule="auto"/>
        <w:ind w:left="709" w:hanging="709"/>
        <w:jc w:val="both"/>
        <w:outlineLvl w:val="2"/>
        <w:rPr>
          <w:rFonts w:ascii="Lato" w:hAnsi="Lato"/>
          <w:color w:val="365F91"/>
          <w:lang w:eastAsia="en-US"/>
        </w:rPr>
      </w:pPr>
      <w:bookmarkStart w:id="570" w:name="_Toc20218537"/>
      <w:r w:rsidRPr="003F7B25">
        <w:rPr>
          <w:rFonts w:ascii="Lato" w:hAnsi="Lato"/>
          <w:color w:val="365F91"/>
          <w:lang w:eastAsia="en-US"/>
        </w:rPr>
        <w:t>Zarządzanie energią w budynkach użyteczności publicznej</w:t>
      </w:r>
      <w:bookmarkEnd w:id="469"/>
      <w:bookmarkEnd w:id="470"/>
      <w:bookmarkEnd w:id="570"/>
    </w:p>
    <w:bookmarkEnd w:id="465"/>
    <w:p w:rsidR="006B024A" w:rsidRPr="00D77430" w:rsidRDefault="006B024A" w:rsidP="00D77430">
      <w:pPr>
        <w:ind w:firstLine="709"/>
        <w:jc w:val="both"/>
        <w:rPr>
          <w:rFonts w:ascii="Lato" w:hAnsi="Lato"/>
          <w:szCs w:val="22"/>
        </w:rPr>
      </w:pPr>
      <w:r w:rsidRPr="00D77430">
        <w:rPr>
          <w:rFonts w:ascii="Lato" w:hAnsi="Lato"/>
          <w:szCs w:val="22"/>
        </w:rPr>
        <w:t>Niezależni</w:t>
      </w:r>
      <w:r w:rsidR="001D1506" w:rsidRPr="00D77430">
        <w:rPr>
          <w:rFonts w:ascii="Lato" w:hAnsi="Lato"/>
          <w:szCs w:val="22"/>
        </w:rPr>
        <w:t xml:space="preserve">e od realizacji </w:t>
      </w:r>
      <w:r w:rsidR="00AD3B4E" w:rsidRPr="00D77430">
        <w:rPr>
          <w:rFonts w:ascii="Lato" w:hAnsi="Lato"/>
          <w:szCs w:val="22"/>
        </w:rPr>
        <w:t>działań termomodernizacyjnych</w:t>
      </w:r>
      <w:r w:rsidR="001D1506" w:rsidRPr="00D77430">
        <w:rPr>
          <w:rFonts w:ascii="Lato" w:hAnsi="Lato"/>
          <w:szCs w:val="22"/>
        </w:rPr>
        <w:t xml:space="preserve"> w </w:t>
      </w:r>
      <w:r w:rsidR="003F1C87" w:rsidRPr="00D77430">
        <w:rPr>
          <w:rFonts w:ascii="Lato" w:hAnsi="Lato"/>
          <w:szCs w:val="22"/>
        </w:rPr>
        <w:t xml:space="preserve">Gminie </w:t>
      </w:r>
      <w:r w:rsidR="003F7B25" w:rsidRPr="00D77430">
        <w:rPr>
          <w:rFonts w:ascii="Lato" w:hAnsi="Lato"/>
          <w:szCs w:val="22"/>
        </w:rPr>
        <w:t>Pabianice</w:t>
      </w:r>
      <w:r w:rsidR="003F1C87" w:rsidRPr="00D77430">
        <w:rPr>
          <w:rFonts w:ascii="Lato" w:hAnsi="Lato"/>
          <w:szCs w:val="22"/>
        </w:rPr>
        <w:t xml:space="preserve"> </w:t>
      </w:r>
      <w:r w:rsidR="00D03562">
        <w:rPr>
          <w:rFonts w:ascii="Lato" w:hAnsi="Lato"/>
          <w:szCs w:val="22"/>
        </w:rPr>
        <w:t>proponuje się </w:t>
      </w:r>
      <w:r w:rsidRPr="00D77430">
        <w:rPr>
          <w:rFonts w:ascii="Lato" w:hAnsi="Lato"/>
          <w:szCs w:val="22"/>
        </w:rPr>
        <w:t>realizację programu „</w:t>
      </w:r>
      <w:r w:rsidRPr="00D77430">
        <w:rPr>
          <w:rFonts w:ascii="Lato" w:hAnsi="Lato"/>
          <w:b/>
          <w:szCs w:val="22"/>
        </w:rPr>
        <w:t>Zarządzania energią w budynkach użyteczności publicznej</w:t>
      </w:r>
      <w:r w:rsidRPr="00D77430">
        <w:rPr>
          <w:rFonts w:ascii="Lato" w:hAnsi="Lato"/>
          <w:szCs w:val="22"/>
        </w:rPr>
        <w:t>”.</w:t>
      </w:r>
    </w:p>
    <w:p w:rsidR="003F1C87" w:rsidRPr="00D77430" w:rsidRDefault="006B024A" w:rsidP="00D77430">
      <w:pPr>
        <w:ind w:firstLine="709"/>
        <w:jc w:val="both"/>
        <w:rPr>
          <w:rFonts w:ascii="Lato" w:hAnsi="Lato"/>
          <w:szCs w:val="22"/>
        </w:rPr>
      </w:pPr>
      <w:r w:rsidRPr="00D77430">
        <w:rPr>
          <w:rFonts w:ascii="Lato" w:hAnsi="Lato"/>
          <w:szCs w:val="22"/>
        </w:rPr>
        <w:t>Zarządzanie budynkami odbywa się na dwóch poziomach: zarządzania pojedynczym budynkiem, zarządzania zespołem budynków (związane z długo</w:t>
      </w:r>
      <w:r w:rsidR="00D77430" w:rsidRPr="00D77430">
        <w:rPr>
          <w:rFonts w:ascii="Lato" w:hAnsi="Lato"/>
          <w:szCs w:val="22"/>
        </w:rPr>
        <w:t>terminowymi decyzjami, często o </w:t>
      </w:r>
      <w:r w:rsidRPr="00D77430">
        <w:rPr>
          <w:rFonts w:ascii="Lato" w:hAnsi="Lato"/>
          <w:szCs w:val="22"/>
        </w:rPr>
        <w:t xml:space="preserve">charakterze strategicznym). </w:t>
      </w:r>
    </w:p>
    <w:p w:rsidR="006B024A" w:rsidRPr="00D77430" w:rsidRDefault="006B024A" w:rsidP="00D77430">
      <w:pPr>
        <w:ind w:firstLine="0"/>
        <w:jc w:val="both"/>
        <w:rPr>
          <w:rFonts w:ascii="Lato" w:hAnsi="Lato"/>
          <w:szCs w:val="22"/>
        </w:rPr>
      </w:pPr>
      <w:r w:rsidRPr="00D77430">
        <w:rPr>
          <w:rFonts w:ascii="Lato" w:hAnsi="Lato"/>
          <w:szCs w:val="22"/>
        </w:rPr>
        <w:t>Zarządzanie budynkiem z punktu widzenia energii to m. in.:</w:t>
      </w:r>
    </w:p>
    <w:p w:rsidR="006B024A" w:rsidRPr="00D77430" w:rsidRDefault="006B024A" w:rsidP="00D77430">
      <w:pPr>
        <w:pStyle w:val="Tekstpodstawowy"/>
        <w:numPr>
          <w:ilvl w:val="0"/>
          <w:numId w:val="83"/>
        </w:numPr>
        <w:tabs>
          <w:tab w:val="clear" w:pos="360"/>
        </w:tabs>
        <w:ind w:left="709" w:hanging="425"/>
        <w:rPr>
          <w:rFonts w:ascii="Lato" w:hAnsi="Lato" w:cs="Times New Roman"/>
        </w:rPr>
      </w:pPr>
      <w:r w:rsidRPr="00D77430">
        <w:rPr>
          <w:rFonts w:ascii="Lato" w:hAnsi="Lato" w:cs="Times New Roman"/>
        </w:rPr>
        <w:t>określenie zużycia poszczególnych nośników energii,</w:t>
      </w:r>
    </w:p>
    <w:p w:rsidR="006B024A" w:rsidRPr="00D77430" w:rsidRDefault="006B024A" w:rsidP="00D77430">
      <w:pPr>
        <w:pStyle w:val="Tekstpodstawowy"/>
        <w:numPr>
          <w:ilvl w:val="0"/>
          <w:numId w:val="83"/>
        </w:numPr>
        <w:tabs>
          <w:tab w:val="clear" w:pos="360"/>
        </w:tabs>
        <w:ind w:left="709" w:hanging="425"/>
        <w:rPr>
          <w:rFonts w:ascii="Lato" w:hAnsi="Lato" w:cs="Times New Roman"/>
        </w:rPr>
      </w:pPr>
      <w:r w:rsidRPr="00D77430">
        <w:rPr>
          <w:rFonts w:ascii="Lato" w:hAnsi="Lato" w:cs="Times New Roman"/>
        </w:rPr>
        <w:t>określenie sezonowych zmian zużycia energii,</w:t>
      </w:r>
    </w:p>
    <w:p w:rsidR="006B024A" w:rsidRPr="00D77430" w:rsidRDefault="006B024A" w:rsidP="00D77430">
      <w:pPr>
        <w:pStyle w:val="Tekstpodstawowy"/>
        <w:numPr>
          <w:ilvl w:val="0"/>
          <w:numId w:val="83"/>
        </w:numPr>
        <w:tabs>
          <w:tab w:val="clear" w:pos="360"/>
        </w:tabs>
        <w:ind w:left="709" w:hanging="425"/>
        <w:rPr>
          <w:rFonts w:ascii="Lato" w:hAnsi="Lato" w:cs="Times New Roman"/>
        </w:rPr>
      </w:pPr>
      <w:r w:rsidRPr="00D77430">
        <w:rPr>
          <w:rFonts w:ascii="Lato" w:hAnsi="Lato" w:cs="Times New Roman"/>
        </w:rPr>
        <w:t>określenie sposobów zmniejszenia zużycia energii (audyt),</w:t>
      </w:r>
    </w:p>
    <w:p w:rsidR="006B024A" w:rsidRPr="00D77430" w:rsidRDefault="006B024A" w:rsidP="00D77430">
      <w:pPr>
        <w:pStyle w:val="Tekstpodstawowy"/>
        <w:numPr>
          <w:ilvl w:val="0"/>
          <w:numId w:val="83"/>
        </w:numPr>
        <w:tabs>
          <w:tab w:val="clear" w:pos="360"/>
        </w:tabs>
        <w:ind w:left="709" w:hanging="425"/>
        <w:rPr>
          <w:rFonts w:ascii="Lato" w:hAnsi="Lato" w:cs="Times New Roman"/>
        </w:rPr>
      </w:pPr>
      <w:r w:rsidRPr="00D77430">
        <w:rPr>
          <w:rFonts w:ascii="Lato" w:hAnsi="Lato" w:cs="Times New Roman"/>
        </w:rPr>
        <w:t>hierarchizacja przedsięwzięć mających na celu oszczędność energii,</w:t>
      </w:r>
    </w:p>
    <w:p w:rsidR="006B024A" w:rsidRPr="00D77430" w:rsidRDefault="006B024A" w:rsidP="00D77430">
      <w:pPr>
        <w:pStyle w:val="Tekstpodstawowy"/>
        <w:numPr>
          <w:ilvl w:val="0"/>
          <w:numId w:val="83"/>
        </w:numPr>
        <w:tabs>
          <w:tab w:val="clear" w:pos="360"/>
        </w:tabs>
        <w:ind w:left="709" w:hanging="425"/>
        <w:rPr>
          <w:rFonts w:ascii="Lato" w:hAnsi="Lato" w:cs="Times New Roman"/>
        </w:rPr>
      </w:pPr>
      <w:r w:rsidRPr="00D77430">
        <w:rPr>
          <w:rFonts w:ascii="Lato" w:hAnsi="Lato" w:cs="Times New Roman"/>
        </w:rPr>
        <w:t>wprowadzanie w życie poszczególnych metod racjonalnej gospodarki energią,</w:t>
      </w:r>
    </w:p>
    <w:p w:rsidR="006B024A" w:rsidRPr="00D77430" w:rsidRDefault="006B024A" w:rsidP="00D77430">
      <w:pPr>
        <w:pStyle w:val="Tekstpodstawowy"/>
        <w:numPr>
          <w:ilvl w:val="0"/>
          <w:numId w:val="83"/>
        </w:numPr>
        <w:tabs>
          <w:tab w:val="clear" w:pos="360"/>
        </w:tabs>
        <w:ind w:left="709" w:hanging="425"/>
        <w:rPr>
          <w:rFonts w:ascii="Lato" w:hAnsi="Lato" w:cs="Times New Roman"/>
        </w:rPr>
      </w:pPr>
      <w:r w:rsidRPr="00D77430">
        <w:rPr>
          <w:rFonts w:ascii="Lato" w:hAnsi="Lato" w:cs="Times New Roman"/>
        </w:rPr>
        <w:t>dokumentowanie podejmowanych działań,</w:t>
      </w:r>
    </w:p>
    <w:p w:rsidR="006B024A" w:rsidRPr="00D77430" w:rsidRDefault="006B024A" w:rsidP="00D77430">
      <w:pPr>
        <w:pStyle w:val="Tekstpodstawowy"/>
        <w:numPr>
          <w:ilvl w:val="0"/>
          <w:numId w:val="83"/>
        </w:numPr>
        <w:tabs>
          <w:tab w:val="clear" w:pos="360"/>
        </w:tabs>
        <w:ind w:left="709" w:hanging="425"/>
        <w:rPr>
          <w:rFonts w:ascii="Lato" w:hAnsi="Lato" w:cs="Times New Roman"/>
        </w:rPr>
      </w:pPr>
      <w:r w:rsidRPr="00D77430">
        <w:rPr>
          <w:rFonts w:ascii="Lato" w:hAnsi="Lato" w:cs="Times New Roman"/>
        </w:rPr>
        <w:lastRenderedPageBreak/>
        <w:t>raportowanie.</w:t>
      </w:r>
    </w:p>
    <w:p w:rsidR="006B024A" w:rsidRPr="00A27F82" w:rsidRDefault="006B024A" w:rsidP="005521FA">
      <w:pPr>
        <w:ind w:firstLine="709"/>
        <w:jc w:val="both"/>
        <w:rPr>
          <w:rFonts w:ascii="Lato" w:hAnsi="Lato"/>
          <w:szCs w:val="22"/>
        </w:rPr>
      </w:pPr>
      <w:r w:rsidRPr="00A27F82">
        <w:rPr>
          <w:rFonts w:ascii="Lato" w:hAnsi="Lato"/>
          <w:szCs w:val="22"/>
        </w:rPr>
        <w:t>Poprzez szkolenia zarządców oraz zbieranie i analizę danych dotyczących budynków istnieje możliwość wykorzystania wszystkich opłacalnych (bezinwestycyjnych lub niskonakładowych) możliwości zmniejszenia kosztów eksploatacji budynków. Taka baza danych jest również niezastąpionym narzędziem ułatwiającym przygotowanie gminnych, powiatowych planów modernizacji budynków użyteczności publicznej (określenie zadań prioryteto</w:t>
      </w:r>
      <w:r w:rsidR="005521FA" w:rsidRPr="00A27F82">
        <w:rPr>
          <w:rFonts w:ascii="Lato" w:hAnsi="Lato"/>
          <w:szCs w:val="22"/>
        </w:rPr>
        <w:t>wych oraz źródeł finansowania i </w:t>
      </w:r>
      <w:r w:rsidRPr="00A27F82">
        <w:rPr>
          <w:rFonts w:ascii="Lato" w:hAnsi="Lato"/>
          <w:szCs w:val="22"/>
        </w:rPr>
        <w:t>harmonogramu działań).</w:t>
      </w:r>
    </w:p>
    <w:p w:rsidR="006B024A" w:rsidRPr="00A27F82" w:rsidRDefault="006B024A" w:rsidP="00D77430">
      <w:pPr>
        <w:ind w:firstLine="0"/>
        <w:jc w:val="both"/>
        <w:rPr>
          <w:rFonts w:ascii="Lato" w:hAnsi="Lato"/>
          <w:szCs w:val="22"/>
        </w:rPr>
      </w:pPr>
      <w:r w:rsidRPr="00A27F82">
        <w:rPr>
          <w:rFonts w:ascii="Lato" w:hAnsi="Lato"/>
          <w:szCs w:val="22"/>
        </w:rPr>
        <w:t>Co można osiągnąć poprzez odpowiednie zarządzanie infrastrukturą?</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zmniejszenie kosztów eksploatacyjnych budynków,</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 xml:space="preserve">zmniejszenie zużycia energii od 3 do 15% w sposób bezinwestycyjny lub niskonakładowy oraz nawet </w:t>
      </w:r>
      <w:r w:rsidR="003F1C87" w:rsidRPr="00A27F82">
        <w:rPr>
          <w:rFonts w:ascii="Lato" w:hAnsi="Lato" w:cs="Times New Roman"/>
        </w:rPr>
        <w:tab/>
      </w:r>
      <w:r w:rsidRPr="00A27F82">
        <w:rPr>
          <w:rFonts w:ascii="Lato" w:hAnsi="Lato" w:cs="Times New Roman"/>
        </w:rPr>
        <w:t>do 60% poprzez działania inwestycyjne,</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kontrolę nad zarządzanymi budynkami,</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poprawę stanu technicznego budynków,</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zmniejszenie zanieczyszczenia środowiska wynikającego z eksploatacji budynków,</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uporządkowanie i skatalogowanie wszystkich zasobów,</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ujednolicenie formy informacji o zasobach,</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wiedzę na temat stanu technicznego posiadanych budynków,</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wiedzę o zużyciu i kosztach mediów w zarządzanych budynkach,</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pomoc w przygotowywaniu różnego rodzaju raportów,</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pomoc w zaplanowaniu i hierarchizacji inwestycji (przede wszystkim wybór budynków, w</w:t>
      </w:r>
      <w:r w:rsidR="004B3D29" w:rsidRPr="00A27F82">
        <w:rPr>
          <w:rFonts w:ascii="Lato" w:hAnsi="Lato" w:cs="Times New Roman"/>
        </w:rPr>
        <w:t> </w:t>
      </w:r>
      <w:r w:rsidR="003F1C87" w:rsidRPr="00A27F82">
        <w:rPr>
          <w:rFonts w:ascii="Lato" w:hAnsi="Lato" w:cs="Times New Roman"/>
        </w:rPr>
        <w:t>których w</w:t>
      </w:r>
      <w:r w:rsidR="00A342D0">
        <w:rPr>
          <w:rFonts w:ascii="Lato" w:hAnsi="Lato" w:cs="Times New Roman"/>
        </w:rPr>
        <w:t xml:space="preserve"> </w:t>
      </w:r>
      <w:r w:rsidRPr="00A27F82">
        <w:rPr>
          <w:rFonts w:ascii="Lato" w:hAnsi="Lato" w:cs="Times New Roman"/>
        </w:rPr>
        <w:t>pierwszej kolejności powinien zostać wykonany audyt i przeprowadzone prace termomodernizacyjne),</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pomoc w realizacji polityki zrównoważonego rozwoju w gminach,</w:t>
      </w:r>
    </w:p>
    <w:p w:rsidR="006B024A" w:rsidRPr="00A27F82" w:rsidRDefault="006B024A" w:rsidP="00D77430">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pomoc w opracowywaniu planów termomodernizacyjnych dla gmin i powiatów.</w:t>
      </w:r>
    </w:p>
    <w:p w:rsidR="00A342D0" w:rsidRDefault="00A342D0" w:rsidP="00D77430">
      <w:pPr>
        <w:ind w:firstLine="709"/>
        <w:jc w:val="both"/>
        <w:rPr>
          <w:rFonts w:ascii="Lato" w:hAnsi="Lato"/>
          <w:szCs w:val="22"/>
        </w:rPr>
      </w:pPr>
    </w:p>
    <w:p w:rsidR="006B024A" w:rsidRPr="00A27F82" w:rsidRDefault="006B024A" w:rsidP="00D77430">
      <w:pPr>
        <w:ind w:firstLine="709"/>
        <w:jc w:val="both"/>
        <w:rPr>
          <w:rFonts w:ascii="Lato" w:hAnsi="Lato"/>
          <w:szCs w:val="22"/>
        </w:rPr>
      </w:pPr>
      <w:r w:rsidRPr="00A27F82">
        <w:rPr>
          <w:rFonts w:ascii="Lato" w:hAnsi="Lato"/>
          <w:szCs w:val="22"/>
        </w:rPr>
        <w:t>Odpowiednie zarządzanie energetyczne w budynkach daje więc szereg korzyści</w:t>
      </w:r>
      <w:r w:rsidR="008238E8" w:rsidRPr="00A27F82">
        <w:rPr>
          <w:rFonts w:ascii="Lato" w:hAnsi="Lato"/>
          <w:szCs w:val="22"/>
        </w:rPr>
        <w:t>,</w:t>
      </w:r>
      <w:r w:rsidRPr="00A27F82">
        <w:rPr>
          <w:rFonts w:ascii="Lato" w:hAnsi="Lato"/>
          <w:szCs w:val="22"/>
        </w:rPr>
        <w:t xml:space="preserve"> ale i wymaga od zarządcy, administratora oraz użytkowników podjęcia szero</w:t>
      </w:r>
      <w:r w:rsidR="000B5D2C" w:rsidRPr="00A27F82">
        <w:rPr>
          <w:rFonts w:ascii="Lato" w:hAnsi="Lato"/>
          <w:szCs w:val="22"/>
        </w:rPr>
        <w:t>kiej gamy działań, współpracy i </w:t>
      </w:r>
      <w:r w:rsidRPr="00A27F82">
        <w:rPr>
          <w:rFonts w:ascii="Lato" w:hAnsi="Lato"/>
          <w:szCs w:val="22"/>
        </w:rPr>
        <w:t>zaangażowania. Działania w ramach zarządzania energetycznego przedstawiono na poniższym schemacie:</w:t>
      </w:r>
    </w:p>
    <w:p w:rsidR="006B024A" w:rsidRPr="00D352C4" w:rsidRDefault="006B024A" w:rsidP="00D77430">
      <w:pPr>
        <w:jc w:val="both"/>
        <w:rPr>
          <w:rFonts w:ascii="Lato" w:hAnsi="Lato"/>
          <w:szCs w:val="22"/>
          <w:highlight w:val="yellow"/>
        </w:rPr>
      </w:pPr>
    </w:p>
    <w:p w:rsidR="006B024A" w:rsidRPr="008F3D61" w:rsidRDefault="0006260E" w:rsidP="006B024A">
      <w:pPr>
        <w:pStyle w:val="StylTekstpodstawowyArial11pt"/>
        <w:rPr>
          <w:rFonts w:ascii="Lato" w:hAnsi="Lato"/>
        </w:rPr>
      </w:pPr>
      <w:r>
        <w:rPr>
          <w:rFonts w:ascii="Lato" w:hAnsi="Lato"/>
          <w:noProof/>
        </w:rPr>
        <w:lastRenderedPageBreak/>
        <mc:AlternateContent>
          <mc:Choice Requires="wpg">
            <w:drawing>
              <wp:inline distT="0" distB="0" distL="0" distR="0" wp14:anchorId="47CEE380" wp14:editId="66FA8BB3">
                <wp:extent cx="5943600" cy="5372100"/>
                <wp:effectExtent l="0" t="0" r="0" b="0"/>
                <wp:docPr id="40"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372100"/>
                          <a:chOff x="1247" y="6827"/>
                          <a:chExt cx="9360" cy="8460"/>
                        </a:xfrm>
                      </wpg:grpSpPr>
                      <wps:wsp>
                        <wps:cNvPr id="98" name="Text Box 679"/>
                        <wps:cNvSpPr txBox="1">
                          <a:spLocks noChangeArrowheads="1"/>
                        </wps:cNvSpPr>
                        <wps:spPr bwMode="auto">
                          <a:xfrm>
                            <a:off x="1247" y="6827"/>
                            <a:ext cx="9360" cy="7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shd w:val="clear" w:color="auto" w:fill="4F81BD"/>
                                <w:tblLayout w:type="fixed"/>
                                <w:tblLook w:val="01E0" w:firstRow="1" w:lastRow="1" w:firstColumn="1" w:lastColumn="1" w:noHBand="0" w:noVBand="0"/>
                              </w:tblPr>
                              <w:tblGrid>
                                <w:gridCol w:w="2088"/>
                                <w:gridCol w:w="4500"/>
                                <w:gridCol w:w="2484"/>
                              </w:tblGrid>
                              <w:tr w:rsidR="002B07AD" w:rsidTr="00022B1E">
                                <w:trPr>
                                  <w:trHeight w:val="183"/>
                                </w:trPr>
                                <w:tc>
                                  <w:tcPr>
                                    <w:tcW w:w="9072" w:type="dxa"/>
                                    <w:gridSpan w:val="3"/>
                                    <w:shd w:val="clear" w:color="auto" w:fill="4F81BD"/>
                                  </w:tcPr>
                                  <w:p w:rsidR="002B07AD" w:rsidRPr="00022B1E" w:rsidRDefault="002B07AD">
                                    <w:pPr>
                                      <w:spacing w:line="240" w:lineRule="auto"/>
                                      <w:jc w:val="center"/>
                                      <w:rPr>
                                        <w:rFonts w:cs="Arial"/>
                                        <w:b/>
                                        <w:color w:val="FFFFFF"/>
                                        <w:sz w:val="20"/>
                                        <w:szCs w:val="20"/>
                                      </w:rPr>
                                    </w:pPr>
                                    <w:r w:rsidRPr="00022B1E">
                                      <w:rPr>
                                        <w:rFonts w:cs="Arial"/>
                                        <w:b/>
                                        <w:color w:val="FFFFFF"/>
                                        <w:sz w:val="20"/>
                                        <w:szCs w:val="20"/>
                                      </w:rPr>
                                      <w:t>Kontrola zużycia energii</w:t>
                                    </w:r>
                                  </w:p>
                                </w:tc>
                              </w:tr>
                              <w:tr w:rsidR="002B07AD" w:rsidTr="00022B1E">
                                <w:trPr>
                                  <w:trHeight w:val="291"/>
                                </w:trPr>
                                <w:tc>
                                  <w:tcPr>
                                    <w:tcW w:w="2088" w:type="dxa"/>
                                    <w:shd w:val="clear" w:color="auto" w:fill="4F81BD"/>
                                  </w:tcPr>
                                  <w:p w:rsidR="002B07AD" w:rsidRDefault="002B07AD" w:rsidP="00AB431C">
                                    <w:pPr>
                                      <w:numPr>
                                        <w:ilvl w:val="0"/>
                                        <w:numId w:val="13"/>
                                      </w:numPr>
                                      <w:spacing w:line="240" w:lineRule="auto"/>
                                      <w:jc w:val="center"/>
                                      <w:rPr>
                                        <w:rFonts w:cs="Arial"/>
                                        <w:sz w:val="20"/>
                                        <w:szCs w:val="20"/>
                                      </w:rPr>
                                    </w:pPr>
                                    <w:r w:rsidRPr="00022B1E">
                                      <w:rPr>
                                        <w:rFonts w:cs="Arial"/>
                                        <w:color w:val="FFFFFF"/>
                                        <w:sz w:val="20"/>
                                        <w:szCs w:val="20"/>
                                      </w:rPr>
                                      <w:t>rejestracja</w:t>
                                    </w:r>
                                  </w:p>
                                </w:tc>
                                <w:tc>
                                  <w:tcPr>
                                    <w:tcW w:w="4500" w:type="dxa"/>
                                    <w:shd w:val="clear" w:color="auto" w:fill="4F81BD"/>
                                  </w:tcPr>
                                  <w:p w:rsidR="002B07AD" w:rsidRPr="00022B1E" w:rsidRDefault="002B07AD" w:rsidP="00AB431C">
                                    <w:pPr>
                                      <w:numPr>
                                        <w:ilvl w:val="0"/>
                                        <w:numId w:val="13"/>
                                      </w:numPr>
                                      <w:spacing w:line="240" w:lineRule="auto"/>
                                      <w:jc w:val="center"/>
                                      <w:rPr>
                                        <w:rFonts w:cs="Arial"/>
                                        <w:color w:val="FFFFFF"/>
                                        <w:sz w:val="20"/>
                                        <w:szCs w:val="20"/>
                                      </w:rPr>
                                    </w:pPr>
                                    <w:r w:rsidRPr="00022B1E">
                                      <w:rPr>
                                        <w:rFonts w:cs="Arial"/>
                                        <w:color w:val="FFFFFF"/>
                                        <w:sz w:val="20"/>
                                        <w:szCs w:val="20"/>
                                      </w:rPr>
                                      <w:t>uwzględnianie warunków pogodowych</w:t>
                                    </w:r>
                                  </w:p>
                                </w:tc>
                                <w:tc>
                                  <w:tcPr>
                                    <w:tcW w:w="2484" w:type="dxa"/>
                                    <w:shd w:val="clear" w:color="auto" w:fill="4F81BD"/>
                                  </w:tcPr>
                                  <w:p w:rsidR="002B07AD" w:rsidRPr="00022B1E" w:rsidRDefault="002B07AD" w:rsidP="00AB431C">
                                    <w:pPr>
                                      <w:numPr>
                                        <w:ilvl w:val="0"/>
                                        <w:numId w:val="13"/>
                                      </w:numPr>
                                      <w:spacing w:line="240" w:lineRule="auto"/>
                                      <w:jc w:val="center"/>
                                      <w:rPr>
                                        <w:rFonts w:cs="Arial"/>
                                        <w:color w:val="FFFFFF"/>
                                        <w:sz w:val="20"/>
                                        <w:szCs w:val="20"/>
                                      </w:rPr>
                                    </w:pPr>
                                    <w:r w:rsidRPr="00022B1E">
                                      <w:rPr>
                                        <w:rFonts w:cs="Arial"/>
                                        <w:color w:val="FFFFFF"/>
                                        <w:sz w:val="20"/>
                                        <w:szCs w:val="20"/>
                                      </w:rPr>
                                      <w:t>ocena zużycia</w:t>
                                    </w:r>
                                  </w:p>
                                </w:tc>
                              </w:tr>
                            </w:tbl>
                            <w:p w:rsidR="002B07AD" w:rsidRDefault="002B07AD" w:rsidP="006B024A">
                              <w:pPr>
                                <w:spacing w:line="240" w:lineRule="auto"/>
                                <w:jc w:val="center"/>
                                <w:rPr>
                                  <w:rFonts w:cs="Arial"/>
                                  <w:sz w:val="20"/>
                                  <w:szCs w:val="20"/>
                                </w:rPr>
                              </w:pPr>
                            </w:p>
                          </w:txbxContent>
                        </wps:txbx>
                        <wps:bodyPr rot="0" vert="horz" wrap="square" lIns="91440" tIns="45720" rIns="91440" bIns="45720" anchor="t" anchorCtr="0" upright="1">
                          <a:noAutofit/>
                        </wps:bodyPr>
                      </wps:wsp>
                      <wps:wsp>
                        <wps:cNvPr id="99" name="Text Box 680"/>
                        <wps:cNvSpPr txBox="1">
                          <a:spLocks noChangeArrowheads="1"/>
                        </wps:cNvSpPr>
                        <wps:spPr bwMode="auto">
                          <a:xfrm>
                            <a:off x="1247" y="8087"/>
                            <a:ext cx="9360" cy="108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1E0" w:firstRow="1" w:lastRow="1" w:firstColumn="1" w:lastColumn="1" w:noHBand="0" w:noVBand="0"/>
                              </w:tblPr>
                              <w:tblGrid>
                                <w:gridCol w:w="4536"/>
                                <w:gridCol w:w="4536"/>
                              </w:tblGrid>
                              <w:tr w:rsidR="002B07AD">
                                <w:trPr>
                                  <w:trHeight w:val="175"/>
                                  <w:jc w:val="center"/>
                                </w:trPr>
                                <w:tc>
                                  <w:tcPr>
                                    <w:tcW w:w="9072" w:type="dxa"/>
                                    <w:gridSpan w:val="2"/>
                                  </w:tcPr>
                                  <w:p w:rsidR="002B07AD" w:rsidRDefault="002B07AD">
                                    <w:pPr>
                                      <w:spacing w:line="240" w:lineRule="auto"/>
                                      <w:jc w:val="center"/>
                                      <w:rPr>
                                        <w:rFonts w:cs="Arial"/>
                                        <w:b/>
                                        <w:sz w:val="20"/>
                                        <w:szCs w:val="20"/>
                                      </w:rPr>
                                    </w:pPr>
                                    <w:r>
                                      <w:rPr>
                                        <w:rFonts w:cs="Arial"/>
                                        <w:b/>
                                        <w:sz w:val="20"/>
                                        <w:szCs w:val="20"/>
                                      </w:rPr>
                                      <w:t>Analiza budynku</w:t>
                                    </w:r>
                                  </w:p>
                                </w:tc>
                              </w:tr>
                              <w:tr w:rsidR="002B07AD">
                                <w:trPr>
                                  <w:trHeight w:val="261"/>
                                  <w:jc w:val="center"/>
                                </w:trPr>
                                <w:tc>
                                  <w:tcPr>
                                    <w:tcW w:w="4536" w:type="dxa"/>
                                  </w:tcPr>
                                  <w:p w:rsidR="002B07AD" w:rsidRDefault="002B07AD" w:rsidP="00AB431C">
                                    <w:pPr>
                                      <w:numPr>
                                        <w:ilvl w:val="0"/>
                                        <w:numId w:val="14"/>
                                      </w:numPr>
                                      <w:spacing w:line="240" w:lineRule="auto"/>
                                      <w:jc w:val="both"/>
                                      <w:rPr>
                                        <w:rFonts w:cs="Arial"/>
                                        <w:sz w:val="20"/>
                                        <w:szCs w:val="20"/>
                                      </w:rPr>
                                    </w:pPr>
                                    <w:r>
                                      <w:rPr>
                                        <w:rFonts w:cs="Arial"/>
                                        <w:sz w:val="20"/>
                                        <w:szCs w:val="20"/>
                                      </w:rPr>
                                      <w:t>rejestracja danych budynku</w:t>
                                    </w:r>
                                  </w:p>
                                </w:tc>
                                <w:tc>
                                  <w:tcPr>
                                    <w:tcW w:w="4536" w:type="dxa"/>
                                  </w:tcPr>
                                  <w:p w:rsidR="002B07AD" w:rsidRDefault="002B07AD" w:rsidP="00AB431C">
                                    <w:pPr>
                                      <w:numPr>
                                        <w:ilvl w:val="0"/>
                                        <w:numId w:val="14"/>
                                      </w:numPr>
                                      <w:spacing w:line="240" w:lineRule="auto"/>
                                      <w:jc w:val="both"/>
                                      <w:rPr>
                                        <w:rFonts w:cs="Arial"/>
                                        <w:sz w:val="20"/>
                                        <w:szCs w:val="20"/>
                                      </w:rPr>
                                    </w:pPr>
                                    <w:r>
                                      <w:rPr>
                                        <w:rFonts w:cs="Arial"/>
                                        <w:sz w:val="20"/>
                                        <w:szCs w:val="20"/>
                                      </w:rPr>
                                      <w:t>diagnoza przybliżona</w:t>
                                    </w:r>
                                  </w:p>
                                </w:tc>
                              </w:tr>
                              <w:tr w:rsidR="002B07AD">
                                <w:trPr>
                                  <w:trHeight w:val="273"/>
                                  <w:jc w:val="center"/>
                                </w:trPr>
                                <w:tc>
                                  <w:tcPr>
                                    <w:tcW w:w="4536" w:type="dxa"/>
                                  </w:tcPr>
                                  <w:p w:rsidR="002B07AD" w:rsidRDefault="002B07AD" w:rsidP="00AB431C">
                                    <w:pPr>
                                      <w:numPr>
                                        <w:ilvl w:val="0"/>
                                        <w:numId w:val="14"/>
                                      </w:numPr>
                                      <w:spacing w:line="240" w:lineRule="auto"/>
                                      <w:jc w:val="both"/>
                                      <w:rPr>
                                        <w:rFonts w:cs="Arial"/>
                                        <w:sz w:val="20"/>
                                        <w:szCs w:val="20"/>
                                      </w:rPr>
                                    </w:pPr>
                                    <w:r>
                                      <w:rPr>
                                        <w:rFonts w:cs="Arial"/>
                                        <w:sz w:val="20"/>
                                        <w:szCs w:val="20"/>
                                      </w:rPr>
                                      <w:t>diagnoza szczegółowa</w:t>
                                    </w:r>
                                  </w:p>
                                </w:tc>
                                <w:tc>
                                  <w:tcPr>
                                    <w:tcW w:w="4536" w:type="dxa"/>
                                  </w:tcPr>
                                  <w:p w:rsidR="002B07AD" w:rsidRDefault="002B07AD" w:rsidP="00AB431C">
                                    <w:pPr>
                                      <w:numPr>
                                        <w:ilvl w:val="0"/>
                                        <w:numId w:val="14"/>
                                      </w:numPr>
                                      <w:spacing w:line="240" w:lineRule="auto"/>
                                      <w:jc w:val="both"/>
                                      <w:rPr>
                                        <w:rFonts w:cs="Arial"/>
                                        <w:sz w:val="20"/>
                                        <w:szCs w:val="20"/>
                                      </w:rPr>
                                    </w:pPr>
                                    <w:r>
                                      <w:rPr>
                                        <w:rFonts w:cs="Arial"/>
                                        <w:sz w:val="20"/>
                                        <w:szCs w:val="20"/>
                                      </w:rPr>
                                      <w:t>ustalenie wskaźników energetycznych</w:t>
                                    </w:r>
                                  </w:p>
                                </w:tc>
                              </w:tr>
                            </w:tbl>
                            <w:p w:rsidR="002B07AD" w:rsidRDefault="002B07AD" w:rsidP="006B024A">
                              <w:pPr>
                                <w:rPr>
                                  <w:sz w:val="20"/>
                                  <w:szCs w:val="20"/>
                                </w:rPr>
                              </w:pPr>
                            </w:p>
                          </w:txbxContent>
                        </wps:txbx>
                        <wps:bodyPr rot="0" vert="horz" wrap="square" lIns="91440" tIns="45720" rIns="91440" bIns="45720" anchor="t" anchorCtr="0" upright="1">
                          <a:noAutofit/>
                        </wps:bodyPr>
                      </wps:wsp>
                      <wps:wsp>
                        <wps:cNvPr id="100" name="Text Box 681"/>
                        <wps:cNvSpPr txBox="1">
                          <a:spLocks noChangeArrowheads="1"/>
                        </wps:cNvSpPr>
                        <wps:spPr bwMode="auto">
                          <a:xfrm>
                            <a:off x="1247" y="9707"/>
                            <a:ext cx="9360" cy="360"/>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7AD" w:rsidRDefault="002B07AD" w:rsidP="006B024A">
                              <w:pPr>
                                <w:spacing w:line="240" w:lineRule="auto"/>
                                <w:jc w:val="center"/>
                                <w:rPr>
                                  <w:rFonts w:cs="Arial"/>
                                  <w:b/>
                                  <w:sz w:val="20"/>
                                  <w:szCs w:val="20"/>
                                </w:rPr>
                              </w:pPr>
                              <w:r>
                                <w:rPr>
                                  <w:rFonts w:cs="Arial"/>
                                  <w:b/>
                                  <w:sz w:val="20"/>
                                  <w:szCs w:val="20"/>
                                </w:rPr>
                                <w:t>Stworzenie i uzupełnianie „energetycznej” bazy danych obiektu</w:t>
                              </w:r>
                            </w:p>
                          </w:txbxContent>
                        </wps:txbx>
                        <wps:bodyPr rot="0" vert="horz" wrap="square" lIns="91440" tIns="36000" rIns="91440" bIns="0" anchor="t" anchorCtr="0" upright="1">
                          <a:noAutofit/>
                        </wps:bodyPr>
                      </wps:wsp>
                      <wps:wsp>
                        <wps:cNvPr id="101" name="Text Box 682"/>
                        <wps:cNvSpPr txBox="1">
                          <a:spLocks noChangeArrowheads="1"/>
                        </wps:cNvSpPr>
                        <wps:spPr bwMode="auto">
                          <a:xfrm>
                            <a:off x="1247" y="10607"/>
                            <a:ext cx="9360" cy="360"/>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7AD" w:rsidRDefault="002B07AD" w:rsidP="006B024A">
                              <w:pPr>
                                <w:jc w:val="center"/>
                                <w:rPr>
                                  <w:rFonts w:cs="Arial"/>
                                  <w:b/>
                                  <w:sz w:val="20"/>
                                  <w:szCs w:val="20"/>
                                </w:rPr>
                              </w:pPr>
                              <w:r>
                                <w:rPr>
                                  <w:rFonts w:cs="Arial"/>
                                  <w:b/>
                                  <w:sz w:val="20"/>
                                  <w:szCs w:val="20"/>
                                </w:rPr>
                                <w:t>Planowanie i koordynacja przedsięwzięć na rzecz oszczędzania energii</w:t>
                              </w:r>
                            </w:p>
                          </w:txbxContent>
                        </wps:txbx>
                        <wps:bodyPr rot="0" vert="horz" wrap="square" lIns="91440" tIns="36000" rIns="91440" bIns="0" anchor="t" anchorCtr="0" upright="1">
                          <a:noAutofit/>
                        </wps:bodyPr>
                      </wps:wsp>
                      <wps:wsp>
                        <wps:cNvPr id="102" name="Text Box 683"/>
                        <wps:cNvSpPr txBox="1">
                          <a:spLocks noChangeArrowheads="1"/>
                        </wps:cNvSpPr>
                        <wps:spPr bwMode="auto">
                          <a:xfrm>
                            <a:off x="1322" y="11507"/>
                            <a:ext cx="4636" cy="378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7AD" w:rsidRDefault="002B07AD" w:rsidP="006B024A">
                              <w:pPr>
                                <w:jc w:val="center"/>
                                <w:rPr>
                                  <w:rFonts w:cs="Arial"/>
                                  <w:b/>
                                  <w:sz w:val="20"/>
                                  <w:szCs w:val="20"/>
                                </w:rPr>
                              </w:pPr>
                              <w:r>
                                <w:rPr>
                                  <w:rFonts w:cs="Arial"/>
                                  <w:b/>
                                  <w:sz w:val="20"/>
                                  <w:szCs w:val="20"/>
                                </w:rPr>
                                <w:t>Przedsięwzięcia nieinwestycyjne i niskonakładowe</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optymalizacja czasu przebywania użytkowników w budynku,</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 xml:space="preserve">optymalizacja wykorzystania instalacji </w:t>
                              </w:r>
                              <w:r>
                                <w:rPr>
                                  <w:rFonts w:cs="Arial"/>
                                  <w:sz w:val="20"/>
                                  <w:szCs w:val="20"/>
                                </w:rPr>
                                <w:br/>
                                <w:t>(np.: regulacja temperatury)</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stała kontrola techniczna instalacji</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 xml:space="preserve">okresowa weryfikacja umów </w:t>
                              </w:r>
                              <w:r>
                                <w:rPr>
                                  <w:rFonts w:cs="Arial"/>
                                  <w:sz w:val="20"/>
                                  <w:szCs w:val="20"/>
                                </w:rPr>
                                <w:br/>
                                <w:t>o dostarczanie energii</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uświadomienie i umotywowanie użytkowników  - podnoszenie kwalifikacji</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szkolenie i motywowanie personelu</w:t>
                              </w:r>
                            </w:p>
                          </w:txbxContent>
                        </wps:txbx>
                        <wps:bodyPr rot="0" vert="horz" wrap="square" lIns="91440" tIns="36000" rIns="91440" bIns="45720" anchor="t" anchorCtr="0" upright="1">
                          <a:noAutofit/>
                        </wps:bodyPr>
                      </wps:wsp>
                      <wps:wsp>
                        <wps:cNvPr id="103" name="Text Box 684"/>
                        <wps:cNvSpPr txBox="1">
                          <a:spLocks noChangeArrowheads="1"/>
                        </wps:cNvSpPr>
                        <wps:spPr bwMode="auto">
                          <a:xfrm>
                            <a:off x="6140" y="11507"/>
                            <a:ext cx="4451" cy="3780"/>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07AD" w:rsidRDefault="002B07AD" w:rsidP="006B024A">
                              <w:pPr>
                                <w:jc w:val="center"/>
                                <w:rPr>
                                  <w:rFonts w:cs="Arial"/>
                                  <w:b/>
                                  <w:sz w:val="20"/>
                                  <w:szCs w:val="20"/>
                                </w:rPr>
                              </w:pPr>
                              <w:r>
                                <w:rPr>
                                  <w:rFonts w:cs="Arial"/>
                                  <w:b/>
                                  <w:sz w:val="20"/>
                                  <w:szCs w:val="20"/>
                                </w:rPr>
                                <w:t>Przedsięwzięcia inwestycyjne</w:t>
                              </w:r>
                            </w:p>
                            <w:p w:rsidR="002B07AD" w:rsidRDefault="002B07AD" w:rsidP="006B024A">
                              <w:pPr>
                                <w:jc w:val="center"/>
                                <w:rPr>
                                  <w:rFonts w:cs="Arial"/>
                                  <w:b/>
                                  <w:sz w:val="20"/>
                                  <w:szCs w:val="20"/>
                                </w:rPr>
                              </w:pPr>
                            </w:p>
                            <w:p w:rsidR="002B07AD" w:rsidRDefault="002B07AD" w:rsidP="00AB431C">
                              <w:pPr>
                                <w:numPr>
                                  <w:ilvl w:val="0"/>
                                  <w:numId w:val="16"/>
                                </w:numPr>
                                <w:tabs>
                                  <w:tab w:val="num" w:pos="540"/>
                                </w:tabs>
                                <w:ind w:left="540"/>
                                <w:jc w:val="both"/>
                                <w:rPr>
                                  <w:rFonts w:cs="Arial"/>
                                  <w:sz w:val="20"/>
                                  <w:szCs w:val="20"/>
                                </w:rPr>
                              </w:pPr>
                              <w:r>
                                <w:rPr>
                                  <w:rFonts w:cs="Arial"/>
                                  <w:sz w:val="20"/>
                                  <w:szCs w:val="20"/>
                                </w:rPr>
                                <w:t>technologie budowlane, instalacyjne, technologie oświetleniowe</w:t>
                              </w:r>
                            </w:p>
                            <w:p w:rsidR="002B07AD" w:rsidRDefault="002B07AD" w:rsidP="00AB431C">
                              <w:pPr>
                                <w:numPr>
                                  <w:ilvl w:val="0"/>
                                  <w:numId w:val="16"/>
                                </w:numPr>
                                <w:tabs>
                                  <w:tab w:val="num" w:pos="540"/>
                                </w:tabs>
                                <w:ind w:left="540"/>
                                <w:jc w:val="both"/>
                                <w:rPr>
                                  <w:rFonts w:cs="Arial"/>
                                  <w:sz w:val="20"/>
                                  <w:szCs w:val="20"/>
                                </w:rPr>
                              </w:pPr>
                              <w:r>
                                <w:rPr>
                                  <w:rFonts w:cs="Arial"/>
                                  <w:sz w:val="20"/>
                                  <w:szCs w:val="20"/>
                                </w:rPr>
                                <w:t>ustalenie list priorytetów</w:t>
                              </w:r>
                            </w:p>
                            <w:p w:rsidR="002B07AD" w:rsidRDefault="002B07AD" w:rsidP="00AB431C">
                              <w:pPr>
                                <w:numPr>
                                  <w:ilvl w:val="0"/>
                                  <w:numId w:val="16"/>
                                </w:numPr>
                                <w:tabs>
                                  <w:tab w:val="num" w:pos="540"/>
                                </w:tabs>
                                <w:ind w:left="540"/>
                                <w:jc w:val="both"/>
                                <w:rPr>
                                  <w:rFonts w:cs="Arial"/>
                                  <w:sz w:val="20"/>
                                  <w:szCs w:val="20"/>
                                </w:rPr>
                              </w:pPr>
                              <w:r>
                                <w:rPr>
                                  <w:rFonts w:cs="Arial"/>
                                  <w:sz w:val="20"/>
                                  <w:szCs w:val="20"/>
                                </w:rPr>
                                <w:t>planowanie renowacji</w:t>
                              </w:r>
                            </w:p>
                            <w:p w:rsidR="002B07AD" w:rsidRDefault="002B07AD" w:rsidP="00AB431C">
                              <w:pPr>
                                <w:numPr>
                                  <w:ilvl w:val="0"/>
                                  <w:numId w:val="16"/>
                                </w:numPr>
                                <w:tabs>
                                  <w:tab w:val="num" w:pos="540"/>
                                </w:tabs>
                                <w:ind w:left="540"/>
                                <w:jc w:val="both"/>
                                <w:rPr>
                                  <w:rFonts w:cs="Arial"/>
                                  <w:sz w:val="20"/>
                                  <w:szCs w:val="20"/>
                                </w:rPr>
                              </w:pPr>
                              <w:r>
                                <w:rPr>
                                  <w:rFonts w:cs="Arial"/>
                                  <w:sz w:val="20"/>
                                  <w:szCs w:val="20"/>
                                </w:rPr>
                                <w:t>planowanie finansowania</w:t>
                              </w:r>
                            </w:p>
                            <w:p w:rsidR="002B07AD" w:rsidRDefault="002B07AD" w:rsidP="00AB431C">
                              <w:pPr>
                                <w:numPr>
                                  <w:ilvl w:val="0"/>
                                  <w:numId w:val="16"/>
                                </w:numPr>
                                <w:tabs>
                                  <w:tab w:val="num" w:pos="540"/>
                                </w:tabs>
                                <w:ind w:left="540"/>
                                <w:jc w:val="both"/>
                                <w:rPr>
                                  <w:rFonts w:cs="Arial"/>
                                  <w:sz w:val="20"/>
                                  <w:szCs w:val="20"/>
                                </w:rPr>
                              </w:pPr>
                              <w:r>
                                <w:rPr>
                                  <w:rFonts w:cs="Arial"/>
                                  <w:sz w:val="20"/>
                                  <w:szCs w:val="20"/>
                                </w:rPr>
                                <w:t>realizacja przedsięwzięć budowlanych, instalacyjnych i elektrotechnicznych</w:t>
                              </w:r>
                            </w:p>
                            <w:p w:rsidR="002B07AD" w:rsidRDefault="002B07AD" w:rsidP="00AB431C">
                              <w:pPr>
                                <w:numPr>
                                  <w:ilvl w:val="0"/>
                                  <w:numId w:val="16"/>
                                </w:numPr>
                                <w:tabs>
                                  <w:tab w:val="num" w:pos="540"/>
                                </w:tabs>
                                <w:ind w:left="540"/>
                                <w:jc w:val="both"/>
                                <w:rPr>
                                  <w:rFonts w:cs="Arial"/>
                                  <w:sz w:val="20"/>
                                  <w:szCs w:val="20"/>
                                </w:rPr>
                              </w:pPr>
                              <w:r>
                                <w:rPr>
                                  <w:rFonts w:cs="Arial"/>
                                  <w:sz w:val="20"/>
                                  <w:szCs w:val="20"/>
                                </w:rPr>
                                <w:t>doradztwo w zakresie projektowania</w:t>
                              </w:r>
                            </w:p>
                          </w:txbxContent>
                        </wps:txbx>
                        <wps:bodyPr rot="0" vert="horz" wrap="square" lIns="91440" tIns="36000" rIns="91440" bIns="45720" anchor="t" anchorCtr="0" upright="1">
                          <a:noAutofit/>
                        </wps:bodyPr>
                      </wps:wsp>
                      <wps:wsp>
                        <wps:cNvPr id="104" name="AutoShape 685"/>
                        <wps:cNvSpPr>
                          <a:spLocks noChangeArrowheads="1"/>
                        </wps:cNvSpPr>
                        <wps:spPr bwMode="auto">
                          <a:xfrm>
                            <a:off x="5747" y="7547"/>
                            <a:ext cx="540" cy="540"/>
                          </a:xfrm>
                          <a:prstGeom prst="downArrow">
                            <a:avLst>
                              <a:gd name="adj1" fmla="val 50000"/>
                              <a:gd name="adj2" fmla="val 25000"/>
                            </a:avLst>
                          </a:prstGeom>
                          <a:solidFill>
                            <a:srgbClr val="9389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AutoShape 686"/>
                        <wps:cNvSpPr>
                          <a:spLocks noChangeArrowheads="1"/>
                        </wps:cNvSpPr>
                        <wps:spPr bwMode="auto">
                          <a:xfrm>
                            <a:off x="5747" y="9167"/>
                            <a:ext cx="540" cy="540"/>
                          </a:xfrm>
                          <a:prstGeom prst="downArrow">
                            <a:avLst>
                              <a:gd name="adj1" fmla="val 50000"/>
                              <a:gd name="adj2" fmla="val 25000"/>
                            </a:avLst>
                          </a:prstGeom>
                          <a:solidFill>
                            <a:srgbClr val="9389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AutoShape 687"/>
                        <wps:cNvSpPr>
                          <a:spLocks noChangeArrowheads="1"/>
                        </wps:cNvSpPr>
                        <wps:spPr bwMode="auto">
                          <a:xfrm>
                            <a:off x="5747" y="10067"/>
                            <a:ext cx="540" cy="540"/>
                          </a:xfrm>
                          <a:prstGeom prst="downArrow">
                            <a:avLst>
                              <a:gd name="adj1" fmla="val 50000"/>
                              <a:gd name="adj2" fmla="val 25000"/>
                            </a:avLst>
                          </a:prstGeom>
                          <a:solidFill>
                            <a:srgbClr val="9389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AutoShape 688"/>
                        <wps:cNvSpPr>
                          <a:spLocks noChangeArrowheads="1"/>
                        </wps:cNvSpPr>
                        <wps:spPr bwMode="auto">
                          <a:xfrm>
                            <a:off x="3227" y="10967"/>
                            <a:ext cx="540" cy="540"/>
                          </a:xfrm>
                          <a:prstGeom prst="downArrow">
                            <a:avLst>
                              <a:gd name="adj1" fmla="val 50000"/>
                              <a:gd name="adj2" fmla="val 25000"/>
                            </a:avLst>
                          </a:prstGeom>
                          <a:solidFill>
                            <a:srgbClr val="9389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AutoShape 689"/>
                        <wps:cNvSpPr>
                          <a:spLocks noChangeArrowheads="1"/>
                        </wps:cNvSpPr>
                        <wps:spPr bwMode="auto">
                          <a:xfrm>
                            <a:off x="8087" y="10967"/>
                            <a:ext cx="540" cy="540"/>
                          </a:xfrm>
                          <a:prstGeom prst="downArrow">
                            <a:avLst>
                              <a:gd name="adj1" fmla="val 50000"/>
                              <a:gd name="adj2" fmla="val 25000"/>
                            </a:avLst>
                          </a:prstGeom>
                          <a:solidFill>
                            <a:srgbClr val="9389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CEE380" id="Group 678" o:spid="_x0000_s1031" style="width:468pt;height:423pt;mso-position-horizontal-relative:char;mso-position-vertical-relative:line" coordorigin="1247,6827" coordsize="9360,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">
                <v:shape id="Text Box 679" o:spid="_x0000_s1032" type="#_x0000_t202" style="position:absolute;left:1247;top:6827;width:9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PCb8A&#10;AADbAAAADwAAAGRycy9kb3ducmV2LnhtbERPy4rCMBTdD/gP4QruxtTHOGOnqYhQdKsW3V6ba1um&#10;uSlN1Pr3ZiHM8nDeyao3jbhT52rLCibjCARxYXXNpYL8mH3+gHAeWWNjmRQ8ycEqHXwkGGv74D3d&#10;D74UIYRdjAoq79tYSldUZNCNbUscuKvtDPoAu1LqDh8h3DRyGkULabDm0FBhS5uKir/DzSg4n/Kc&#10;Zob25+0Vv7dzl12Kr0yp0bBf/4Lw1Pt/8du90wqWYWz4En6AT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Yk8JvwAAANsAAAAPAAAAAAAAAAAAAAAAAJgCAABkcnMvZG93bnJl&#10;di54bWxQSwUGAAAAAAQABAD1AAAAhAMAAAAA&#10;" fillcolor="#4f81bd" stroked="f">
                  <v:textbox>
                    <w:txbxContent>
                      <w:tbl>
                        <w:tblPr>
                          <w:tblW w:w="0" w:type="auto"/>
                          <w:shd w:val="clear" w:color="auto" w:fill="4F81BD"/>
                          <w:tblLayout w:type="fixed"/>
                          <w:tblLook w:val="01E0" w:firstRow="1" w:lastRow="1" w:firstColumn="1" w:lastColumn="1" w:noHBand="0" w:noVBand="0"/>
                        </w:tblPr>
                        <w:tblGrid>
                          <w:gridCol w:w="2088"/>
                          <w:gridCol w:w="4500"/>
                          <w:gridCol w:w="2484"/>
                        </w:tblGrid>
                        <w:tr w:rsidR="002B07AD" w:rsidTr="00022B1E">
                          <w:trPr>
                            <w:trHeight w:val="183"/>
                          </w:trPr>
                          <w:tc>
                            <w:tcPr>
                              <w:tcW w:w="9072" w:type="dxa"/>
                              <w:gridSpan w:val="3"/>
                              <w:shd w:val="clear" w:color="auto" w:fill="4F81BD"/>
                            </w:tcPr>
                            <w:p w:rsidR="002B07AD" w:rsidRPr="00022B1E" w:rsidRDefault="002B07AD">
                              <w:pPr>
                                <w:spacing w:line="240" w:lineRule="auto"/>
                                <w:jc w:val="center"/>
                                <w:rPr>
                                  <w:rFonts w:cs="Arial"/>
                                  <w:b/>
                                  <w:color w:val="FFFFFF"/>
                                  <w:sz w:val="20"/>
                                  <w:szCs w:val="20"/>
                                </w:rPr>
                              </w:pPr>
                              <w:r w:rsidRPr="00022B1E">
                                <w:rPr>
                                  <w:rFonts w:cs="Arial"/>
                                  <w:b/>
                                  <w:color w:val="FFFFFF"/>
                                  <w:sz w:val="20"/>
                                  <w:szCs w:val="20"/>
                                </w:rPr>
                                <w:t>Kontrola zużycia energii</w:t>
                              </w:r>
                            </w:p>
                          </w:tc>
                        </w:tr>
                        <w:tr w:rsidR="002B07AD" w:rsidTr="00022B1E">
                          <w:trPr>
                            <w:trHeight w:val="291"/>
                          </w:trPr>
                          <w:tc>
                            <w:tcPr>
                              <w:tcW w:w="2088" w:type="dxa"/>
                              <w:shd w:val="clear" w:color="auto" w:fill="4F81BD"/>
                            </w:tcPr>
                            <w:p w:rsidR="002B07AD" w:rsidRDefault="002B07AD" w:rsidP="00AB431C">
                              <w:pPr>
                                <w:numPr>
                                  <w:ilvl w:val="0"/>
                                  <w:numId w:val="13"/>
                                </w:numPr>
                                <w:spacing w:line="240" w:lineRule="auto"/>
                                <w:jc w:val="center"/>
                                <w:rPr>
                                  <w:rFonts w:cs="Arial"/>
                                  <w:sz w:val="20"/>
                                  <w:szCs w:val="20"/>
                                </w:rPr>
                              </w:pPr>
                              <w:r w:rsidRPr="00022B1E">
                                <w:rPr>
                                  <w:rFonts w:cs="Arial"/>
                                  <w:color w:val="FFFFFF"/>
                                  <w:sz w:val="20"/>
                                  <w:szCs w:val="20"/>
                                </w:rPr>
                                <w:t>rejestracja</w:t>
                              </w:r>
                            </w:p>
                          </w:tc>
                          <w:tc>
                            <w:tcPr>
                              <w:tcW w:w="4500" w:type="dxa"/>
                              <w:shd w:val="clear" w:color="auto" w:fill="4F81BD"/>
                            </w:tcPr>
                            <w:p w:rsidR="002B07AD" w:rsidRPr="00022B1E" w:rsidRDefault="002B07AD" w:rsidP="00AB431C">
                              <w:pPr>
                                <w:numPr>
                                  <w:ilvl w:val="0"/>
                                  <w:numId w:val="13"/>
                                </w:numPr>
                                <w:spacing w:line="240" w:lineRule="auto"/>
                                <w:jc w:val="center"/>
                                <w:rPr>
                                  <w:rFonts w:cs="Arial"/>
                                  <w:color w:val="FFFFFF"/>
                                  <w:sz w:val="20"/>
                                  <w:szCs w:val="20"/>
                                </w:rPr>
                              </w:pPr>
                              <w:r w:rsidRPr="00022B1E">
                                <w:rPr>
                                  <w:rFonts w:cs="Arial"/>
                                  <w:color w:val="FFFFFF"/>
                                  <w:sz w:val="20"/>
                                  <w:szCs w:val="20"/>
                                </w:rPr>
                                <w:t>uwzględnianie warunków pogodowych</w:t>
                              </w:r>
                            </w:p>
                          </w:tc>
                          <w:tc>
                            <w:tcPr>
                              <w:tcW w:w="2484" w:type="dxa"/>
                              <w:shd w:val="clear" w:color="auto" w:fill="4F81BD"/>
                            </w:tcPr>
                            <w:p w:rsidR="002B07AD" w:rsidRPr="00022B1E" w:rsidRDefault="002B07AD" w:rsidP="00AB431C">
                              <w:pPr>
                                <w:numPr>
                                  <w:ilvl w:val="0"/>
                                  <w:numId w:val="13"/>
                                </w:numPr>
                                <w:spacing w:line="240" w:lineRule="auto"/>
                                <w:jc w:val="center"/>
                                <w:rPr>
                                  <w:rFonts w:cs="Arial"/>
                                  <w:color w:val="FFFFFF"/>
                                  <w:sz w:val="20"/>
                                  <w:szCs w:val="20"/>
                                </w:rPr>
                              </w:pPr>
                              <w:r w:rsidRPr="00022B1E">
                                <w:rPr>
                                  <w:rFonts w:cs="Arial"/>
                                  <w:color w:val="FFFFFF"/>
                                  <w:sz w:val="20"/>
                                  <w:szCs w:val="20"/>
                                </w:rPr>
                                <w:t>ocena zużycia</w:t>
                              </w:r>
                            </w:p>
                          </w:tc>
                        </w:tr>
                      </w:tbl>
                      <w:p w:rsidR="002B07AD" w:rsidRDefault="002B07AD" w:rsidP="006B024A">
                        <w:pPr>
                          <w:spacing w:line="240" w:lineRule="auto"/>
                          <w:jc w:val="center"/>
                          <w:rPr>
                            <w:rFonts w:cs="Arial"/>
                            <w:sz w:val="20"/>
                            <w:szCs w:val="20"/>
                          </w:rPr>
                        </w:pPr>
                      </w:p>
                    </w:txbxContent>
                  </v:textbox>
                </v:shape>
                <v:shape id="Text Box 680" o:spid="_x0000_s1033" type="#_x0000_t202" style="position:absolute;left:1247;top:8087;width:9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kxsMA&#10;AADbAAAADwAAAGRycy9kb3ducmV2LnhtbESPQWvCQBSE7wX/w/KE3pqNLZUaXcUUDL1GheLtkX0m&#10;wezbkN3GTX99t1DocZiZb5jNLphOjDS41rKCRZKCIK6sbrlWcD4dnt5AOI+ssbNMCiZysNvOHjaY&#10;aXvnksajr0WEsMtQQeN9n0npqoYMusT2xNG72sGgj3KopR7wHuGmk89pupQGW44LDfb03lB1O34Z&#10;Bfm0rL9fZZkXFzpgkMXnS5hYqcd52K9BeAr+P/zX/tAKVi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ykxsMAAADbAAAADwAAAAAAAAAAAAAAAACYAgAAZHJzL2Rv&#10;d25yZXYueG1sUEsFBgAAAAAEAAQA9QAAAIgDAAAAAA==&#10;" fillcolor="#c0504d" stroked="f">
                  <v:textbox>
                    <w:txbxContent>
                      <w:tbl>
                        <w:tblPr>
                          <w:tblW w:w="0" w:type="auto"/>
                          <w:jc w:val="center"/>
                          <w:tblLook w:val="01E0" w:firstRow="1" w:lastRow="1" w:firstColumn="1" w:lastColumn="1" w:noHBand="0" w:noVBand="0"/>
                        </w:tblPr>
                        <w:tblGrid>
                          <w:gridCol w:w="4536"/>
                          <w:gridCol w:w="4536"/>
                        </w:tblGrid>
                        <w:tr w:rsidR="002B07AD">
                          <w:trPr>
                            <w:trHeight w:val="175"/>
                            <w:jc w:val="center"/>
                          </w:trPr>
                          <w:tc>
                            <w:tcPr>
                              <w:tcW w:w="9072" w:type="dxa"/>
                              <w:gridSpan w:val="2"/>
                            </w:tcPr>
                            <w:p w:rsidR="002B07AD" w:rsidRDefault="002B07AD">
                              <w:pPr>
                                <w:spacing w:line="240" w:lineRule="auto"/>
                                <w:jc w:val="center"/>
                                <w:rPr>
                                  <w:rFonts w:cs="Arial"/>
                                  <w:b/>
                                  <w:sz w:val="20"/>
                                  <w:szCs w:val="20"/>
                                </w:rPr>
                              </w:pPr>
                              <w:r>
                                <w:rPr>
                                  <w:rFonts w:cs="Arial"/>
                                  <w:b/>
                                  <w:sz w:val="20"/>
                                  <w:szCs w:val="20"/>
                                </w:rPr>
                                <w:t>Analiza budynku</w:t>
                              </w:r>
                            </w:p>
                          </w:tc>
                        </w:tr>
                        <w:tr w:rsidR="002B07AD">
                          <w:trPr>
                            <w:trHeight w:val="261"/>
                            <w:jc w:val="center"/>
                          </w:trPr>
                          <w:tc>
                            <w:tcPr>
                              <w:tcW w:w="4536" w:type="dxa"/>
                            </w:tcPr>
                            <w:p w:rsidR="002B07AD" w:rsidRDefault="002B07AD" w:rsidP="00AB431C">
                              <w:pPr>
                                <w:numPr>
                                  <w:ilvl w:val="0"/>
                                  <w:numId w:val="14"/>
                                </w:numPr>
                                <w:spacing w:line="240" w:lineRule="auto"/>
                                <w:jc w:val="both"/>
                                <w:rPr>
                                  <w:rFonts w:cs="Arial"/>
                                  <w:sz w:val="20"/>
                                  <w:szCs w:val="20"/>
                                </w:rPr>
                              </w:pPr>
                              <w:r>
                                <w:rPr>
                                  <w:rFonts w:cs="Arial"/>
                                  <w:sz w:val="20"/>
                                  <w:szCs w:val="20"/>
                                </w:rPr>
                                <w:t>rejestracja danych budynku</w:t>
                              </w:r>
                            </w:p>
                          </w:tc>
                          <w:tc>
                            <w:tcPr>
                              <w:tcW w:w="4536" w:type="dxa"/>
                            </w:tcPr>
                            <w:p w:rsidR="002B07AD" w:rsidRDefault="002B07AD" w:rsidP="00AB431C">
                              <w:pPr>
                                <w:numPr>
                                  <w:ilvl w:val="0"/>
                                  <w:numId w:val="14"/>
                                </w:numPr>
                                <w:spacing w:line="240" w:lineRule="auto"/>
                                <w:jc w:val="both"/>
                                <w:rPr>
                                  <w:rFonts w:cs="Arial"/>
                                  <w:sz w:val="20"/>
                                  <w:szCs w:val="20"/>
                                </w:rPr>
                              </w:pPr>
                              <w:r>
                                <w:rPr>
                                  <w:rFonts w:cs="Arial"/>
                                  <w:sz w:val="20"/>
                                  <w:szCs w:val="20"/>
                                </w:rPr>
                                <w:t>diagnoza przybliżona</w:t>
                              </w:r>
                            </w:p>
                          </w:tc>
                        </w:tr>
                        <w:tr w:rsidR="002B07AD">
                          <w:trPr>
                            <w:trHeight w:val="273"/>
                            <w:jc w:val="center"/>
                          </w:trPr>
                          <w:tc>
                            <w:tcPr>
                              <w:tcW w:w="4536" w:type="dxa"/>
                            </w:tcPr>
                            <w:p w:rsidR="002B07AD" w:rsidRDefault="002B07AD" w:rsidP="00AB431C">
                              <w:pPr>
                                <w:numPr>
                                  <w:ilvl w:val="0"/>
                                  <w:numId w:val="14"/>
                                </w:numPr>
                                <w:spacing w:line="240" w:lineRule="auto"/>
                                <w:jc w:val="both"/>
                                <w:rPr>
                                  <w:rFonts w:cs="Arial"/>
                                  <w:sz w:val="20"/>
                                  <w:szCs w:val="20"/>
                                </w:rPr>
                              </w:pPr>
                              <w:r>
                                <w:rPr>
                                  <w:rFonts w:cs="Arial"/>
                                  <w:sz w:val="20"/>
                                  <w:szCs w:val="20"/>
                                </w:rPr>
                                <w:t>diagnoza szczegółowa</w:t>
                              </w:r>
                            </w:p>
                          </w:tc>
                          <w:tc>
                            <w:tcPr>
                              <w:tcW w:w="4536" w:type="dxa"/>
                            </w:tcPr>
                            <w:p w:rsidR="002B07AD" w:rsidRDefault="002B07AD" w:rsidP="00AB431C">
                              <w:pPr>
                                <w:numPr>
                                  <w:ilvl w:val="0"/>
                                  <w:numId w:val="14"/>
                                </w:numPr>
                                <w:spacing w:line="240" w:lineRule="auto"/>
                                <w:jc w:val="both"/>
                                <w:rPr>
                                  <w:rFonts w:cs="Arial"/>
                                  <w:sz w:val="20"/>
                                  <w:szCs w:val="20"/>
                                </w:rPr>
                              </w:pPr>
                              <w:r>
                                <w:rPr>
                                  <w:rFonts w:cs="Arial"/>
                                  <w:sz w:val="20"/>
                                  <w:szCs w:val="20"/>
                                </w:rPr>
                                <w:t>ustalenie wskaźników energetycznych</w:t>
                              </w:r>
                            </w:p>
                          </w:tc>
                        </w:tr>
                      </w:tbl>
                      <w:p w:rsidR="002B07AD" w:rsidRDefault="002B07AD" w:rsidP="006B024A">
                        <w:pPr>
                          <w:rPr>
                            <w:sz w:val="20"/>
                            <w:szCs w:val="20"/>
                          </w:rPr>
                        </w:pPr>
                      </w:p>
                    </w:txbxContent>
                  </v:textbox>
                </v:shape>
                <v:shape id="Text Box 681" o:spid="_x0000_s1034" type="#_x0000_t202" style="position:absolute;left:1247;top:9707;width:9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tvcUA&#10;AADcAAAADwAAAGRycy9kb3ducmV2LnhtbESPT2vCQBDF70K/wzKF3nS3FmJJXSUI0l48+OfgcciO&#10;STA7G7JbjX565yB4m+G9ee838+XgW3WhPjaBLXxODCjiMriGKwuH/Xr8DSomZIdtYLJwowjLxdto&#10;jrkLV97SZZcqJSEcc7RQp9TlWseyJo9xEjpi0U6h95hk7SvterxKuG/11JhMe2xYGmrsaFVTed79&#10;ewvZbH0cfs0XZYdmO93Ee7G67QtrP96H4gdUoiG9zM/rPyf4RvDlGZl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e29xQAAANwAAAAPAAAAAAAAAAAAAAAAAJgCAABkcnMv&#10;ZG93bnJldi54bWxQSwUGAAAAAAQABAD1AAAAigMAAAAA&#10;" fillcolor="#9bbb59" stroked="f">
                  <v:textbox inset=",1mm,,0">
                    <w:txbxContent>
                      <w:p w:rsidR="002B07AD" w:rsidRDefault="002B07AD" w:rsidP="006B024A">
                        <w:pPr>
                          <w:spacing w:line="240" w:lineRule="auto"/>
                          <w:jc w:val="center"/>
                          <w:rPr>
                            <w:rFonts w:cs="Arial"/>
                            <w:b/>
                            <w:sz w:val="20"/>
                            <w:szCs w:val="20"/>
                          </w:rPr>
                        </w:pPr>
                        <w:r>
                          <w:rPr>
                            <w:rFonts w:cs="Arial"/>
                            <w:b/>
                            <w:sz w:val="20"/>
                            <w:szCs w:val="20"/>
                          </w:rPr>
                          <w:t>Stworzenie i uzupełnianie „energetycznej” bazy danych obiektu</w:t>
                        </w:r>
                      </w:p>
                    </w:txbxContent>
                  </v:textbox>
                </v:shape>
                <v:shape id="Text Box 682" o:spid="_x0000_s1035" type="#_x0000_t202" style="position:absolute;left:1247;top:10607;width:9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SkMUA&#10;AADcAAAADwAAAGRycy9kb3ducmV2LnhtbERPS2sCMRC+F/wPYQq9dbNaKmU1ig8s9SBaK9LjdDPN&#10;Lm4myybV1V9vBKG3+fieMxy3thJHanzpWEE3SUEQ506XbBTsvhbPbyB8QNZYOSYFZ/IwHnUehphp&#10;d+JPOm6DETGEfYYKihDqTEqfF2TRJ64mjtyvayyGCBsjdYOnGG4r2UvTvrRYcmwosKZZQflh+2cV&#10;rFfLzfvPYffdu8xfp7Pcm/3kxSj19NhOBiACteFffHd/6Dg/7cLtmXiBH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pKQxQAAANwAAAAPAAAAAAAAAAAAAAAAAJgCAABkcnMv&#10;ZG93bnJldi54bWxQSwUGAAAAAAQABAD1AAAAigMAAAAA&#10;" fillcolor="#4bacc6" stroked="f">
                  <v:textbox inset=",1mm,,0">
                    <w:txbxContent>
                      <w:p w:rsidR="002B07AD" w:rsidRDefault="002B07AD" w:rsidP="006B024A">
                        <w:pPr>
                          <w:jc w:val="center"/>
                          <w:rPr>
                            <w:rFonts w:cs="Arial"/>
                            <w:b/>
                            <w:sz w:val="20"/>
                            <w:szCs w:val="20"/>
                          </w:rPr>
                        </w:pPr>
                        <w:r>
                          <w:rPr>
                            <w:rFonts w:cs="Arial"/>
                            <w:b/>
                            <w:sz w:val="20"/>
                            <w:szCs w:val="20"/>
                          </w:rPr>
                          <w:t>Planowanie i koordynacja przedsięwzięć na rzecz oszczędzania energii</w:t>
                        </w:r>
                      </w:p>
                    </w:txbxContent>
                  </v:textbox>
                </v:shape>
                <v:shape id="Text Box 683" o:spid="_x0000_s1036" type="#_x0000_t202" style="position:absolute;left:1322;top:11507;width:4636;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kIUMAA&#10;AADcAAAADwAAAGRycy9kb3ducmV2LnhtbERPS2sCMRC+F/wPYQq9dbP1sMhqFFvQevSF52EzblY3&#10;kyVJ3a2/3hQK3ubje85sMdhW3MiHxrGCjywHQVw53XCt4HhYvU9AhIissXVMCn4pwGI+eplhqV3P&#10;O7rtYy1SCIcSFZgYu1LKUBmyGDLXESfu7LzFmKCvpfbYp3DbynGeF9Jiw6nBYEdfhqrr/scqOPWb&#10;0+Vu2X8Wfj3c11s2pvhW6u11WE5BRBriU/zv3ug0Px/D3zPp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kIUMAAAADcAAAADwAAAAAAAAAAAAAAAACYAgAAZHJzL2Rvd25y&#10;ZXYueG1sUEsFBgAAAAAEAAQA9QAAAIUDAAAAAA==&#10;" fillcolor="#c2d69b" stroked="f">
                  <v:textbox inset=",1mm">
                    <w:txbxContent>
                      <w:p w:rsidR="002B07AD" w:rsidRDefault="002B07AD" w:rsidP="006B024A">
                        <w:pPr>
                          <w:jc w:val="center"/>
                          <w:rPr>
                            <w:rFonts w:cs="Arial"/>
                            <w:b/>
                            <w:sz w:val="20"/>
                            <w:szCs w:val="20"/>
                          </w:rPr>
                        </w:pPr>
                        <w:r>
                          <w:rPr>
                            <w:rFonts w:cs="Arial"/>
                            <w:b/>
                            <w:sz w:val="20"/>
                            <w:szCs w:val="20"/>
                          </w:rPr>
                          <w:t>Przedsięwzięcia nieinwestycyjne i niskonakładowe</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optymalizacja czasu przebywania użytkowników w budynku,</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 xml:space="preserve">optymalizacja wykorzystania instalacji </w:t>
                        </w:r>
                        <w:r>
                          <w:rPr>
                            <w:rFonts w:cs="Arial"/>
                            <w:sz w:val="20"/>
                            <w:szCs w:val="20"/>
                          </w:rPr>
                          <w:br/>
                          <w:t>(np.: regulacja temperatury)</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stała kontrola techniczna instalacji</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 xml:space="preserve">okresowa weryfikacja umów </w:t>
                        </w:r>
                        <w:r>
                          <w:rPr>
                            <w:rFonts w:cs="Arial"/>
                            <w:sz w:val="20"/>
                            <w:szCs w:val="20"/>
                          </w:rPr>
                          <w:br/>
                          <w:t>o dostarczanie energii</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uświadomienie i umotywowanie użytkowników  - podnoszenie kwalifikacji</w:t>
                        </w:r>
                      </w:p>
                      <w:p w:rsidR="002B07AD" w:rsidRDefault="002B07AD" w:rsidP="00AB431C">
                        <w:pPr>
                          <w:numPr>
                            <w:ilvl w:val="0"/>
                            <w:numId w:val="15"/>
                          </w:numPr>
                          <w:tabs>
                            <w:tab w:val="num" w:pos="540"/>
                          </w:tabs>
                          <w:ind w:left="540"/>
                          <w:jc w:val="both"/>
                          <w:rPr>
                            <w:rFonts w:cs="Arial"/>
                            <w:sz w:val="20"/>
                            <w:szCs w:val="20"/>
                          </w:rPr>
                        </w:pPr>
                        <w:r>
                          <w:rPr>
                            <w:rFonts w:cs="Arial"/>
                            <w:sz w:val="20"/>
                            <w:szCs w:val="20"/>
                          </w:rPr>
                          <w:t>szkolenie i motywowanie personelu</w:t>
                        </w:r>
                      </w:p>
                    </w:txbxContent>
                  </v:textbox>
                </v:shape>
                <v:shape id="Text Box 684" o:spid="_x0000_s1037" type="#_x0000_t202" style="position:absolute;left:6140;top:11507;width:4451;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3jr8A&#10;AADcAAAADwAAAGRycy9kb3ducmV2LnhtbERPTWvCQBC9F/wPywi91Y1aRKKriCh4EtRCr0N2zAaz&#10;szE7xvjvu4VCb/N4n7Nc975WHbWxCmxgPMpAERfBVlwa+LrsP+agoiBbrAOTgRdFWK8Gb0vMbXjy&#10;ibqzlCqFcMzRgBNpcq1j4chjHIWGOHHX0HqUBNtS2xafKdzXepJlM+2x4tTgsKGto+J2fngDG3vU&#10;uHcv3MXudD/urvZbPsWY92G/WYAS6uVf/Oc+2DQ/m8LvM+kCvf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Z/eOvwAAANwAAAAPAAAAAAAAAAAAAAAAAJgCAABkcnMvZG93bnJl&#10;di54bWxQSwUGAAAAAAQABAD1AAAAhAMAAAAA&#10;" fillcolor="#8db3e2" stroked="f">
                  <v:textbox inset=",1mm">
                    <w:txbxContent>
                      <w:p w:rsidR="002B07AD" w:rsidRDefault="002B07AD" w:rsidP="006B024A">
                        <w:pPr>
                          <w:jc w:val="center"/>
                          <w:rPr>
                            <w:rFonts w:cs="Arial"/>
                            <w:b/>
                            <w:sz w:val="20"/>
                            <w:szCs w:val="20"/>
                          </w:rPr>
                        </w:pPr>
                        <w:r>
                          <w:rPr>
                            <w:rFonts w:cs="Arial"/>
                            <w:b/>
                            <w:sz w:val="20"/>
                            <w:szCs w:val="20"/>
                          </w:rPr>
                          <w:t>Przedsięwzięcia inwestycyjne</w:t>
                        </w:r>
                      </w:p>
                      <w:p w:rsidR="002B07AD" w:rsidRDefault="002B07AD" w:rsidP="006B024A">
                        <w:pPr>
                          <w:jc w:val="center"/>
                          <w:rPr>
                            <w:rFonts w:cs="Arial"/>
                            <w:b/>
                            <w:sz w:val="20"/>
                            <w:szCs w:val="20"/>
                          </w:rPr>
                        </w:pPr>
                      </w:p>
                      <w:p w:rsidR="002B07AD" w:rsidRDefault="002B07AD" w:rsidP="00AB431C">
                        <w:pPr>
                          <w:numPr>
                            <w:ilvl w:val="0"/>
                            <w:numId w:val="16"/>
                          </w:numPr>
                          <w:tabs>
                            <w:tab w:val="num" w:pos="540"/>
                          </w:tabs>
                          <w:ind w:left="540"/>
                          <w:jc w:val="both"/>
                          <w:rPr>
                            <w:rFonts w:cs="Arial"/>
                            <w:sz w:val="20"/>
                            <w:szCs w:val="20"/>
                          </w:rPr>
                        </w:pPr>
                        <w:r>
                          <w:rPr>
                            <w:rFonts w:cs="Arial"/>
                            <w:sz w:val="20"/>
                            <w:szCs w:val="20"/>
                          </w:rPr>
                          <w:t>technologie budowlane, instalacyjne, technologie oświetleniowe</w:t>
                        </w:r>
                      </w:p>
                      <w:p w:rsidR="002B07AD" w:rsidRDefault="002B07AD" w:rsidP="00AB431C">
                        <w:pPr>
                          <w:numPr>
                            <w:ilvl w:val="0"/>
                            <w:numId w:val="16"/>
                          </w:numPr>
                          <w:tabs>
                            <w:tab w:val="num" w:pos="540"/>
                          </w:tabs>
                          <w:ind w:left="540"/>
                          <w:jc w:val="both"/>
                          <w:rPr>
                            <w:rFonts w:cs="Arial"/>
                            <w:sz w:val="20"/>
                            <w:szCs w:val="20"/>
                          </w:rPr>
                        </w:pPr>
                        <w:r>
                          <w:rPr>
                            <w:rFonts w:cs="Arial"/>
                            <w:sz w:val="20"/>
                            <w:szCs w:val="20"/>
                          </w:rPr>
                          <w:t>ustalenie list priorytetów</w:t>
                        </w:r>
                      </w:p>
                      <w:p w:rsidR="002B07AD" w:rsidRDefault="002B07AD" w:rsidP="00AB431C">
                        <w:pPr>
                          <w:numPr>
                            <w:ilvl w:val="0"/>
                            <w:numId w:val="16"/>
                          </w:numPr>
                          <w:tabs>
                            <w:tab w:val="num" w:pos="540"/>
                          </w:tabs>
                          <w:ind w:left="540"/>
                          <w:jc w:val="both"/>
                          <w:rPr>
                            <w:rFonts w:cs="Arial"/>
                            <w:sz w:val="20"/>
                            <w:szCs w:val="20"/>
                          </w:rPr>
                        </w:pPr>
                        <w:r>
                          <w:rPr>
                            <w:rFonts w:cs="Arial"/>
                            <w:sz w:val="20"/>
                            <w:szCs w:val="20"/>
                          </w:rPr>
                          <w:t>planowanie renowacji</w:t>
                        </w:r>
                      </w:p>
                      <w:p w:rsidR="002B07AD" w:rsidRDefault="002B07AD" w:rsidP="00AB431C">
                        <w:pPr>
                          <w:numPr>
                            <w:ilvl w:val="0"/>
                            <w:numId w:val="16"/>
                          </w:numPr>
                          <w:tabs>
                            <w:tab w:val="num" w:pos="540"/>
                          </w:tabs>
                          <w:ind w:left="540"/>
                          <w:jc w:val="both"/>
                          <w:rPr>
                            <w:rFonts w:cs="Arial"/>
                            <w:sz w:val="20"/>
                            <w:szCs w:val="20"/>
                          </w:rPr>
                        </w:pPr>
                        <w:r>
                          <w:rPr>
                            <w:rFonts w:cs="Arial"/>
                            <w:sz w:val="20"/>
                            <w:szCs w:val="20"/>
                          </w:rPr>
                          <w:t>planowanie finansowania</w:t>
                        </w:r>
                      </w:p>
                      <w:p w:rsidR="002B07AD" w:rsidRDefault="002B07AD" w:rsidP="00AB431C">
                        <w:pPr>
                          <w:numPr>
                            <w:ilvl w:val="0"/>
                            <w:numId w:val="16"/>
                          </w:numPr>
                          <w:tabs>
                            <w:tab w:val="num" w:pos="540"/>
                          </w:tabs>
                          <w:ind w:left="540"/>
                          <w:jc w:val="both"/>
                          <w:rPr>
                            <w:rFonts w:cs="Arial"/>
                            <w:sz w:val="20"/>
                            <w:szCs w:val="20"/>
                          </w:rPr>
                        </w:pPr>
                        <w:r>
                          <w:rPr>
                            <w:rFonts w:cs="Arial"/>
                            <w:sz w:val="20"/>
                            <w:szCs w:val="20"/>
                          </w:rPr>
                          <w:t>realizacja przedsięwzięć budowlanych, instalacyjnych i elektrotechnicznych</w:t>
                        </w:r>
                      </w:p>
                      <w:p w:rsidR="002B07AD" w:rsidRDefault="002B07AD" w:rsidP="00AB431C">
                        <w:pPr>
                          <w:numPr>
                            <w:ilvl w:val="0"/>
                            <w:numId w:val="16"/>
                          </w:numPr>
                          <w:tabs>
                            <w:tab w:val="num" w:pos="540"/>
                          </w:tabs>
                          <w:ind w:left="540"/>
                          <w:jc w:val="both"/>
                          <w:rPr>
                            <w:rFonts w:cs="Arial"/>
                            <w:sz w:val="20"/>
                            <w:szCs w:val="20"/>
                          </w:rPr>
                        </w:pPr>
                        <w:r>
                          <w:rPr>
                            <w:rFonts w:cs="Arial"/>
                            <w:sz w:val="20"/>
                            <w:szCs w:val="20"/>
                          </w:rPr>
                          <w:t>doradztwo w zakresie projektowania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5" o:spid="_x0000_s1038" type="#_x0000_t67" style="position:absolute;left:5747;top:754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ZM8MA&#10;AADcAAAADwAAAGRycy9kb3ducmV2LnhtbERPS2sCMRC+F/ofwhR6q1lFrKxmRQTBQim49qC3cTP7&#10;YDeTJUl19dc3QqG3+fies1wNphMXcr6xrGA8SkAQF1Y3XCn4Pmzf5iB8QNbYWSYFN/Kwyp6flphq&#10;e+U9XfJQiRjCPkUFdQh9KqUvajLoR7YnjlxpncEQoaukdniN4aaTkySZSYMNx4Yae9rUVLT5j1GQ&#10;n/Xu44D5tLwfvz4ns9N727qzUq8vw3oBItAQ/sV/7p2O85MpPJ6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ZM8MAAADcAAAADwAAAAAAAAAAAAAAAACYAgAAZHJzL2Rv&#10;d25yZXYueG1sUEsFBgAAAAAEAAQA9QAAAIgDAAAAAA==&#10;" fillcolor="#938953" stroked="f"/>
                <v:shape id="AutoShape 686" o:spid="_x0000_s1039" type="#_x0000_t67" style="position:absolute;left:5747;top:916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qMMA&#10;AADcAAAADwAAAGRycy9kb3ducmV2LnhtbERPTWvCQBC9F/wPywje6kZRK9FVRChYkILRg97G7JiE&#10;ZGfD7lbT/vpuQehtHu9zluvONOJOzleWFYyGCQji3OqKCwWn4/vrHIQPyBoby6TgmzysV72XJaba&#10;PvhA9ywUIoawT1FBGUKbSunzkgz6oW2JI3ezzmCI0BVSO3zEcNPIcZLMpMGKY0OJLW1LyuvsyyjI&#10;rnr3ccRscvs5f+7Hs8tbXburUoN+t1mACNSFf/HTvdNxfjKF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8qMMAAADcAAAADwAAAAAAAAAAAAAAAACYAgAAZHJzL2Rv&#10;d25yZXYueG1sUEsFBgAAAAAEAAQA9QAAAIgDAAAAAA==&#10;" fillcolor="#938953" stroked="f"/>
                <v:shape id="AutoShape 687" o:spid="_x0000_s1040" type="#_x0000_t67" style="position:absolute;left:5747;top:1006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i38MA&#10;AADcAAAADwAAAGRycy9kb3ducmV2LnhtbERPTWvCQBC9C/6HZQq96aYisURXEUFQKAVjD+1tzI5J&#10;SHY27K6a9td3BcHbPN7nLFa9acWVnK8tK3gbJyCIC6trLhV8HbejdxA+IGtsLZOCX/KwWg4HC8y0&#10;vfGBrnkoRQxhn6GCKoQuk9IXFRn0Y9sRR+5sncEQoSuldniL4aaVkyRJpcGaY0OFHW0qKpr8YhTk&#10;J73bHzGfnv++Pz8m6c+sadxJqdeXfj0HEagPT/HDvdNxfpLC/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0i38MAAADcAAAADwAAAAAAAAAAAAAAAACYAgAAZHJzL2Rv&#10;d25yZXYueG1sUEsFBgAAAAAEAAQA9QAAAIgDAAAAAA==&#10;" fillcolor="#938953" stroked="f"/>
                <v:shape id="AutoShape 688" o:spid="_x0000_s1041" type="#_x0000_t67" style="position:absolute;left:3227;top:1096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HRMQA&#10;AADcAAAADwAAAGRycy9kb3ducmV2LnhtbERPS2vCQBC+C/6HZQRvZqOIltSNSKFgoQiNPbS3MTt5&#10;kOxs2N1q6q/vFgq9zcf3nN1+NL24kvOtZQXLJAVBXFrdcq3g/fy8eADhA7LG3jIp+CYP+3w62WGm&#10;7Y3f6FqEWsQQ9hkqaEIYMil92ZBBn9iBOHKVdQZDhK6W2uEthptertJ0Iw22HBsaHOipobIrvoyC&#10;4qKPL2cs1tX94/S62nxuu85dlJrPxsMjiEBj+Bf/uY86zk+38PtMvE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h0TEAAAA3AAAAA8AAAAAAAAAAAAAAAAAmAIAAGRycy9k&#10;b3ducmV2LnhtbFBLBQYAAAAABAAEAPUAAACJAwAAAAA=&#10;" fillcolor="#938953" stroked="f"/>
                <v:shape id="AutoShape 689" o:spid="_x0000_s1042" type="#_x0000_t67" style="position:absolute;left:8087;top:1096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TNsYA&#10;AADcAAAADwAAAGRycy9kb3ducmV2LnhtbESPQWvCQBCF74X+h2WE3upGKbZEV5FCwUIRjD3obcyO&#10;SUh2NuxuNe2vdw5CbzO8N+99s1gNrlMXCrHxbGAyzkARl942XBn43n88v4GKCdli55kM/FKE1fLx&#10;YYG59Vfe0aVIlZIQjjkaqFPqc61jWZPDOPY9sWhnHxwmWUOlbcCrhLtOT7Nsph02LA019vReU9kW&#10;P85AcbKbzz0WL+e/w/ZrOju+tm04GfM0GtZzUImG9G++X2+s4GdCK8/IBH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4TNsYAAADcAAAADwAAAAAAAAAAAAAAAACYAgAAZHJz&#10;L2Rvd25yZXYueG1sUEsFBgAAAAAEAAQA9QAAAIsDAAAAAA==&#10;" fillcolor="#938953" stroked="f"/>
                <w10:anchorlock/>
              </v:group>
            </w:pict>
          </mc:Fallback>
        </mc:AlternateContent>
      </w:r>
    </w:p>
    <w:p w:rsidR="006B024A" w:rsidRPr="00D352C4" w:rsidRDefault="006B024A" w:rsidP="004B3D29">
      <w:pPr>
        <w:ind w:firstLine="0"/>
        <w:jc w:val="center"/>
        <w:rPr>
          <w:rFonts w:ascii="Lato" w:hAnsi="Lato"/>
          <w:color w:val="1F497D"/>
          <w:sz w:val="20"/>
          <w:szCs w:val="20"/>
          <w:highlight w:val="yellow"/>
        </w:rPr>
      </w:pPr>
      <w:bookmarkStart w:id="571" w:name="_Toc336419440"/>
      <w:bookmarkStart w:id="572" w:name="_Toc336943764"/>
      <w:bookmarkStart w:id="573" w:name="_Toc20219273"/>
      <w:r w:rsidRPr="008F3D61">
        <w:rPr>
          <w:rFonts w:ascii="Lato" w:hAnsi="Lato"/>
          <w:b/>
          <w:bCs/>
          <w:color w:val="1F497D"/>
          <w:sz w:val="20"/>
          <w:szCs w:val="20"/>
        </w:rPr>
        <w:t xml:space="preserve">Rysunek </w:t>
      </w:r>
      <w:r w:rsidR="004042AE" w:rsidRPr="008F3D61">
        <w:rPr>
          <w:rFonts w:ascii="Lato" w:hAnsi="Lato"/>
          <w:b/>
          <w:bCs/>
          <w:color w:val="1F497D"/>
          <w:sz w:val="20"/>
          <w:szCs w:val="20"/>
        </w:rPr>
        <w:fldChar w:fldCharType="begin"/>
      </w:r>
      <w:r w:rsidR="005430ED" w:rsidRPr="008F3D61">
        <w:rPr>
          <w:rFonts w:ascii="Lato" w:hAnsi="Lato"/>
          <w:b/>
          <w:bCs/>
          <w:color w:val="1F497D"/>
          <w:sz w:val="20"/>
          <w:szCs w:val="20"/>
        </w:rPr>
        <w:instrText xml:space="preserve"> STYLEREF 1 \s </w:instrText>
      </w:r>
      <w:r w:rsidR="004042AE" w:rsidRPr="008F3D61">
        <w:rPr>
          <w:rFonts w:ascii="Lato" w:hAnsi="Lato"/>
          <w:b/>
          <w:bCs/>
          <w:color w:val="1F497D"/>
          <w:sz w:val="20"/>
          <w:szCs w:val="20"/>
        </w:rPr>
        <w:fldChar w:fldCharType="separate"/>
      </w:r>
      <w:r w:rsidR="0040205B">
        <w:rPr>
          <w:rFonts w:ascii="Lato" w:hAnsi="Lato"/>
          <w:b/>
          <w:bCs/>
          <w:noProof/>
          <w:color w:val="1F497D"/>
          <w:sz w:val="20"/>
          <w:szCs w:val="20"/>
        </w:rPr>
        <w:t>6</w:t>
      </w:r>
      <w:r w:rsidR="004042AE" w:rsidRPr="008F3D61">
        <w:rPr>
          <w:rFonts w:ascii="Lato" w:hAnsi="Lato"/>
          <w:b/>
          <w:bCs/>
          <w:color w:val="1F497D"/>
          <w:sz w:val="20"/>
          <w:szCs w:val="20"/>
        </w:rPr>
        <w:fldChar w:fldCharType="end"/>
      </w:r>
      <w:r w:rsidR="005430ED" w:rsidRPr="008F3D61">
        <w:rPr>
          <w:rFonts w:ascii="Lato" w:hAnsi="Lato"/>
          <w:b/>
          <w:bCs/>
          <w:color w:val="1F497D"/>
          <w:sz w:val="20"/>
          <w:szCs w:val="20"/>
        </w:rPr>
        <w:noBreakHyphen/>
      </w:r>
      <w:r w:rsidR="004042AE" w:rsidRPr="008F3D61">
        <w:rPr>
          <w:rFonts w:ascii="Lato" w:hAnsi="Lato"/>
          <w:b/>
          <w:bCs/>
          <w:color w:val="1F497D"/>
          <w:sz w:val="20"/>
          <w:szCs w:val="20"/>
        </w:rPr>
        <w:fldChar w:fldCharType="begin"/>
      </w:r>
      <w:r w:rsidR="005430ED" w:rsidRPr="008F3D61">
        <w:rPr>
          <w:rFonts w:ascii="Lato" w:hAnsi="Lato"/>
          <w:b/>
          <w:bCs/>
          <w:color w:val="1F497D"/>
          <w:sz w:val="20"/>
          <w:szCs w:val="20"/>
        </w:rPr>
        <w:instrText xml:space="preserve"> SEQ Rysunek \* ARABIC \s 1 </w:instrText>
      </w:r>
      <w:r w:rsidR="004042AE" w:rsidRPr="008F3D61">
        <w:rPr>
          <w:rFonts w:ascii="Lato" w:hAnsi="Lato"/>
          <w:b/>
          <w:bCs/>
          <w:color w:val="1F497D"/>
          <w:sz w:val="20"/>
          <w:szCs w:val="20"/>
        </w:rPr>
        <w:fldChar w:fldCharType="separate"/>
      </w:r>
      <w:r w:rsidR="0040205B">
        <w:rPr>
          <w:rFonts w:ascii="Lato" w:hAnsi="Lato"/>
          <w:b/>
          <w:bCs/>
          <w:noProof/>
          <w:color w:val="1F497D"/>
          <w:sz w:val="20"/>
          <w:szCs w:val="20"/>
        </w:rPr>
        <w:t>16</w:t>
      </w:r>
      <w:r w:rsidR="004042AE" w:rsidRPr="008F3D61">
        <w:rPr>
          <w:rFonts w:ascii="Lato" w:hAnsi="Lato"/>
          <w:b/>
          <w:bCs/>
          <w:color w:val="1F497D"/>
          <w:sz w:val="20"/>
          <w:szCs w:val="20"/>
        </w:rPr>
        <w:fldChar w:fldCharType="end"/>
      </w:r>
      <w:r w:rsidR="00AF08D8" w:rsidRPr="008F3D61">
        <w:rPr>
          <w:rFonts w:ascii="Lato" w:hAnsi="Lato"/>
          <w:b/>
          <w:bCs/>
          <w:color w:val="1F497D"/>
          <w:sz w:val="20"/>
          <w:szCs w:val="20"/>
        </w:rPr>
        <w:t xml:space="preserve"> </w:t>
      </w:r>
      <w:r w:rsidRPr="008F3D61">
        <w:rPr>
          <w:rFonts w:ascii="Lato" w:hAnsi="Lato"/>
          <w:b/>
          <w:color w:val="1F497D"/>
          <w:sz w:val="20"/>
          <w:szCs w:val="20"/>
        </w:rPr>
        <w:t>Schemat działań w ramach zarządzania energią</w:t>
      </w:r>
      <w:bookmarkEnd w:id="571"/>
      <w:bookmarkEnd w:id="572"/>
      <w:bookmarkEnd w:id="573"/>
    </w:p>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6B024A" w:rsidRPr="00D352C4" w:rsidRDefault="006B024A" w:rsidP="006B024A">
      <w:pPr>
        <w:jc w:val="both"/>
        <w:rPr>
          <w:rFonts w:ascii="Lato" w:hAnsi="Lato"/>
          <w:b/>
          <w:bCs/>
          <w:highlight w:val="yellow"/>
        </w:rPr>
      </w:pPr>
    </w:p>
    <w:p w:rsidR="006B024A" w:rsidRPr="00A27F82" w:rsidRDefault="00182A7C" w:rsidP="00AB431C">
      <w:pPr>
        <w:pStyle w:val="Akapitzlist"/>
        <w:keepNext/>
        <w:numPr>
          <w:ilvl w:val="2"/>
          <w:numId w:val="38"/>
        </w:numPr>
        <w:tabs>
          <w:tab w:val="left" w:pos="709"/>
        </w:tabs>
        <w:spacing w:before="180" w:after="180" w:line="288" w:lineRule="auto"/>
        <w:jc w:val="both"/>
        <w:outlineLvl w:val="2"/>
        <w:rPr>
          <w:rFonts w:ascii="Lato" w:hAnsi="Lato"/>
          <w:color w:val="365F91"/>
          <w:lang w:eastAsia="en-US"/>
        </w:rPr>
      </w:pPr>
      <w:bookmarkStart w:id="574" w:name="_Toc336419340"/>
      <w:bookmarkStart w:id="575" w:name="_Toc336943596"/>
      <w:bookmarkStart w:id="576" w:name="_Toc20218538"/>
      <w:r w:rsidRPr="00A27F82">
        <w:rPr>
          <w:rFonts w:ascii="Lato" w:hAnsi="Lato"/>
          <w:color w:val="365F91"/>
          <w:lang w:eastAsia="en-US"/>
        </w:rPr>
        <w:t>Opis możliwości stosowania środków poprawy efektywności energetycznej</w:t>
      </w:r>
      <w:bookmarkEnd w:id="574"/>
      <w:bookmarkEnd w:id="575"/>
      <w:bookmarkEnd w:id="576"/>
    </w:p>
    <w:p w:rsidR="00F92A1F" w:rsidRPr="00A27F82" w:rsidRDefault="00F92A1F" w:rsidP="00182A7C">
      <w:pPr>
        <w:spacing w:line="360" w:lineRule="auto"/>
        <w:ind w:firstLine="0"/>
        <w:jc w:val="both"/>
        <w:rPr>
          <w:rFonts w:ascii="Lato" w:hAnsi="Lato"/>
          <w:szCs w:val="22"/>
        </w:rPr>
      </w:pPr>
    </w:p>
    <w:p w:rsidR="00182A7C" w:rsidRPr="00A27F82" w:rsidRDefault="00182A7C" w:rsidP="00A27F82">
      <w:pPr>
        <w:ind w:firstLine="709"/>
        <w:jc w:val="both"/>
        <w:rPr>
          <w:rFonts w:ascii="Lato" w:hAnsi="Lato"/>
          <w:szCs w:val="22"/>
        </w:rPr>
      </w:pPr>
      <w:r w:rsidRPr="00A27F82">
        <w:rPr>
          <w:rFonts w:ascii="Lato" w:hAnsi="Lato"/>
          <w:szCs w:val="22"/>
        </w:rPr>
        <w:t xml:space="preserve">Do działań inwestycyjnych związanych z poprawą efektywności energetycznej w obiektach użyteczności publicznej zalicza się </w:t>
      </w:r>
      <w:r w:rsidR="00A27F82" w:rsidRPr="00A27F82">
        <w:rPr>
          <w:rFonts w:ascii="Lato" w:hAnsi="Lato"/>
          <w:szCs w:val="22"/>
        </w:rPr>
        <w:t xml:space="preserve">następujące </w:t>
      </w:r>
      <w:r w:rsidRPr="00A27F82">
        <w:rPr>
          <w:rFonts w:ascii="Lato" w:hAnsi="Lato"/>
          <w:szCs w:val="22"/>
        </w:rPr>
        <w:t>działania:</w:t>
      </w:r>
    </w:p>
    <w:p w:rsidR="00182A7C" w:rsidRPr="00A27F82" w:rsidRDefault="00182A7C" w:rsidP="00A27F82">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Dodatkowe zaizolowanie stropu nad najwyższą kondygnacją - zmniejszenie strat ciepła przez ten element konstrukcji budynku poprzez wykonanie dodatkowej izolacji cieplnej. Jeżeli wykonanie wspomnianej izolacji nie jest możliwe bez naruszania pokrycia dachu, należy to przedsięwzięcie połączyć z remontem pokrycia.</w:t>
      </w:r>
    </w:p>
    <w:p w:rsidR="00182A7C" w:rsidRPr="00A27F82" w:rsidRDefault="00182A7C" w:rsidP="00A27F82">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Dodatkowe zaizolowanie stropu nad piwnicami - zmniejszenie strat ciepła przez ten element konstrukcji budynku poprzez wykonanie dodatkowej izolacji cieplnej od strony piwnic. Przedsięwzięcie to z reguły nie wymaga dodatkowych prac remontowych.</w:t>
      </w:r>
    </w:p>
    <w:p w:rsidR="00182A7C" w:rsidRPr="00A27F82" w:rsidRDefault="00182A7C" w:rsidP="00A27F82">
      <w:pPr>
        <w:pStyle w:val="Tekstpodstawowy"/>
        <w:numPr>
          <w:ilvl w:val="0"/>
          <w:numId w:val="83"/>
        </w:numPr>
        <w:tabs>
          <w:tab w:val="clear" w:pos="360"/>
        </w:tabs>
        <w:ind w:left="709" w:hanging="425"/>
        <w:rPr>
          <w:rFonts w:ascii="Lato" w:hAnsi="Lato" w:cs="Times New Roman"/>
        </w:rPr>
      </w:pPr>
      <w:r w:rsidRPr="00A27F82">
        <w:rPr>
          <w:rFonts w:ascii="Lato" w:hAnsi="Lato" w:cs="Times New Roman"/>
        </w:rPr>
        <w:lastRenderedPageBreak/>
        <w:t>Dodatkowe zaizolowanie ścian zewnętrznych - zmniejszenie strat ciepła przez ten element konstrukcji budynku poprzez wykonanie dodatkowej izolacji cieplnej wraz z zewnętrzną warstwą elewacyjną. Rozważanie tego przedsięwzięcia jest szczególnie wskazane w przypadkach kiedy konieczne jest wykonanie remontu elewacji zewnętrznych.</w:t>
      </w:r>
    </w:p>
    <w:p w:rsidR="00182A7C" w:rsidRPr="00A27F82" w:rsidRDefault="00182A7C" w:rsidP="00A27F82">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Wymiana okien na nowe o lepszych własnościach termoizolacyjnych - zmniejszenie strat ciepła przez ten element konstrukcji budynku poprzez zastąpienie okien istniejących, oknami o niższym współczynniku przenikania ciepła U. Rozważanie tego przedsięwzięcia jest szczególnie wskazane w przypadkach kiedy okna istniejące są w bardzo złym stanie technicznym i konieczna jest ich wymiana na nowe.</w:t>
      </w:r>
    </w:p>
    <w:p w:rsidR="00182A7C" w:rsidRPr="00A27F82" w:rsidRDefault="00182A7C" w:rsidP="00A27F82">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 xml:space="preserve">Zamurowanie części okien - zmniejszenie strat ciepła poprzez likwidację części otworów okiennych </w:t>
      </w:r>
      <w:r w:rsidR="00E93D77" w:rsidRPr="00A27F82">
        <w:rPr>
          <w:rFonts w:ascii="Lato" w:hAnsi="Lato" w:cs="Times New Roman"/>
        </w:rPr>
        <w:t>w </w:t>
      </w:r>
      <w:r w:rsidRPr="00A27F82">
        <w:rPr>
          <w:rFonts w:ascii="Lato" w:hAnsi="Lato" w:cs="Times New Roman"/>
        </w:rPr>
        <w:t>obiekcie. Przedsięwzięcie to powinno być wykonane w taki sposób, aby spełnione były wymagania norm i przepisów dotyczące naturalnego oświetlenia pomieszczeń.</w:t>
      </w:r>
    </w:p>
    <w:p w:rsidR="00182A7C" w:rsidRPr="00A27F82" w:rsidRDefault="00182A7C" w:rsidP="00A27F82">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Uszczelnienie okien i ram okiennych - zmniejszenie strat ciepła spowodowanych nadmierną infiltracją powietrza zewnętrznego. Przedsięwzięcie to powinno się rozważać jeżeli okna istniejące są w dobrym stanie technicznym lub wymagają niewielkich prac remontowych. Uszczelnienia powinny być wykonane w</w:t>
      </w:r>
      <w:r w:rsidR="00E93D77" w:rsidRPr="00A27F82">
        <w:rPr>
          <w:rFonts w:ascii="Lato" w:hAnsi="Lato" w:cs="Times New Roman"/>
        </w:rPr>
        <w:t> </w:t>
      </w:r>
      <w:r w:rsidRPr="00A27F82">
        <w:rPr>
          <w:rFonts w:ascii="Lato" w:hAnsi="Lato" w:cs="Times New Roman"/>
        </w:rPr>
        <w:t>taki sposób</w:t>
      </w:r>
      <w:r w:rsidR="00410337" w:rsidRPr="00A27F82">
        <w:rPr>
          <w:rFonts w:ascii="Lato" w:hAnsi="Lato" w:cs="Times New Roman"/>
        </w:rPr>
        <w:t>,</w:t>
      </w:r>
      <w:r w:rsidRPr="00A27F82">
        <w:rPr>
          <w:rFonts w:ascii="Lato" w:hAnsi="Lato" w:cs="Times New Roman"/>
        </w:rPr>
        <w:t xml:space="preserve"> aby zapewnić wymagane normą lub odrębnymi przepisami wielkości strumieni powietrza wentylacyjnego w pomieszczeniach.</w:t>
      </w:r>
    </w:p>
    <w:p w:rsidR="00182A7C" w:rsidRPr="00A27F82" w:rsidRDefault="00182A7C" w:rsidP="00A27F82">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Montaż okiennic lub zewnętrznych rolet zasłaniających okna - przedsięwzięcie to może być rozpatrywane jako alternatywa dla wymiany okien w przypadku, kiedy ich stan techniczny jest zadowalający, a</w:t>
      </w:r>
      <w:r w:rsidR="00E93D77" w:rsidRPr="00A27F82">
        <w:rPr>
          <w:rFonts w:ascii="Lato" w:hAnsi="Lato" w:cs="Times New Roman"/>
        </w:rPr>
        <w:t> </w:t>
      </w:r>
      <w:r w:rsidRPr="00A27F82">
        <w:rPr>
          <w:rFonts w:ascii="Lato" w:hAnsi="Lato" w:cs="Times New Roman"/>
        </w:rPr>
        <w:t>współczynnik przenikania ciepła U stosunkowo wysoki 3.0 W/(m</w:t>
      </w:r>
      <w:r w:rsidRPr="00A27F82">
        <w:rPr>
          <w:rFonts w:ascii="Lato" w:hAnsi="Lato" w:cs="Times New Roman"/>
          <w:vertAlign w:val="superscript"/>
        </w:rPr>
        <w:t>2</w:t>
      </w:r>
      <w:r w:rsidRPr="00A27F82">
        <w:rPr>
          <w:rFonts w:ascii="Lato" w:hAnsi="Lato" w:cs="Times New Roman"/>
        </w:rPr>
        <w:t xml:space="preserve"> K).</w:t>
      </w:r>
    </w:p>
    <w:p w:rsidR="00182A7C" w:rsidRPr="00A27F82" w:rsidRDefault="00182A7C" w:rsidP="00A27F82">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Montaż tzw. "wiatrołapów" (otwartych lub zamkniętych dodatkowymi drzwiami)</w:t>
      </w:r>
      <w:r w:rsidR="00410337" w:rsidRPr="00A27F82">
        <w:rPr>
          <w:rFonts w:ascii="Lato" w:hAnsi="Lato" w:cs="Times New Roman"/>
        </w:rPr>
        <w:t>.</w:t>
      </w:r>
    </w:p>
    <w:p w:rsidR="00182A7C" w:rsidRPr="00A27F82" w:rsidRDefault="00182A7C" w:rsidP="00A27F82">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Montaż zagrzejnikowych ekranów refleksyjnych - zmniejszenie strat ciepła przez fragmenty ścian zewnętrznych, na których zainstalowane są grzejniki i skierowanie ciepła do pomieszczenia. Przedsięwzięcie szczególnie polecane dla budynków, w których nie przewiduje się dodatkowej izolacji termicznej na ścianach zewnętrznych.</w:t>
      </w:r>
    </w:p>
    <w:p w:rsidR="00182A7C" w:rsidRPr="00A27F82" w:rsidRDefault="00410337" w:rsidP="00A27F82">
      <w:pPr>
        <w:pStyle w:val="Tekstpodstawowy"/>
        <w:numPr>
          <w:ilvl w:val="0"/>
          <w:numId w:val="83"/>
        </w:numPr>
        <w:tabs>
          <w:tab w:val="clear" w:pos="360"/>
        </w:tabs>
        <w:ind w:left="709" w:hanging="425"/>
        <w:rPr>
          <w:rFonts w:ascii="Lato" w:hAnsi="Lato" w:cs="Times New Roman"/>
        </w:rPr>
      </w:pPr>
      <w:r w:rsidRPr="00A27F82">
        <w:rPr>
          <w:rFonts w:ascii="Lato" w:hAnsi="Lato" w:cs="Times New Roman"/>
        </w:rPr>
        <w:t>Za</w:t>
      </w:r>
      <w:r w:rsidR="00182A7C" w:rsidRPr="00A27F82">
        <w:rPr>
          <w:rFonts w:ascii="Lato" w:hAnsi="Lato" w:cs="Times New Roman"/>
        </w:rPr>
        <w:t>stosowanie odzysku ciepła z powietrza wentylacyjnego - zmniejszenie zużycia ciepła do pod</w:t>
      </w:r>
      <w:r w:rsidR="00AF5F8C" w:rsidRPr="00A27F82">
        <w:rPr>
          <w:rFonts w:ascii="Lato" w:hAnsi="Lato" w:cs="Times New Roman"/>
        </w:rPr>
        <w:t>g</w:t>
      </w:r>
      <w:r w:rsidR="00182A7C" w:rsidRPr="00A27F82">
        <w:rPr>
          <w:rFonts w:ascii="Lato" w:hAnsi="Lato" w:cs="Times New Roman"/>
        </w:rPr>
        <w:t>rzewania powietrza wentylacyjnego. Wprowadzenie przedsięwzięcia powinno się rozważać w odniesieniu do obiektów/pomieszczeń wymagających mechanicznych układów wentylacji.</w:t>
      </w:r>
    </w:p>
    <w:p w:rsidR="00182A7C" w:rsidRPr="00A27F82" w:rsidRDefault="00182A7C" w:rsidP="00A27F82">
      <w:pPr>
        <w:ind w:firstLine="709"/>
        <w:jc w:val="both"/>
        <w:rPr>
          <w:rFonts w:ascii="Lato" w:hAnsi="Lato"/>
          <w:szCs w:val="22"/>
        </w:rPr>
      </w:pPr>
      <w:r w:rsidRPr="00A27F82">
        <w:rPr>
          <w:rFonts w:ascii="Lato" w:hAnsi="Lato"/>
          <w:szCs w:val="22"/>
        </w:rPr>
        <w:t>Działania dotyczące poprawy sprawności źródeł ciepła grzewczego (w tym również węzłów cieplnych) i/lub wewnętrznych instalacji grzewczych:</w:t>
      </w:r>
    </w:p>
    <w:p w:rsidR="00182A7C" w:rsidRPr="00A27F82" w:rsidRDefault="00A27F82" w:rsidP="00A27F82">
      <w:pPr>
        <w:pStyle w:val="Tekstpodstawowy"/>
        <w:numPr>
          <w:ilvl w:val="0"/>
          <w:numId w:val="83"/>
        </w:numPr>
        <w:tabs>
          <w:tab w:val="clear" w:pos="360"/>
        </w:tabs>
        <w:ind w:left="709" w:hanging="425"/>
        <w:rPr>
          <w:rFonts w:ascii="Lato" w:hAnsi="Lato" w:cs="Times New Roman"/>
        </w:rPr>
      </w:pPr>
      <w:r>
        <w:rPr>
          <w:rFonts w:ascii="Lato" w:hAnsi="Lato" w:cs="Times New Roman"/>
        </w:rPr>
        <w:t>M</w:t>
      </w:r>
      <w:r w:rsidR="00182A7C" w:rsidRPr="00A27F82">
        <w:rPr>
          <w:rFonts w:ascii="Lato" w:hAnsi="Lato" w:cs="Times New Roman"/>
        </w:rPr>
        <w:t>ontaż lub wymiana wewnętrznej instalacji c.o. - zastosowanie instalacji o małej pojemności wodnej wyposażonej w nowoczesne grzejniki o rozwiniętej powierzchni lub ko</w:t>
      </w:r>
      <w:r w:rsidR="00410337" w:rsidRPr="00A27F82">
        <w:rPr>
          <w:rFonts w:ascii="Lato" w:hAnsi="Lato" w:cs="Times New Roman"/>
        </w:rPr>
        <w:t>nwekcyjne</w:t>
      </w:r>
      <w:r>
        <w:rPr>
          <w:rFonts w:ascii="Lato" w:hAnsi="Lato" w:cs="Times New Roman"/>
        </w:rPr>
        <w:t>.</w:t>
      </w:r>
    </w:p>
    <w:p w:rsidR="00182A7C" w:rsidRPr="00A27F82" w:rsidRDefault="00A27F82" w:rsidP="00A27F82">
      <w:pPr>
        <w:pStyle w:val="Tekstpodstawowy"/>
        <w:numPr>
          <w:ilvl w:val="0"/>
          <w:numId w:val="83"/>
        </w:numPr>
        <w:tabs>
          <w:tab w:val="clear" w:pos="360"/>
        </w:tabs>
        <w:ind w:left="709" w:hanging="425"/>
        <w:rPr>
          <w:rFonts w:ascii="Lato" w:hAnsi="Lato" w:cs="Times New Roman"/>
        </w:rPr>
      </w:pPr>
      <w:r>
        <w:rPr>
          <w:rFonts w:ascii="Lato" w:hAnsi="Lato" w:cs="Times New Roman"/>
        </w:rPr>
        <w:t>M</w:t>
      </w:r>
      <w:r w:rsidR="00182A7C" w:rsidRPr="00A27F82">
        <w:rPr>
          <w:rFonts w:ascii="Lato" w:hAnsi="Lato" w:cs="Times New Roman"/>
        </w:rPr>
        <w:t>ontaż systemu sterowania ogrzewaniem - system sterowania powinien umożliwiać co najmniej regulację temperatury wewnętrznej w zależności od temperatury zewnętrznej oraz realizację tzw. »obniżeń no</w:t>
      </w:r>
      <w:r w:rsidR="00410337" w:rsidRPr="00A27F82">
        <w:rPr>
          <w:rFonts w:ascii="Lato" w:hAnsi="Lato" w:cs="Times New Roman"/>
        </w:rPr>
        <w:t>cnych« i »obniżeń weekendowych«</w:t>
      </w:r>
      <w:r>
        <w:rPr>
          <w:rFonts w:ascii="Lato" w:hAnsi="Lato" w:cs="Times New Roman"/>
        </w:rPr>
        <w:t>.</w:t>
      </w:r>
    </w:p>
    <w:p w:rsidR="00182A7C" w:rsidRPr="00A27F82" w:rsidRDefault="00A27F82" w:rsidP="00A27F82">
      <w:pPr>
        <w:pStyle w:val="Tekstpodstawowy"/>
        <w:numPr>
          <w:ilvl w:val="0"/>
          <w:numId w:val="83"/>
        </w:numPr>
        <w:tabs>
          <w:tab w:val="clear" w:pos="360"/>
        </w:tabs>
        <w:ind w:left="709" w:hanging="425"/>
        <w:rPr>
          <w:rFonts w:ascii="Lato" w:hAnsi="Lato" w:cs="Times New Roman"/>
        </w:rPr>
      </w:pPr>
      <w:r>
        <w:rPr>
          <w:rFonts w:ascii="Lato" w:hAnsi="Lato" w:cs="Times New Roman"/>
        </w:rPr>
        <w:t>M</w:t>
      </w:r>
      <w:r w:rsidR="00182A7C" w:rsidRPr="00A27F82">
        <w:rPr>
          <w:rFonts w:ascii="Lato" w:hAnsi="Lato" w:cs="Times New Roman"/>
        </w:rPr>
        <w:t>ontaż przygrzejnikowych zaworów termostatycznych wraz z podpionowymi zaworami regulacyjnymi, zapewniającymi stabilność hydrauliczną wewnętrznej instalacji grzewczej</w:t>
      </w:r>
      <w:r>
        <w:rPr>
          <w:rFonts w:ascii="Lato" w:hAnsi="Lato" w:cs="Times New Roman"/>
        </w:rPr>
        <w:t>.</w:t>
      </w:r>
    </w:p>
    <w:p w:rsidR="00182A7C" w:rsidRPr="00A27F82" w:rsidRDefault="00A27F82" w:rsidP="00A27F82">
      <w:pPr>
        <w:pStyle w:val="Tekstpodstawowy"/>
        <w:numPr>
          <w:ilvl w:val="0"/>
          <w:numId w:val="83"/>
        </w:numPr>
        <w:tabs>
          <w:tab w:val="clear" w:pos="360"/>
        </w:tabs>
        <w:ind w:left="709" w:hanging="425"/>
        <w:rPr>
          <w:rFonts w:ascii="Lato" w:hAnsi="Lato" w:cs="Times New Roman"/>
        </w:rPr>
      </w:pPr>
      <w:r>
        <w:rPr>
          <w:rFonts w:ascii="Lato" w:hAnsi="Lato" w:cs="Times New Roman"/>
        </w:rPr>
        <w:lastRenderedPageBreak/>
        <w:t>K</w:t>
      </w:r>
      <w:r w:rsidR="00182A7C" w:rsidRPr="00A27F82">
        <w:rPr>
          <w:rFonts w:ascii="Lato" w:hAnsi="Lato" w:cs="Times New Roman"/>
        </w:rPr>
        <w:t>ompletna wymiana istniejącego źródła ciepła opalanego p</w:t>
      </w:r>
      <w:r w:rsidR="00D03562">
        <w:rPr>
          <w:rFonts w:ascii="Lato" w:hAnsi="Lato" w:cs="Times New Roman"/>
        </w:rPr>
        <w:t>aliwem stałym (węgiel, koks) na </w:t>
      </w:r>
      <w:r w:rsidR="00182A7C" w:rsidRPr="00A27F82">
        <w:rPr>
          <w:rFonts w:ascii="Lato" w:hAnsi="Lato" w:cs="Times New Roman"/>
        </w:rPr>
        <w:t>nowoczesne opalane paliwami przyjaznymi dla środowiska (gaz ziemny, gaz płynny, olej opałowy, odpady drzewne, węgiel typu Ekogroszek, itp</w:t>
      </w:r>
      <w:r w:rsidR="000B5D2C" w:rsidRPr="00A27F82">
        <w:rPr>
          <w:rFonts w:ascii="Lato" w:hAnsi="Lato" w:cs="Times New Roman"/>
        </w:rPr>
        <w:t>.</w:t>
      </w:r>
      <w:r w:rsidR="00182A7C" w:rsidRPr="00A27F82">
        <w:rPr>
          <w:rFonts w:ascii="Lato" w:hAnsi="Lato" w:cs="Times New Roman"/>
        </w:rPr>
        <w:t>)</w:t>
      </w:r>
      <w:r w:rsidR="00410337" w:rsidRPr="00A27F82">
        <w:rPr>
          <w:rFonts w:ascii="Lato" w:hAnsi="Lato" w:cs="Times New Roman"/>
        </w:rPr>
        <w:t>.</w:t>
      </w:r>
    </w:p>
    <w:p w:rsidR="00182A7C" w:rsidRPr="00A27F82" w:rsidRDefault="00182A7C" w:rsidP="00A27F82">
      <w:pPr>
        <w:ind w:firstLine="709"/>
        <w:jc w:val="both"/>
        <w:rPr>
          <w:rFonts w:ascii="Lato" w:hAnsi="Lato"/>
          <w:szCs w:val="22"/>
        </w:rPr>
      </w:pPr>
      <w:r w:rsidRPr="00A27F82">
        <w:rPr>
          <w:rFonts w:ascii="Lato" w:hAnsi="Lato"/>
          <w:szCs w:val="22"/>
        </w:rPr>
        <w:t>Działania dotyczące ciepłej wody użytkowej:</w:t>
      </w:r>
    </w:p>
    <w:p w:rsidR="00182A7C" w:rsidRPr="00A27F82" w:rsidRDefault="00A27F82" w:rsidP="00A27F82">
      <w:pPr>
        <w:pStyle w:val="Tekstpodstawowy"/>
        <w:numPr>
          <w:ilvl w:val="0"/>
          <w:numId w:val="83"/>
        </w:numPr>
        <w:tabs>
          <w:tab w:val="clear" w:pos="360"/>
        </w:tabs>
        <w:ind w:left="709" w:hanging="425"/>
        <w:rPr>
          <w:rFonts w:ascii="Lato" w:hAnsi="Lato" w:cs="Times New Roman"/>
        </w:rPr>
      </w:pPr>
      <w:r>
        <w:rPr>
          <w:rFonts w:ascii="Lato" w:hAnsi="Lato" w:cs="Times New Roman"/>
        </w:rPr>
        <w:t>M</w:t>
      </w:r>
      <w:r w:rsidR="00182A7C" w:rsidRPr="00A27F82">
        <w:rPr>
          <w:rFonts w:ascii="Lato" w:hAnsi="Lato" w:cs="Times New Roman"/>
        </w:rPr>
        <w:t>ontaż izolacji termicznej na elementach instalacji c.w.u. - zaizolowanie wymienników, zasobników, instalacji rozprowadzającej i przewodów cyrkulacyjnych c.w.u</w:t>
      </w:r>
      <w:r>
        <w:rPr>
          <w:rFonts w:ascii="Lato" w:hAnsi="Lato" w:cs="Times New Roman"/>
        </w:rPr>
        <w:t>.</w:t>
      </w:r>
    </w:p>
    <w:p w:rsidR="00182A7C" w:rsidRPr="00A27F82" w:rsidRDefault="00A27F82" w:rsidP="00A27F82">
      <w:pPr>
        <w:pStyle w:val="Tekstpodstawowy"/>
        <w:numPr>
          <w:ilvl w:val="0"/>
          <w:numId w:val="83"/>
        </w:numPr>
        <w:tabs>
          <w:tab w:val="clear" w:pos="360"/>
        </w:tabs>
        <w:ind w:left="709" w:hanging="425"/>
        <w:rPr>
          <w:rFonts w:ascii="Lato" w:hAnsi="Lato" w:cs="Times New Roman"/>
        </w:rPr>
      </w:pPr>
      <w:r>
        <w:rPr>
          <w:rFonts w:ascii="Lato" w:hAnsi="Lato" w:cs="Times New Roman"/>
        </w:rPr>
        <w:t>M</w:t>
      </w:r>
      <w:r w:rsidR="00182A7C" w:rsidRPr="00A27F82">
        <w:rPr>
          <w:rFonts w:ascii="Lato" w:hAnsi="Lato" w:cs="Times New Roman"/>
        </w:rPr>
        <w:t>ontaż zaworów regulacyjnych na rozprowadzeniach c.w.u. zapewniających regulację hydrauliczną systemu c.w.u</w:t>
      </w:r>
      <w:r>
        <w:rPr>
          <w:rFonts w:ascii="Lato" w:hAnsi="Lato" w:cs="Times New Roman"/>
        </w:rPr>
        <w:t>.</w:t>
      </w:r>
    </w:p>
    <w:p w:rsidR="00182A7C" w:rsidRPr="00A27F82" w:rsidRDefault="00A27F82" w:rsidP="00A27F82">
      <w:pPr>
        <w:pStyle w:val="Tekstpodstawowy"/>
        <w:numPr>
          <w:ilvl w:val="0"/>
          <w:numId w:val="83"/>
        </w:numPr>
        <w:tabs>
          <w:tab w:val="clear" w:pos="360"/>
        </w:tabs>
        <w:ind w:left="709" w:hanging="425"/>
        <w:rPr>
          <w:rFonts w:ascii="Lato" w:hAnsi="Lato" w:cs="Times New Roman"/>
        </w:rPr>
      </w:pPr>
      <w:r>
        <w:rPr>
          <w:rFonts w:ascii="Lato" w:hAnsi="Lato" w:cs="Times New Roman"/>
        </w:rPr>
        <w:t>M</w:t>
      </w:r>
      <w:r w:rsidR="00182A7C" w:rsidRPr="00A27F82">
        <w:rPr>
          <w:rFonts w:ascii="Lato" w:hAnsi="Lato" w:cs="Times New Roman"/>
        </w:rPr>
        <w:t>ontaż układu automatycznej regulacji c.w.u., układ powinien zapewniać regulację temperatury c.w.u. w</w:t>
      </w:r>
      <w:r w:rsidR="00D266DF" w:rsidRPr="00A27F82">
        <w:rPr>
          <w:rFonts w:ascii="Lato" w:hAnsi="Lato" w:cs="Times New Roman"/>
        </w:rPr>
        <w:t> </w:t>
      </w:r>
      <w:r w:rsidR="00182A7C" w:rsidRPr="00A27F82">
        <w:rPr>
          <w:rFonts w:ascii="Lato" w:hAnsi="Lato" w:cs="Times New Roman"/>
        </w:rPr>
        <w:t>zasobniku oraz przydzielać priorytet grzania c.w.u. - umożliwia to uniknięcie zamówienia mocy do celów c.w.u., sterować w trybie »Start/Stop« pracą pompy cyrkulacyjnej c.w.u. w zależności od temperatury wody na powrocie cyrkulacji do zasobnika</w:t>
      </w:r>
      <w:r>
        <w:rPr>
          <w:rFonts w:ascii="Lato" w:hAnsi="Lato" w:cs="Times New Roman"/>
        </w:rPr>
        <w:t>.</w:t>
      </w:r>
    </w:p>
    <w:p w:rsidR="00182A7C" w:rsidRPr="00A27F82" w:rsidRDefault="00A27F82" w:rsidP="00A27F82">
      <w:pPr>
        <w:pStyle w:val="Tekstpodstawowy"/>
        <w:numPr>
          <w:ilvl w:val="0"/>
          <w:numId w:val="83"/>
        </w:numPr>
        <w:tabs>
          <w:tab w:val="clear" w:pos="360"/>
        </w:tabs>
        <w:ind w:left="709" w:hanging="425"/>
        <w:rPr>
          <w:rFonts w:ascii="Lato" w:hAnsi="Lato" w:cs="Times New Roman"/>
        </w:rPr>
      </w:pPr>
      <w:r>
        <w:rPr>
          <w:rFonts w:ascii="Lato" w:hAnsi="Lato" w:cs="Times New Roman"/>
        </w:rPr>
        <w:t>Z</w:t>
      </w:r>
      <w:r w:rsidR="00182A7C" w:rsidRPr="00A27F82">
        <w:rPr>
          <w:rFonts w:ascii="Lato" w:hAnsi="Lato" w:cs="Times New Roman"/>
        </w:rPr>
        <w:t>miana systemu przygotowania c.w.u. w obiektach z centralnie przygotowywaną c.w.u., a niewielkim jej zużyciem, uzasadnione może być przejście z systemu centralnego na lokalne urz</w:t>
      </w:r>
      <w:r w:rsidR="00410337" w:rsidRPr="00A27F82">
        <w:rPr>
          <w:rFonts w:ascii="Lato" w:hAnsi="Lato" w:cs="Times New Roman"/>
        </w:rPr>
        <w:t>ądzenia do przygotowania c.w.u</w:t>
      </w:r>
      <w:r>
        <w:rPr>
          <w:rFonts w:ascii="Lato" w:hAnsi="Lato" w:cs="Times New Roman"/>
        </w:rPr>
        <w:t>.</w:t>
      </w:r>
    </w:p>
    <w:p w:rsidR="00190F54" w:rsidRPr="00A27F82" w:rsidRDefault="00190F54" w:rsidP="00A27F82">
      <w:pPr>
        <w:ind w:firstLine="0"/>
        <w:jc w:val="both"/>
        <w:rPr>
          <w:rFonts w:ascii="Lato" w:hAnsi="Lato"/>
          <w:szCs w:val="22"/>
          <w:highlight w:val="yellow"/>
        </w:rPr>
      </w:pPr>
    </w:p>
    <w:p w:rsidR="00182A7C" w:rsidRPr="00A27F82" w:rsidRDefault="00182A7C" w:rsidP="00A27F82">
      <w:pPr>
        <w:ind w:firstLine="709"/>
        <w:jc w:val="both"/>
        <w:rPr>
          <w:rFonts w:ascii="Lato" w:hAnsi="Lato"/>
          <w:szCs w:val="22"/>
        </w:rPr>
      </w:pPr>
      <w:r w:rsidRPr="00A27F82">
        <w:rPr>
          <w:rFonts w:ascii="Lato" w:hAnsi="Lato"/>
          <w:szCs w:val="22"/>
        </w:rPr>
        <w:t>Działania dotyczące urządzeń technologicznych w kuchniach i pralniach:</w:t>
      </w:r>
    </w:p>
    <w:p w:rsidR="00182A7C" w:rsidRPr="00A27F82" w:rsidRDefault="00182A7C" w:rsidP="00A27F82">
      <w:pPr>
        <w:ind w:left="1" w:firstLine="0"/>
        <w:jc w:val="both"/>
        <w:rPr>
          <w:rFonts w:ascii="Lato" w:hAnsi="Lato"/>
          <w:szCs w:val="22"/>
        </w:rPr>
      </w:pPr>
      <w:r w:rsidRPr="00A27F82">
        <w:rPr>
          <w:rFonts w:ascii="Lato" w:hAnsi="Lato"/>
          <w:szCs w:val="22"/>
        </w:rPr>
        <w:t>Wymiana urządzeń wyposażenia technologicznego na bardziej efektywne, efektywność powinna być oceniona energetycznie i ekonomicznie, bowiem nie zawsze sprawniejsze urządzenie zapewnia zmniejszenie kosztów uzyskania efektu końcowego (np. przygotowania posiłku czy też wyprania określonej ilości bielizny). W rachunku ekonomicznym należy uwzględnić koszty kapitałowe (koszty zakupu nowych, sprawniejszych urządzeń)</w:t>
      </w:r>
      <w:r w:rsidR="00190F54" w:rsidRPr="00A27F82">
        <w:rPr>
          <w:rFonts w:ascii="Lato" w:hAnsi="Lato"/>
          <w:szCs w:val="22"/>
        </w:rPr>
        <w:t>.</w:t>
      </w:r>
    </w:p>
    <w:p w:rsidR="00182A7C" w:rsidRPr="00A27F82" w:rsidRDefault="00182A7C" w:rsidP="00A27F82">
      <w:pPr>
        <w:ind w:firstLine="0"/>
        <w:jc w:val="both"/>
        <w:rPr>
          <w:rFonts w:ascii="Lato" w:hAnsi="Lato"/>
          <w:szCs w:val="22"/>
          <w:highlight w:val="yellow"/>
        </w:rPr>
      </w:pPr>
    </w:p>
    <w:p w:rsidR="00182A7C" w:rsidRPr="00A27F82" w:rsidRDefault="00182A7C" w:rsidP="00A27F82">
      <w:pPr>
        <w:ind w:firstLine="709"/>
        <w:jc w:val="both"/>
        <w:rPr>
          <w:rFonts w:ascii="Lato" w:hAnsi="Lato"/>
          <w:szCs w:val="22"/>
        </w:rPr>
      </w:pPr>
      <w:r w:rsidRPr="00A27F82">
        <w:rPr>
          <w:rFonts w:ascii="Lato" w:hAnsi="Lato"/>
          <w:szCs w:val="22"/>
        </w:rPr>
        <w:t xml:space="preserve">Dla wiarygodnego rozliczenia efektów wprowadzonych przedsięwzięć proponuje się monitorowanie zużycia zgodnie z przyjętymi zasadami (ewidencjonowanie danych w funkcjonującej bazie danych). Dane wprowadzone do bazy, przed i po wprowadzeniu przedsięwzięć, stanowić będą podstawę rozliczeń. Poniżej omówiono czynniki korygujące zużycie. </w:t>
      </w:r>
    </w:p>
    <w:p w:rsidR="00182A7C" w:rsidRPr="00A27F82" w:rsidRDefault="00182A7C" w:rsidP="00A27F82">
      <w:pPr>
        <w:ind w:firstLine="0"/>
        <w:jc w:val="both"/>
        <w:rPr>
          <w:rFonts w:ascii="Lato" w:hAnsi="Lato"/>
          <w:szCs w:val="22"/>
        </w:rPr>
      </w:pPr>
    </w:p>
    <w:p w:rsidR="00182A7C" w:rsidRPr="00A27F82" w:rsidRDefault="00182A7C" w:rsidP="00A27F82">
      <w:pPr>
        <w:ind w:firstLine="0"/>
        <w:jc w:val="both"/>
        <w:rPr>
          <w:rFonts w:ascii="Lato" w:hAnsi="Lato"/>
          <w:b/>
          <w:szCs w:val="22"/>
        </w:rPr>
      </w:pPr>
      <w:r w:rsidRPr="00A27F82">
        <w:rPr>
          <w:rFonts w:ascii="Lato" w:hAnsi="Lato"/>
          <w:b/>
          <w:szCs w:val="22"/>
        </w:rPr>
        <w:t>Stopniodni</w:t>
      </w:r>
    </w:p>
    <w:p w:rsidR="00182A7C" w:rsidRPr="00A27F82" w:rsidRDefault="00182A7C" w:rsidP="00A27F82">
      <w:pPr>
        <w:ind w:firstLine="0"/>
        <w:jc w:val="both"/>
        <w:rPr>
          <w:rFonts w:ascii="Lato" w:hAnsi="Lato"/>
          <w:szCs w:val="22"/>
        </w:rPr>
      </w:pPr>
      <w:r w:rsidRPr="00A27F82">
        <w:rPr>
          <w:rFonts w:ascii="Lato" w:hAnsi="Lato"/>
          <w:szCs w:val="22"/>
        </w:rPr>
        <w:t xml:space="preserve">Stopniodni to miara zewnętrznych warunków temperaturowych występujących w </w:t>
      </w:r>
      <w:r w:rsidR="00190F54" w:rsidRPr="00A27F82">
        <w:rPr>
          <w:rFonts w:ascii="Lato" w:hAnsi="Lato"/>
          <w:szCs w:val="22"/>
        </w:rPr>
        <w:t xml:space="preserve">danym </w:t>
      </w:r>
      <w:r w:rsidRPr="00A27F82">
        <w:rPr>
          <w:rFonts w:ascii="Lato" w:hAnsi="Lato"/>
          <w:szCs w:val="22"/>
        </w:rPr>
        <w:t>okresie (tygodnia, miesiąca, roku). Wykorzystuje się je do standaryzowania zużycia energii do celów grzewczych, dla umożliwienia porównań pomiędzy kolejnymi sezonami grzewczymi. Stopniodni dla dłuższego przedziału czasu (tydzień, miesiąc, rok) oblicza się poprzez sumowanie dziennych wartości stopniodni.</w:t>
      </w:r>
    </w:p>
    <w:p w:rsidR="00410337" w:rsidRPr="00A27F82" w:rsidRDefault="00410337" w:rsidP="00A27F82">
      <w:pPr>
        <w:ind w:firstLine="0"/>
        <w:jc w:val="both"/>
        <w:rPr>
          <w:rFonts w:ascii="Lato" w:hAnsi="Lato"/>
          <w:szCs w:val="22"/>
        </w:rPr>
      </w:pPr>
    </w:p>
    <w:p w:rsidR="00182A7C" w:rsidRPr="00A27F82" w:rsidRDefault="00182A7C" w:rsidP="00A27F82">
      <w:pPr>
        <w:ind w:firstLine="0"/>
        <w:jc w:val="both"/>
        <w:rPr>
          <w:rFonts w:ascii="Lato" w:hAnsi="Lato"/>
          <w:b/>
          <w:szCs w:val="22"/>
        </w:rPr>
      </w:pPr>
      <w:r w:rsidRPr="00A27F82">
        <w:rPr>
          <w:rFonts w:ascii="Lato" w:hAnsi="Lato"/>
          <w:b/>
          <w:szCs w:val="22"/>
        </w:rPr>
        <w:t>Temperatury wewnętrzne w obiekcie</w:t>
      </w:r>
    </w:p>
    <w:p w:rsidR="00182A7C" w:rsidRPr="00A27F82" w:rsidRDefault="00182A7C" w:rsidP="00A27F82">
      <w:pPr>
        <w:ind w:firstLine="0"/>
        <w:jc w:val="both"/>
        <w:rPr>
          <w:rFonts w:ascii="Lato" w:hAnsi="Lato"/>
          <w:szCs w:val="22"/>
        </w:rPr>
      </w:pPr>
      <w:r w:rsidRPr="00A27F82">
        <w:rPr>
          <w:rFonts w:ascii="Lato" w:hAnsi="Lato"/>
          <w:szCs w:val="22"/>
        </w:rPr>
        <w:t>Proponuje się wyznaczenie 3 punktów w obiekcie, w których mierzona będzie temperatura wewnętrzna. Jeden punkt na korytarzu, kolejny w pomieszczeniu o naj</w:t>
      </w:r>
      <w:r w:rsidR="00A27F82" w:rsidRPr="00A27F82">
        <w:rPr>
          <w:rFonts w:ascii="Lato" w:hAnsi="Lato"/>
          <w:szCs w:val="22"/>
        </w:rPr>
        <w:t>większej kubaturze ogrzewanej i </w:t>
      </w:r>
      <w:r w:rsidRPr="00A27F82">
        <w:rPr>
          <w:rFonts w:ascii="Lato" w:hAnsi="Lato"/>
          <w:szCs w:val="22"/>
        </w:rPr>
        <w:t xml:space="preserve">ostatni w przeciętnym pomieszczeniu użytkowym obiektu. Jako temperaturę wewnętrzną do celów rozliczeniowych </w:t>
      </w:r>
      <w:r w:rsidRPr="00A27F82">
        <w:rPr>
          <w:rFonts w:ascii="Lato" w:hAnsi="Lato"/>
          <w:szCs w:val="22"/>
        </w:rPr>
        <w:lastRenderedPageBreak/>
        <w:t>przyjmuje się średnią arytmetyczną ze wspomnianych trzech punktów. Odczytów należy dokonywać codziennie o stałej porze lub zainstalować urządzenia rejestrujące.</w:t>
      </w:r>
    </w:p>
    <w:p w:rsidR="00410337" w:rsidRPr="009F30F6" w:rsidRDefault="00410337" w:rsidP="00A27F82">
      <w:pPr>
        <w:ind w:firstLine="0"/>
        <w:jc w:val="both"/>
        <w:rPr>
          <w:rFonts w:ascii="Lato" w:hAnsi="Lato"/>
          <w:szCs w:val="22"/>
        </w:rPr>
      </w:pPr>
    </w:p>
    <w:p w:rsidR="00A342D0" w:rsidRDefault="00A342D0" w:rsidP="00A27F82">
      <w:pPr>
        <w:ind w:firstLine="0"/>
        <w:jc w:val="both"/>
        <w:rPr>
          <w:rFonts w:ascii="Lato" w:hAnsi="Lato"/>
          <w:b/>
          <w:szCs w:val="22"/>
        </w:rPr>
      </w:pPr>
    </w:p>
    <w:p w:rsidR="00182A7C" w:rsidRPr="009F30F6" w:rsidRDefault="00182A7C" w:rsidP="00A27F82">
      <w:pPr>
        <w:ind w:firstLine="0"/>
        <w:jc w:val="both"/>
        <w:rPr>
          <w:rFonts w:ascii="Lato" w:hAnsi="Lato"/>
          <w:b/>
          <w:szCs w:val="22"/>
        </w:rPr>
      </w:pPr>
      <w:r w:rsidRPr="009F30F6">
        <w:rPr>
          <w:rFonts w:ascii="Lato" w:hAnsi="Lato"/>
          <w:b/>
          <w:szCs w:val="22"/>
        </w:rPr>
        <w:t>Stopień wykorzystania obiektu</w:t>
      </w:r>
    </w:p>
    <w:p w:rsidR="00182A7C" w:rsidRPr="009F30F6" w:rsidRDefault="00182A7C" w:rsidP="00A27F82">
      <w:pPr>
        <w:ind w:firstLine="0"/>
        <w:jc w:val="both"/>
        <w:rPr>
          <w:rFonts w:ascii="Lato" w:hAnsi="Lato"/>
          <w:szCs w:val="22"/>
        </w:rPr>
      </w:pPr>
      <w:r w:rsidRPr="009F30F6">
        <w:rPr>
          <w:rFonts w:ascii="Lato" w:hAnsi="Lato"/>
          <w:szCs w:val="22"/>
        </w:rPr>
        <w:t>Stopień wykorzystania obiektu to liczba godzin faktycznego użytkowania obiektu w stosunku do czasu kalendarzowego wyrażonego w godzinach w kolejnych miesiącach roku. Możliwe są dwa sposoby określenia godzin użytkowania obiektu:</w:t>
      </w:r>
    </w:p>
    <w:p w:rsidR="00182A7C" w:rsidRPr="009F30F6" w:rsidRDefault="00182A7C" w:rsidP="00A27F82">
      <w:pPr>
        <w:pStyle w:val="Tekstpodstawowy"/>
        <w:numPr>
          <w:ilvl w:val="0"/>
          <w:numId w:val="83"/>
        </w:numPr>
        <w:tabs>
          <w:tab w:val="clear" w:pos="360"/>
        </w:tabs>
        <w:ind w:left="709" w:hanging="425"/>
        <w:rPr>
          <w:rFonts w:ascii="Lato" w:hAnsi="Lato" w:cs="Times New Roman"/>
        </w:rPr>
      </w:pPr>
      <w:r w:rsidRPr="009F30F6">
        <w:rPr>
          <w:rFonts w:ascii="Lato" w:hAnsi="Lato" w:cs="Times New Roman"/>
        </w:rPr>
        <w:t>codzienne ewidencjonowanie godzin rozpoczęcia i zakończenia użytkowania obiektu</w:t>
      </w:r>
      <w:r w:rsidR="00190F54" w:rsidRPr="009F30F6">
        <w:rPr>
          <w:rFonts w:ascii="Lato" w:hAnsi="Lato" w:cs="Times New Roman"/>
        </w:rPr>
        <w:t>,</w:t>
      </w:r>
    </w:p>
    <w:p w:rsidR="00182A7C" w:rsidRPr="009F30F6" w:rsidRDefault="00182A7C" w:rsidP="00A27F82">
      <w:pPr>
        <w:pStyle w:val="Tekstpodstawowy"/>
        <w:numPr>
          <w:ilvl w:val="0"/>
          <w:numId w:val="83"/>
        </w:numPr>
        <w:tabs>
          <w:tab w:val="clear" w:pos="360"/>
        </w:tabs>
        <w:ind w:left="709" w:hanging="425"/>
        <w:rPr>
          <w:rFonts w:ascii="Lato" w:hAnsi="Lato" w:cs="Times New Roman"/>
        </w:rPr>
      </w:pPr>
      <w:r w:rsidRPr="009F30F6">
        <w:rPr>
          <w:rFonts w:ascii="Lato" w:hAnsi="Lato" w:cs="Times New Roman"/>
        </w:rPr>
        <w:t>zdefiniowanie powtarzalnego (np. tygodniowego) harmonogramu użytkowania obiektu w poszczególnych miesiącach roku bazowego i roku rozliczeniowego.</w:t>
      </w:r>
    </w:p>
    <w:p w:rsidR="00182A7C" w:rsidRPr="009F30F6" w:rsidRDefault="00182A7C" w:rsidP="00A27F82">
      <w:pPr>
        <w:ind w:firstLine="0"/>
        <w:jc w:val="both"/>
        <w:rPr>
          <w:rFonts w:ascii="Lato" w:hAnsi="Lato"/>
          <w:szCs w:val="22"/>
        </w:rPr>
      </w:pPr>
      <w:r w:rsidRPr="009F30F6">
        <w:rPr>
          <w:rFonts w:ascii="Lato" w:hAnsi="Lato"/>
          <w:szCs w:val="22"/>
        </w:rPr>
        <w:t>Rozliczenie efektów wprowadzenia przedsięwzięć dokonuje się poprzez porównanie standaryzowanych, skorygowanych zużyć energii. Zużycie standaryzowane to zużycie odniesione do znormalizowanej ilości stopniodni (dlatego konieczna jest znaj</w:t>
      </w:r>
      <w:r w:rsidR="009F30F6" w:rsidRPr="009F30F6">
        <w:rPr>
          <w:rFonts w:ascii="Lato" w:hAnsi="Lato"/>
          <w:szCs w:val="22"/>
        </w:rPr>
        <w:t>omość temperatur zewnętrznych i </w:t>
      </w:r>
      <w:r w:rsidRPr="009F30F6">
        <w:rPr>
          <w:rFonts w:ascii="Lato" w:hAnsi="Lato"/>
          <w:szCs w:val="22"/>
        </w:rPr>
        <w:t>wewnętrznych na podstawie których wyznacza się faktyczną ilość stopniodni w</w:t>
      </w:r>
      <w:r w:rsidR="00A342D0">
        <w:rPr>
          <w:rFonts w:ascii="Lato" w:hAnsi="Lato"/>
          <w:szCs w:val="22"/>
        </w:rPr>
        <w:t xml:space="preserve"> </w:t>
      </w:r>
      <w:r w:rsidRPr="009F30F6">
        <w:rPr>
          <w:rFonts w:ascii="Lato" w:hAnsi="Lato"/>
          <w:szCs w:val="22"/>
        </w:rPr>
        <w:t>sezonie grzewczym aby taka standaryzacja była możliwa). Zużycie skorygowane, to zużycie standaryzowane, w którym uwzględniono również zmienność stopnia wykorzystania obiektu. Jeżeli możliwości techniczne są niewystarczające dla wiarygodnego określenia zużycia skorygowanego, poprzestaje się na określeniu zużycia standaryzowanego.</w:t>
      </w:r>
    </w:p>
    <w:p w:rsidR="00182A7C" w:rsidRPr="009F30F6" w:rsidRDefault="00182A7C" w:rsidP="00A27F82">
      <w:pPr>
        <w:jc w:val="both"/>
        <w:rPr>
          <w:rFonts w:ascii="Lato" w:hAnsi="Lato"/>
          <w:szCs w:val="22"/>
        </w:rPr>
      </w:pPr>
    </w:p>
    <w:p w:rsidR="006B024A" w:rsidRPr="009F30F6" w:rsidRDefault="006B024A" w:rsidP="009F30F6">
      <w:pPr>
        <w:ind w:firstLine="709"/>
        <w:jc w:val="both"/>
        <w:rPr>
          <w:rFonts w:ascii="Lato" w:hAnsi="Lato"/>
          <w:szCs w:val="22"/>
        </w:rPr>
      </w:pPr>
      <w:r w:rsidRPr="009F30F6">
        <w:rPr>
          <w:rFonts w:ascii="Lato" w:hAnsi="Lato"/>
          <w:szCs w:val="22"/>
        </w:rPr>
        <w:t>Po przeprowadzeniu inwentaryzacji, uzyskaniu podstawowych informacji o stanie obiektów i po wprowadzeniu pierwszych przedsięwzięć należy ocenić skuteczność zrealizowanych działań. To jest pierwszy krok do wprowadzenia nowego procesu – monitoringu sytuacji energetyczn</w:t>
      </w:r>
      <w:r w:rsidR="00125462" w:rsidRPr="009F30F6">
        <w:rPr>
          <w:rFonts w:ascii="Lato" w:hAnsi="Lato"/>
          <w:szCs w:val="22"/>
        </w:rPr>
        <w:t>ej budynku. Jeżeli informacje o</w:t>
      </w:r>
      <w:r w:rsidR="00A342D0">
        <w:rPr>
          <w:rFonts w:ascii="Lato" w:hAnsi="Lato"/>
          <w:szCs w:val="22"/>
        </w:rPr>
        <w:t xml:space="preserve"> </w:t>
      </w:r>
      <w:r w:rsidRPr="009F30F6">
        <w:rPr>
          <w:rFonts w:ascii="Lato" w:hAnsi="Lato"/>
          <w:szCs w:val="22"/>
        </w:rPr>
        <w:t>zużyciu nośników energii i zmianie sytuacji energetycznej aktualizowane są okresowo, możliwie często, to pojawiają się nowe możliwości w zakresie identyfikacji przedsięwzięć racjonalizujących zużycie energii.</w:t>
      </w:r>
    </w:p>
    <w:p w:rsidR="006B024A" w:rsidRPr="009F30F6" w:rsidRDefault="006B024A" w:rsidP="009F30F6">
      <w:pPr>
        <w:ind w:firstLine="709"/>
        <w:jc w:val="both"/>
        <w:rPr>
          <w:rFonts w:ascii="Lato" w:hAnsi="Lato"/>
          <w:szCs w:val="22"/>
        </w:rPr>
      </w:pPr>
      <w:r w:rsidRPr="009F30F6">
        <w:rPr>
          <w:rFonts w:ascii="Lato" w:hAnsi="Lato"/>
          <w:szCs w:val="22"/>
        </w:rPr>
        <w:t>Monitoring to proces, którego celem jest gromadzenie informacji, głównie o zużyciu i kosztach mediów, w odstępach np.: miesięcznych, które będą pomocne w bieżącym zarządzaniu tymi obiektami. Innymi słowy, obserwując na bieżąco zmiany wielkości zużywanych mediów oraz ponoszone koszty będzie można oceniać stan wykorzystania energii oraz budżetu, wykrywać wszelkie nieprawidłowości w funkcjonowaniu obiektu i bezzwłocznie reagować, minimalizując straty.</w:t>
      </w:r>
    </w:p>
    <w:p w:rsidR="006B024A" w:rsidRPr="009F30F6" w:rsidRDefault="006B024A" w:rsidP="00A27F82">
      <w:pPr>
        <w:ind w:firstLine="0"/>
        <w:jc w:val="both"/>
        <w:rPr>
          <w:rFonts w:ascii="Lato" w:hAnsi="Lato"/>
          <w:szCs w:val="22"/>
        </w:rPr>
      </w:pPr>
      <w:r w:rsidRPr="009F30F6">
        <w:rPr>
          <w:rFonts w:ascii="Lato" w:hAnsi="Lato"/>
          <w:szCs w:val="22"/>
        </w:rPr>
        <w:t>W szczegółach korzyści z prowadzonego monitoringu to:</w:t>
      </w:r>
    </w:p>
    <w:p w:rsidR="006B024A" w:rsidRPr="009F30F6" w:rsidRDefault="006B024A" w:rsidP="00A27F82">
      <w:pPr>
        <w:pStyle w:val="Tekstpodstawowy"/>
        <w:numPr>
          <w:ilvl w:val="0"/>
          <w:numId w:val="83"/>
        </w:numPr>
        <w:tabs>
          <w:tab w:val="clear" w:pos="360"/>
        </w:tabs>
        <w:ind w:left="709" w:hanging="425"/>
        <w:rPr>
          <w:rFonts w:ascii="Lato" w:hAnsi="Lato" w:cs="Times New Roman"/>
        </w:rPr>
      </w:pPr>
      <w:r w:rsidRPr="009F30F6">
        <w:rPr>
          <w:rFonts w:ascii="Lato" w:hAnsi="Lato" w:cs="Times New Roman"/>
        </w:rPr>
        <w:t>ocena bieżącego zużycia nośników energetycznych,</w:t>
      </w:r>
    </w:p>
    <w:p w:rsidR="006B024A" w:rsidRPr="009F30F6" w:rsidRDefault="006B024A" w:rsidP="00A27F82">
      <w:pPr>
        <w:pStyle w:val="Tekstpodstawowy"/>
        <w:numPr>
          <w:ilvl w:val="0"/>
          <w:numId w:val="83"/>
        </w:numPr>
        <w:tabs>
          <w:tab w:val="clear" w:pos="360"/>
        </w:tabs>
        <w:ind w:left="709" w:hanging="425"/>
        <w:rPr>
          <w:rFonts w:ascii="Lato" w:hAnsi="Lato" w:cs="Times New Roman"/>
        </w:rPr>
      </w:pPr>
      <w:r w:rsidRPr="009F30F6">
        <w:rPr>
          <w:rFonts w:ascii="Lato" w:hAnsi="Lato" w:cs="Times New Roman"/>
        </w:rPr>
        <w:t>ocena bieżących kosztów zużycia nośników energetycznych i wody,</w:t>
      </w:r>
    </w:p>
    <w:p w:rsidR="006B024A" w:rsidRPr="009F30F6" w:rsidRDefault="006B024A" w:rsidP="00A27F82">
      <w:pPr>
        <w:pStyle w:val="Tekstpodstawowy"/>
        <w:numPr>
          <w:ilvl w:val="0"/>
          <w:numId w:val="83"/>
        </w:numPr>
        <w:tabs>
          <w:tab w:val="clear" w:pos="360"/>
        </w:tabs>
        <w:ind w:left="709" w:hanging="425"/>
        <w:rPr>
          <w:rFonts w:ascii="Lato" w:hAnsi="Lato" w:cs="Times New Roman"/>
        </w:rPr>
      </w:pPr>
      <w:r w:rsidRPr="009F30F6">
        <w:rPr>
          <w:rFonts w:ascii="Lato" w:hAnsi="Lato" w:cs="Times New Roman"/>
        </w:rPr>
        <w:t>ocena stopnia wykorzystania budżetu,</w:t>
      </w:r>
    </w:p>
    <w:p w:rsidR="006B024A" w:rsidRPr="009F30F6" w:rsidRDefault="006B024A" w:rsidP="00A27F82">
      <w:pPr>
        <w:pStyle w:val="Tekstpodstawowy"/>
        <w:numPr>
          <w:ilvl w:val="0"/>
          <w:numId w:val="83"/>
        </w:numPr>
        <w:tabs>
          <w:tab w:val="clear" w:pos="360"/>
        </w:tabs>
        <w:ind w:left="709" w:hanging="425"/>
        <w:rPr>
          <w:rFonts w:ascii="Lato" w:hAnsi="Lato" w:cs="Times New Roman"/>
        </w:rPr>
      </w:pPr>
      <w:r w:rsidRPr="009F30F6">
        <w:rPr>
          <w:rFonts w:ascii="Lato" w:hAnsi="Lato" w:cs="Times New Roman"/>
        </w:rPr>
        <w:t>wykrywanie stanów awaryjnych i nieprawidłowości w funkcjonowaniu obiektu,</w:t>
      </w:r>
    </w:p>
    <w:p w:rsidR="006B024A" w:rsidRPr="009F30F6" w:rsidRDefault="006B024A" w:rsidP="00A27F82">
      <w:pPr>
        <w:pStyle w:val="Tekstpodstawowy"/>
        <w:numPr>
          <w:ilvl w:val="0"/>
          <w:numId w:val="83"/>
        </w:numPr>
        <w:tabs>
          <w:tab w:val="clear" w:pos="360"/>
        </w:tabs>
        <w:ind w:left="709" w:hanging="425"/>
        <w:rPr>
          <w:rFonts w:ascii="Lato" w:hAnsi="Lato" w:cs="Times New Roman"/>
        </w:rPr>
      </w:pPr>
      <w:r w:rsidRPr="009F30F6">
        <w:rPr>
          <w:rFonts w:ascii="Lato" w:hAnsi="Lato" w:cs="Times New Roman"/>
        </w:rPr>
        <w:t>bieżące określenie wpływu realizowanych przedsięwzięć i podejmowanych działań.</w:t>
      </w:r>
    </w:p>
    <w:p w:rsidR="006B024A" w:rsidRPr="009F30F6" w:rsidRDefault="006B024A" w:rsidP="00A27F82">
      <w:pPr>
        <w:jc w:val="both"/>
        <w:rPr>
          <w:rFonts w:ascii="Lato" w:hAnsi="Lato"/>
          <w:szCs w:val="22"/>
        </w:rPr>
      </w:pPr>
    </w:p>
    <w:p w:rsidR="006B024A" w:rsidRPr="009F30F6" w:rsidRDefault="006B024A" w:rsidP="00A27F82">
      <w:pPr>
        <w:jc w:val="both"/>
        <w:rPr>
          <w:rFonts w:ascii="Lato" w:hAnsi="Lato"/>
          <w:szCs w:val="22"/>
        </w:rPr>
      </w:pPr>
      <w:r w:rsidRPr="009F30F6">
        <w:rPr>
          <w:rFonts w:ascii="Lato" w:hAnsi="Lato"/>
          <w:szCs w:val="22"/>
        </w:rPr>
        <w:t>Obrazowo schemat postępowania w trakcie prowadzen</w:t>
      </w:r>
      <w:r w:rsidR="00D03562">
        <w:rPr>
          <w:rFonts w:ascii="Lato" w:hAnsi="Lato"/>
          <w:szCs w:val="22"/>
        </w:rPr>
        <w:t>ia monitoringu przedstawiono na </w:t>
      </w:r>
      <w:r w:rsidRPr="009F30F6">
        <w:rPr>
          <w:rFonts w:ascii="Lato" w:hAnsi="Lato"/>
          <w:szCs w:val="22"/>
        </w:rPr>
        <w:t>poniższym diagramie (rys. 6-</w:t>
      </w:r>
      <w:r w:rsidR="008E49B1" w:rsidRPr="009F30F6">
        <w:rPr>
          <w:rFonts w:ascii="Lato" w:hAnsi="Lato"/>
          <w:szCs w:val="22"/>
        </w:rPr>
        <w:t>7</w:t>
      </w:r>
      <w:r w:rsidRPr="009F30F6">
        <w:rPr>
          <w:rFonts w:ascii="Lato" w:hAnsi="Lato"/>
          <w:szCs w:val="22"/>
        </w:rPr>
        <w:t>). Docelowo, przy dużej ilości obiektów</w:t>
      </w:r>
      <w:r w:rsidR="00410337" w:rsidRPr="009F30F6">
        <w:rPr>
          <w:rFonts w:ascii="Lato" w:hAnsi="Lato"/>
          <w:szCs w:val="22"/>
        </w:rPr>
        <w:t>,</w:t>
      </w:r>
      <w:r w:rsidR="00D03562">
        <w:rPr>
          <w:rFonts w:ascii="Lato" w:hAnsi="Lato"/>
          <w:szCs w:val="22"/>
        </w:rPr>
        <w:t xml:space="preserve"> monitoring powinien być </w:t>
      </w:r>
      <w:r w:rsidRPr="009F30F6">
        <w:rPr>
          <w:rFonts w:ascii="Lato" w:hAnsi="Lato"/>
          <w:szCs w:val="22"/>
        </w:rPr>
        <w:t>prowadzony przy pomocy systemów automatycznego zbierania danych bezpośrednio do systemów informatycznych.</w:t>
      </w:r>
    </w:p>
    <w:p w:rsidR="006B024A" w:rsidRPr="00D352C4" w:rsidRDefault="006B024A" w:rsidP="006B024A">
      <w:pPr>
        <w:ind w:firstLine="0"/>
        <w:jc w:val="both"/>
        <w:rPr>
          <w:rFonts w:ascii="Lato" w:hAnsi="Lato"/>
          <w:highlight w:val="yellow"/>
        </w:rPr>
      </w:pPr>
    </w:p>
    <w:p w:rsidR="006B024A" w:rsidRPr="00D352C4" w:rsidRDefault="0006260E" w:rsidP="00D362C3">
      <w:pPr>
        <w:spacing w:line="240" w:lineRule="auto"/>
        <w:ind w:firstLine="0"/>
        <w:jc w:val="center"/>
        <w:rPr>
          <w:rFonts w:ascii="Lato" w:hAnsi="Lato"/>
          <w:highlight w:val="yellow"/>
        </w:rPr>
      </w:pPr>
      <w:r>
        <w:rPr>
          <w:rFonts w:ascii="Lato" w:hAnsi="Lato"/>
          <w:noProof/>
        </w:rPr>
        <w:drawing>
          <wp:inline distT="0" distB="0" distL="0" distR="0" wp14:anchorId="34CE48F1" wp14:editId="68D10324">
            <wp:extent cx="3571875" cy="3876675"/>
            <wp:effectExtent l="0" t="0" r="9525" b="9525"/>
            <wp:docPr id="96"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71875" cy="3876675"/>
                    </a:xfrm>
                    <a:prstGeom prst="rect">
                      <a:avLst/>
                    </a:prstGeom>
                    <a:noFill/>
                    <a:ln>
                      <a:noFill/>
                    </a:ln>
                  </pic:spPr>
                </pic:pic>
              </a:graphicData>
            </a:graphic>
          </wp:inline>
        </w:drawing>
      </w:r>
    </w:p>
    <w:p w:rsidR="006B024A" w:rsidRPr="00D352C4" w:rsidRDefault="006B024A" w:rsidP="006B024A">
      <w:pPr>
        <w:spacing w:line="240" w:lineRule="auto"/>
        <w:ind w:firstLine="0"/>
        <w:jc w:val="both"/>
        <w:rPr>
          <w:rFonts w:ascii="Lato" w:hAnsi="Lato"/>
          <w:b/>
          <w:bCs/>
          <w:highlight w:val="yellow"/>
        </w:rPr>
      </w:pPr>
    </w:p>
    <w:p w:rsidR="00410337" w:rsidRPr="009F30F6" w:rsidRDefault="00410337" w:rsidP="006B024A">
      <w:pPr>
        <w:spacing w:line="240" w:lineRule="auto"/>
        <w:ind w:firstLine="0"/>
        <w:jc w:val="both"/>
        <w:rPr>
          <w:rFonts w:ascii="Lato" w:hAnsi="Lato"/>
          <w:b/>
          <w:bCs/>
        </w:rPr>
      </w:pPr>
    </w:p>
    <w:p w:rsidR="006B024A" w:rsidRPr="009F30F6" w:rsidRDefault="006B024A" w:rsidP="00410337">
      <w:pPr>
        <w:spacing w:line="240" w:lineRule="auto"/>
        <w:ind w:firstLine="0"/>
        <w:jc w:val="center"/>
        <w:rPr>
          <w:rFonts w:ascii="Lato" w:hAnsi="Lato"/>
          <w:b/>
          <w:bCs/>
          <w:color w:val="1F497D"/>
          <w:sz w:val="20"/>
          <w:szCs w:val="20"/>
        </w:rPr>
      </w:pPr>
      <w:bookmarkStart w:id="577" w:name="_Toc336419441"/>
      <w:bookmarkStart w:id="578" w:name="_Toc336943765"/>
      <w:bookmarkStart w:id="579" w:name="_Toc20219274"/>
      <w:r w:rsidRPr="009F30F6">
        <w:rPr>
          <w:rFonts w:ascii="Lato" w:hAnsi="Lato"/>
          <w:b/>
          <w:bCs/>
          <w:color w:val="1F497D"/>
          <w:sz w:val="20"/>
          <w:szCs w:val="20"/>
        </w:rPr>
        <w:t xml:space="preserve">Rysunek </w:t>
      </w:r>
      <w:r w:rsidR="004042AE" w:rsidRPr="009F30F6">
        <w:rPr>
          <w:rFonts w:ascii="Lato" w:hAnsi="Lato"/>
          <w:b/>
          <w:bCs/>
          <w:color w:val="1F497D"/>
          <w:sz w:val="20"/>
          <w:szCs w:val="20"/>
        </w:rPr>
        <w:fldChar w:fldCharType="begin"/>
      </w:r>
      <w:r w:rsidR="005430ED" w:rsidRPr="009F30F6">
        <w:rPr>
          <w:rFonts w:ascii="Lato" w:hAnsi="Lato"/>
          <w:b/>
          <w:bCs/>
          <w:color w:val="1F497D"/>
          <w:sz w:val="20"/>
          <w:szCs w:val="20"/>
        </w:rPr>
        <w:instrText xml:space="preserve"> STYLEREF 1 \s </w:instrText>
      </w:r>
      <w:r w:rsidR="004042AE" w:rsidRPr="009F30F6">
        <w:rPr>
          <w:rFonts w:ascii="Lato" w:hAnsi="Lato"/>
          <w:b/>
          <w:bCs/>
          <w:color w:val="1F497D"/>
          <w:sz w:val="20"/>
          <w:szCs w:val="20"/>
        </w:rPr>
        <w:fldChar w:fldCharType="separate"/>
      </w:r>
      <w:r w:rsidR="0040205B">
        <w:rPr>
          <w:rFonts w:ascii="Lato" w:hAnsi="Lato"/>
          <w:b/>
          <w:bCs/>
          <w:noProof/>
          <w:color w:val="1F497D"/>
          <w:sz w:val="20"/>
          <w:szCs w:val="20"/>
        </w:rPr>
        <w:t>6</w:t>
      </w:r>
      <w:r w:rsidR="004042AE" w:rsidRPr="009F30F6">
        <w:rPr>
          <w:rFonts w:ascii="Lato" w:hAnsi="Lato"/>
          <w:b/>
          <w:bCs/>
          <w:color w:val="1F497D"/>
          <w:sz w:val="20"/>
          <w:szCs w:val="20"/>
        </w:rPr>
        <w:fldChar w:fldCharType="end"/>
      </w:r>
      <w:r w:rsidR="005430ED" w:rsidRPr="009F30F6">
        <w:rPr>
          <w:rFonts w:ascii="Lato" w:hAnsi="Lato"/>
          <w:b/>
          <w:bCs/>
          <w:color w:val="1F497D"/>
          <w:sz w:val="20"/>
          <w:szCs w:val="20"/>
        </w:rPr>
        <w:noBreakHyphen/>
      </w:r>
      <w:r w:rsidR="004042AE" w:rsidRPr="009F30F6">
        <w:rPr>
          <w:rFonts w:ascii="Lato" w:hAnsi="Lato"/>
          <w:b/>
          <w:bCs/>
          <w:color w:val="1F497D"/>
          <w:sz w:val="20"/>
          <w:szCs w:val="20"/>
        </w:rPr>
        <w:fldChar w:fldCharType="begin"/>
      </w:r>
      <w:r w:rsidR="005430ED" w:rsidRPr="009F30F6">
        <w:rPr>
          <w:rFonts w:ascii="Lato" w:hAnsi="Lato"/>
          <w:b/>
          <w:bCs/>
          <w:color w:val="1F497D"/>
          <w:sz w:val="20"/>
          <w:szCs w:val="20"/>
        </w:rPr>
        <w:instrText xml:space="preserve"> SEQ Rysunek \* ARABIC \s 1 </w:instrText>
      </w:r>
      <w:r w:rsidR="004042AE" w:rsidRPr="009F30F6">
        <w:rPr>
          <w:rFonts w:ascii="Lato" w:hAnsi="Lato"/>
          <w:b/>
          <w:bCs/>
          <w:color w:val="1F497D"/>
          <w:sz w:val="20"/>
          <w:szCs w:val="20"/>
        </w:rPr>
        <w:fldChar w:fldCharType="separate"/>
      </w:r>
      <w:r w:rsidR="0040205B">
        <w:rPr>
          <w:rFonts w:ascii="Lato" w:hAnsi="Lato"/>
          <w:b/>
          <w:bCs/>
          <w:noProof/>
          <w:color w:val="1F497D"/>
          <w:sz w:val="20"/>
          <w:szCs w:val="20"/>
        </w:rPr>
        <w:t>17</w:t>
      </w:r>
      <w:r w:rsidR="004042AE" w:rsidRPr="009F30F6">
        <w:rPr>
          <w:rFonts w:ascii="Lato" w:hAnsi="Lato"/>
          <w:b/>
          <w:bCs/>
          <w:color w:val="1F497D"/>
          <w:sz w:val="20"/>
          <w:szCs w:val="20"/>
        </w:rPr>
        <w:fldChar w:fldCharType="end"/>
      </w:r>
      <w:r w:rsidR="000B5D2C" w:rsidRPr="009F30F6">
        <w:rPr>
          <w:rFonts w:ascii="Lato" w:hAnsi="Lato"/>
          <w:b/>
          <w:bCs/>
          <w:color w:val="1F497D"/>
          <w:sz w:val="20"/>
          <w:szCs w:val="20"/>
        </w:rPr>
        <w:t xml:space="preserve"> </w:t>
      </w:r>
      <w:r w:rsidRPr="009F30F6">
        <w:rPr>
          <w:rFonts w:ascii="Lato" w:hAnsi="Lato"/>
          <w:b/>
          <w:bCs/>
          <w:color w:val="1F497D"/>
          <w:sz w:val="20"/>
          <w:szCs w:val="20"/>
        </w:rPr>
        <w:t>Przykładowy algorytm monitoringu</w:t>
      </w:r>
      <w:bookmarkEnd w:id="577"/>
      <w:bookmarkEnd w:id="578"/>
      <w:bookmarkEnd w:id="579"/>
    </w:p>
    <w:p w:rsidR="002542F4" w:rsidRDefault="002542F4" w:rsidP="002542F4">
      <w:pPr>
        <w:suppressAutoHyphens/>
        <w:ind w:firstLine="0"/>
        <w:jc w:val="center"/>
        <w:rPr>
          <w:rFonts w:ascii="Lato" w:hAnsi="Lato"/>
          <w:bCs/>
          <w:i/>
          <w:sz w:val="20"/>
          <w:szCs w:val="22"/>
        </w:rPr>
      </w:pPr>
      <w:r w:rsidRPr="00DB35F5">
        <w:rPr>
          <w:rFonts w:ascii="Lato" w:hAnsi="Lato"/>
          <w:bCs/>
          <w:i/>
          <w:sz w:val="20"/>
          <w:szCs w:val="22"/>
        </w:rPr>
        <w:t>Źródło: Analizy własne</w:t>
      </w:r>
    </w:p>
    <w:p w:rsidR="005E3956" w:rsidRPr="009F30F6" w:rsidRDefault="005E3956" w:rsidP="006B024A">
      <w:pPr>
        <w:ind w:firstLine="0"/>
        <w:rPr>
          <w:rFonts w:ascii="Lato" w:hAnsi="Lato"/>
        </w:rPr>
      </w:pPr>
    </w:p>
    <w:p w:rsidR="006B024A" w:rsidRPr="009F30F6" w:rsidRDefault="006B024A" w:rsidP="00AB431C">
      <w:pPr>
        <w:pStyle w:val="Akapitzlist"/>
        <w:keepNext/>
        <w:numPr>
          <w:ilvl w:val="2"/>
          <w:numId w:val="38"/>
        </w:numPr>
        <w:tabs>
          <w:tab w:val="left" w:pos="709"/>
        </w:tabs>
        <w:spacing w:before="180" w:after="180" w:line="288" w:lineRule="auto"/>
        <w:ind w:left="709" w:hanging="709"/>
        <w:jc w:val="both"/>
        <w:outlineLvl w:val="2"/>
        <w:rPr>
          <w:rFonts w:ascii="Lato" w:hAnsi="Lato"/>
          <w:color w:val="365F91"/>
          <w:lang w:eastAsia="en-US"/>
        </w:rPr>
      </w:pPr>
      <w:bookmarkStart w:id="580" w:name="_Toc336419341"/>
      <w:bookmarkStart w:id="581" w:name="_Toc336943597"/>
      <w:bookmarkStart w:id="582" w:name="_Toc20218539"/>
      <w:r w:rsidRPr="009F30F6">
        <w:rPr>
          <w:rFonts w:ascii="Lato" w:hAnsi="Lato"/>
          <w:color w:val="365F91"/>
          <w:lang w:eastAsia="en-US"/>
        </w:rPr>
        <w:t>Racjonalizacja w zakresie użytkowania energii elektrycznej w budynkach użyteczności publicznej</w:t>
      </w:r>
      <w:bookmarkEnd w:id="580"/>
      <w:bookmarkEnd w:id="581"/>
      <w:bookmarkEnd w:id="582"/>
    </w:p>
    <w:p w:rsidR="006B024A" w:rsidRPr="009F30F6" w:rsidRDefault="006B024A" w:rsidP="006C006F">
      <w:pPr>
        <w:ind w:firstLine="709"/>
        <w:jc w:val="both"/>
        <w:rPr>
          <w:rFonts w:ascii="Lato" w:hAnsi="Lato"/>
        </w:rPr>
      </w:pPr>
      <w:r w:rsidRPr="009D5F2A">
        <w:rPr>
          <w:rFonts w:ascii="Lato" w:hAnsi="Lato"/>
        </w:rPr>
        <w:t xml:space="preserve">Istnieje również możliwość uzyskania wymiernych oszczędności w zakresie energii elektrycznej. </w:t>
      </w:r>
      <w:r w:rsidR="00320CA3" w:rsidRPr="009D5F2A">
        <w:rPr>
          <w:rFonts w:ascii="Lato" w:hAnsi="Lato"/>
        </w:rPr>
        <w:t>Jak </w:t>
      </w:r>
      <w:r w:rsidRPr="009D5F2A">
        <w:rPr>
          <w:rFonts w:ascii="Lato" w:hAnsi="Lato"/>
        </w:rPr>
        <w:t xml:space="preserve">wspomniano wcześniej udział użyteczności publicznej w całkowitym </w:t>
      </w:r>
      <w:r w:rsidR="00913466" w:rsidRPr="009D5F2A">
        <w:rPr>
          <w:rFonts w:ascii="Lato" w:hAnsi="Lato"/>
        </w:rPr>
        <w:t>zużyciu energii elektrycznej w</w:t>
      </w:r>
      <w:r w:rsidR="004B3D29" w:rsidRPr="009D5F2A">
        <w:rPr>
          <w:rFonts w:ascii="Lato" w:hAnsi="Lato"/>
        </w:rPr>
        <w:t> </w:t>
      </w:r>
      <w:r w:rsidR="00913466" w:rsidRPr="009D5F2A">
        <w:rPr>
          <w:rFonts w:ascii="Lato" w:hAnsi="Lato"/>
        </w:rPr>
        <w:t>g</w:t>
      </w:r>
      <w:r w:rsidRPr="009D5F2A">
        <w:rPr>
          <w:rFonts w:ascii="Lato" w:hAnsi="Lato"/>
        </w:rPr>
        <w:t xml:space="preserve">minie wynosi zaledwie </w:t>
      </w:r>
      <w:r w:rsidR="009D5F2A" w:rsidRPr="009D5F2A">
        <w:rPr>
          <w:rFonts w:ascii="Lato" w:hAnsi="Lato"/>
        </w:rPr>
        <w:t>6,5</w:t>
      </w:r>
      <w:r w:rsidR="006E5FBF" w:rsidRPr="009D5F2A">
        <w:rPr>
          <w:rFonts w:ascii="Lato" w:hAnsi="Lato"/>
        </w:rPr>
        <w:t xml:space="preserve">%. </w:t>
      </w:r>
      <w:r w:rsidRPr="009D5F2A">
        <w:rPr>
          <w:rFonts w:ascii="Lato" w:hAnsi="Lato"/>
        </w:rPr>
        <w:t xml:space="preserve">Potencjał techniczny racjonalizacji zużycia energii elektrycznej zawiera się </w:t>
      </w:r>
      <w:r w:rsidR="00320CA3" w:rsidRPr="009D5F2A">
        <w:rPr>
          <w:rFonts w:ascii="Lato" w:hAnsi="Lato"/>
        </w:rPr>
        <w:t>w </w:t>
      </w:r>
      <w:r w:rsidRPr="009D5F2A">
        <w:rPr>
          <w:rFonts w:ascii="Lato" w:hAnsi="Lato"/>
        </w:rPr>
        <w:t>granicach od 15% do 70%. Wyższe wartości dotyczą</w:t>
      </w:r>
      <w:r w:rsidRPr="009F30F6">
        <w:rPr>
          <w:rFonts w:ascii="Lato" w:hAnsi="Lato"/>
        </w:rPr>
        <w:t xml:space="preserve"> tych budynków, gdzie do oświetlenia stosuje się jeszcze tradycyjne oświetlenie żarowe i potencjał redukcji zużycia na tle innych inwestycji energetycznych jest bardzo opłacalny</w:t>
      </w:r>
      <w:r w:rsidR="004C237B" w:rsidRPr="009F30F6">
        <w:rPr>
          <w:rFonts w:ascii="Lato" w:hAnsi="Lato"/>
        </w:rPr>
        <w:t>,</w:t>
      </w:r>
      <w:r w:rsidRPr="009F30F6">
        <w:rPr>
          <w:rFonts w:ascii="Lato" w:hAnsi="Lato"/>
        </w:rPr>
        <w:t xml:space="preserve"> ponieważ ok</w:t>
      </w:r>
      <w:r w:rsidR="00D03562">
        <w:rPr>
          <w:rFonts w:ascii="Lato" w:hAnsi="Lato"/>
        </w:rPr>
        <w:t>res zwrotu waha się zazwyczaj w </w:t>
      </w:r>
      <w:r w:rsidRPr="009F30F6">
        <w:rPr>
          <w:rFonts w:ascii="Lato" w:hAnsi="Lato"/>
        </w:rPr>
        <w:t>granicach 3-6 lat. Sytuacja taka ma miejsce, gdy jest spełniony wymagany komfort oświetleniowy, ale niestety doświadczenie pokazuje, że bardzo często występuje niedoświ</w:t>
      </w:r>
      <w:r w:rsidR="009F30F6">
        <w:rPr>
          <w:rFonts w:ascii="Lato" w:hAnsi="Lato"/>
        </w:rPr>
        <w:t>etlenie pomieszczeń zwłaszcza w </w:t>
      </w:r>
      <w:r w:rsidRPr="009F30F6">
        <w:rPr>
          <w:rFonts w:ascii="Lato" w:hAnsi="Lato"/>
        </w:rPr>
        <w:t xml:space="preserve">obiektach edukacyjnych, które nierzadko sięga 50% wymaganego natężenia światła. </w:t>
      </w:r>
    </w:p>
    <w:p w:rsidR="006B024A" w:rsidRPr="009F30F6" w:rsidRDefault="006B024A" w:rsidP="009F30F6">
      <w:pPr>
        <w:ind w:firstLine="709"/>
        <w:jc w:val="both"/>
        <w:rPr>
          <w:rFonts w:ascii="Lato" w:hAnsi="Lato"/>
        </w:rPr>
      </w:pPr>
      <w:r w:rsidRPr="009F30F6">
        <w:rPr>
          <w:rFonts w:ascii="Lato" w:hAnsi="Lato"/>
        </w:rPr>
        <w:t>Oszczędność kosztów w budynkach użyteczności publicznej</w:t>
      </w:r>
      <w:r w:rsidR="001D1506" w:rsidRPr="009F30F6">
        <w:rPr>
          <w:rFonts w:ascii="Lato" w:hAnsi="Lato"/>
        </w:rPr>
        <w:t xml:space="preserve"> to płaszczyzna, na której g</w:t>
      </w:r>
      <w:r w:rsidRPr="009F30F6">
        <w:rPr>
          <w:rFonts w:ascii="Lato" w:hAnsi="Lato"/>
        </w:rPr>
        <w:t>mina może osiągnąć najwięcej efektów</w:t>
      </w:r>
      <w:r w:rsidR="004C237B" w:rsidRPr="009F30F6">
        <w:rPr>
          <w:rFonts w:ascii="Lato" w:hAnsi="Lato"/>
        </w:rPr>
        <w:t>,</w:t>
      </w:r>
      <w:r w:rsidRPr="009F30F6">
        <w:rPr>
          <w:rFonts w:ascii="Lato" w:hAnsi="Lato"/>
        </w:rPr>
        <w:t xml:space="preserve"> ponieważ są to obiekty</w:t>
      </w:r>
      <w:r w:rsidR="001D1506" w:rsidRPr="009F30F6">
        <w:rPr>
          <w:rFonts w:ascii="Lato" w:hAnsi="Lato"/>
        </w:rPr>
        <w:t xml:space="preserve"> utrzymywane właśnie z budżetu </w:t>
      </w:r>
      <w:r w:rsidR="00A32F52" w:rsidRPr="009F30F6">
        <w:rPr>
          <w:rFonts w:ascii="Lato" w:hAnsi="Lato"/>
        </w:rPr>
        <w:t>gminy</w:t>
      </w:r>
      <w:r w:rsidRPr="009F30F6">
        <w:rPr>
          <w:rFonts w:ascii="Lato" w:hAnsi="Lato"/>
        </w:rPr>
        <w:t>. Zaleca się</w:t>
      </w:r>
      <w:r w:rsidR="004C237B" w:rsidRPr="009F30F6">
        <w:rPr>
          <w:rFonts w:ascii="Lato" w:hAnsi="Lato"/>
        </w:rPr>
        <w:t>,</w:t>
      </w:r>
      <w:r w:rsidRPr="009F30F6">
        <w:rPr>
          <w:rFonts w:ascii="Lato" w:hAnsi="Lato"/>
        </w:rPr>
        <w:t xml:space="preserve"> aby przy planach modernizacji już na etapie audytu energetycznego wymagać od audytorów rozszerzenia zakresu audytu o część oświetleniową. Jest </w:t>
      </w:r>
      <w:r w:rsidR="004C237B" w:rsidRPr="009F30F6">
        <w:rPr>
          <w:rFonts w:ascii="Lato" w:hAnsi="Lato"/>
        </w:rPr>
        <w:t xml:space="preserve">to </w:t>
      </w:r>
      <w:r w:rsidRPr="009F30F6">
        <w:rPr>
          <w:rFonts w:ascii="Lato" w:hAnsi="Lato"/>
        </w:rPr>
        <w:t>działanie ponad standardowy zakres audytu (może stanowić załącznik)</w:t>
      </w:r>
      <w:r w:rsidR="004C237B" w:rsidRPr="009F30F6">
        <w:rPr>
          <w:rFonts w:ascii="Lato" w:hAnsi="Lato"/>
        </w:rPr>
        <w:t>,</w:t>
      </w:r>
      <w:r w:rsidRPr="009F30F6">
        <w:rPr>
          <w:rFonts w:ascii="Lato" w:hAnsi="Lato"/>
        </w:rPr>
        <w:t xml:space="preserve"> natomiast w bardzo dokładny sposób pokazuje m</w:t>
      </w:r>
      <w:r w:rsidR="005F2DED" w:rsidRPr="009F30F6">
        <w:rPr>
          <w:rFonts w:ascii="Lato" w:hAnsi="Lato"/>
        </w:rPr>
        <w:t xml:space="preserve">ożliwości osiągnięcia korzyści </w:t>
      </w:r>
      <w:r w:rsidRPr="009F30F6">
        <w:rPr>
          <w:rFonts w:ascii="Lato" w:hAnsi="Lato"/>
        </w:rPr>
        <w:t xml:space="preserve">w wyniku racjonalizacji zużycia </w:t>
      </w:r>
      <w:r w:rsidRPr="009F30F6">
        <w:rPr>
          <w:rFonts w:ascii="Lato" w:hAnsi="Lato"/>
        </w:rPr>
        <w:lastRenderedPageBreak/>
        <w:t xml:space="preserve">energii właśnie w zakresie modernizacji źródeł światła. Ponadto poprawa jakości światła to nie tylko efekt w </w:t>
      </w:r>
      <w:r w:rsidR="00D03562">
        <w:rPr>
          <w:rFonts w:ascii="Lato" w:hAnsi="Lato"/>
        </w:rPr>
        <w:t>postaci mniejszych rachunków za </w:t>
      </w:r>
      <w:r w:rsidRPr="009F30F6">
        <w:rPr>
          <w:rFonts w:ascii="Lato" w:hAnsi="Lato"/>
        </w:rPr>
        <w:t>energię elektryczną lecz również bardzo trudna do zmierzenia korzy</w:t>
      </w:r>
      <w:r w:rsidR="006526E1" w:rsidRPr="009F30F6">
        <w:rPr>
          <w:rFonts w:ascii="Lato" w:hAnsi="Lato"/>
        </w:rPr>
        <w:t>ś</w:t>
      </w:r>
      <w:r w:rsidRPr="009F30F6">
        <w:rPr>
          <w:rFonts w:ascii="Lato" w:hAnsi="Lato"/>
        </w:rPr>
        <w:t>ć społeczna, wynikają</w:t>
      </w:r>
      <w:r w:rsidR="00D03562">
        <w:rPr>
          <w:rFonts w:ascii="Lato" w:hAnsi="Lato"/>
        </w:rPr>
        <w:t>ca z </w:t>
      </w:r>
      <w:r w:rsidRPr="009F30F6">
        <w:rPr>
          <w:rFonts w:ascii="Lato" w:hAnsi="Lato"/>
        </w:rPr>
        <w:t>poprawy pracy czy nauki</w:t>
      </w:r>
      <w:r w:rsidR="00875992" w:rsidRPr="009F30F6">
        <w:rPr>
          <w:rFonts w:ascii="Lato" w:hAnsi="Lato"/>
        </w:rPr>
        <w:t>,</w:t>
      </w:r>
      <w:r w:rsidRPr="009F30F6">
        <w:rPr>
          <w:rFonts w:ascii="Lato" w:hAnsi="Lato"/>
        </w:rPr>
        <w:t xml:space="preserve"> wpływająca na zdrowie osób przebywających w takich pomieszczeniach nierzadko przez wiele godzin w ciągu dnia. Przedsięwzięcia racjonalizacji zużycia energii elektrycznej podejmowane b</w:t>
      </w:r>
      <w:r w:rsidR="00D7348B" w:rsidRPr="009F30F6">
        <w:rPr>
          <w:rFonts w:ascii="Lato" w:hAnsi="Lato"/>
        </w:rPr>
        <w:t>ędą przez gospodarzy budynków w</w:t>
      </w:r>
      <w:r w:rsidR="00A342D0">
        <w:rPr>
          <w:rFonts w:ascii="Lato" w:hAnsi="Lato"/>
        </w:rPr>
        <w:t xml:space="preserve"> </w:t>
      </w:r>
      <w:r w:rsidRPr="009F30F6">
        <w:rPr>
          <w:rFonts w:ascii="Lato" w:hAnsi="Lato"/>
        </w:rPr>
        <w:t>aspekcie zmniejszania kosztów energii elektrycznej bądź często w</w:t>
      </w:r>
      <w:r w:rsidR="009F30F6" w:rsidRPr="009F30F6">
        <w:rPr>
          <w:rFonts w:ascii="Lato" w:hAnsi="Lato"/>
        </w:rPr>
        <w:t> </w:t>
      </w:r>
      <w:r w:rsidRPr="009F30F6">
        <w:rPr>
          <w:rFonts w:ascii="Lato" w:hAnsi="Lato"/>
        </w:rPr>
        <w:t>ramach poprawy niedostatecznego oświetlenia.</w:t>
      </w:r>
    </w:p>
    <w:p w:rsidR="006B024A" w:rsidRPr="009F30F6" w:rsidRDefault="006B024A" w:rsidP="009F30F6">
      <w:pPr>
        <w:ind w:firstLine="709"/>
        <w:jc w:val="both"/>
        <w:rPr>
          <w:rFonts w:ascii="Lato" w:hAnsi="Lato"/>
        </w:rPr>
      </w:pPr>
      <w:r w:rsidRPr="009F30F6">
        <w:rPr>
          <w:rFonts w:ascii="Lato" w:hAnsi="Lato"/>
        </w:rPr>
        <w:t>Ponadto istnieje olbrzymi potencjał oszczędzania energii w urządzeniach biurowych, natomiast nadal użytkownicy tych urządzeń przy ich zakupie nie kierują się ich parametrami energetycznymi. Zaleca się</w:t>
      </w:r>
      <w:r w:rsidR="00F50471" w:rsidRPr="009F30F6">
        <w:rPr>
          <w:rFonts w:ascii="Lato" w:hAnsi="Lato"/>
        </w:rPr>
        <w:t>,</w:t>
      </w:r>
      <w:r w:rsidRPr="009F30F6">
        <w:rPr>
          <w:rFonts w:ascii="Lato" w:hAnsi="Lato"/>
        </w:rPr>
        <w:t xml:space="preserve"> aby wprowadzić procedurę zakupów urządzeń zasilanych energią elektryczną na zasadach tzw. zielonych zamówień, przy wyborze których efektywność energetyczna jest podstawowym poza parametrami użytkowymi elementem decydującym o wyborze danego urządzenia. Dotyczy to przede wszystkim urządzeń biurowych używanych w szkołach i Urzędzie </w:t>
      </w:r>
      <w:r w:rsidR="002D2F34" w:rsidRPr="009F30F6">
        <w:rPr>
          <w:rFonts w:ascii="Lato" w:hAnsi="Lato"/>
        </w:rPr>
        <w:t>Gminy</w:t>
      </w:r>
      <w:r w:rsidR="00F50471" w:rsidRPr="009F30F6">
        <w:rPr>
          <w:rFonts w:ascii="Lato" w:hAnsi="Lato"/>
        </w:rPr>
        <w:t>,</w:t>
      </w:r>
      <w:r w:rsidRPr="009F30F6">
        <w:rPr>
          <w:rFonts w:ascii="Lato" w:hAnsi="Lato"/>
        </w:rPr>
        <w:t xml:space="preserve"> jak i urządzeniach AGD stosowanych w szkolnych kuchniach. </w:t>
      </w:r>
    </w:p>
    <w:p w:rsidR="006B024A" w:rsidRPr="009F30F6" w:rsidRDefault="006B024A" w:rsidP="009F30F6">
      <w:pPr>
        <w:ind w:firstLine="709"/>
        <w:jc w:val="both"/>
        <w:rPr>
          <w:rFonts w:ascii="Lato" w:hAnsi="Lato"/>
        </w:rPr>
      </w:pPr>
      <w:r w:rsidRPr="009F30F6">
        <w:rPr>
          <w:rFonts w:ascii="Lato" w:hAnsi="Lato"/>
        </w:rPr>
        <w:t>Finansowanie</w:t>
      </w:r>
      <w:r w:rsidR="008A0504" w:rsidRPr="009F30F6">
        <w:rPr>
          <w:rFonts w:ascii="Lato" w:hAnsi="Lato"/>
        </w:rPr>
        <w:t>,</w:t>
      </w:r>
      <w:r w:rsidRPr="009F30F6">
        <w:rPr>
          <w:rFonts w:ascii="Lato" w:hAnsi="Lato"/>
        </w:rPr>
        <w:t xml:space="preserve"> podobn</w:t>
      </w:r>
      <w:r w:rsidR="008A0504" w:rsidRPr="009F30F6">
        <w:rPr>
          <w:rFonts w:ascii="Lato" w:hAnsi="Lato"/>
        </w:rPr>
        <w:t>i</w:t>
      </w:r>
      <w:r w:rsidRPr="009F30F6">
        <w:rPr>
          <w:rFonts w:ascii="Lato" w:hAnsi="Lato"/>
        </w:rPr>
        <w:t>e jak w przypadku racjonalizacji zużycia ciepła</w:t>
      </w:r>
      <w:r w:rsidR="008A0504" w:rsidRPr="009F30F6">
        <w:rPr>
          <w:rFonts w:ascii="Lato" w:hAnsi="Lato"/>
        </w:rPr>
        <w:t>,</w:t>
      </w:r>
      <w:r w:rsidRPr="009F30F6">
        <w:rPr>
          <w:rFonts w:ascii="Lato" w:hAnsi="Lato"/>
        </w:rPr>
        <w:t xml:space="preserve"> musi być realizowane przy ud</w:t>
      </w:r>
      <w:r w:rsidR="001D1506" w:rsidRPr="009F30F6">
        <w:rPr>
          <w:rFonts w:ascii="Lato" w:hAnsi="Lato"/>
        </w:rPr>
        <w:t xml:space="preserve">ziale przede wszystkim środków </w:t>
      </w:r>
      <w:r w:rsidR="00A32F52" w:rsidRPr="009F30F6">
        <w:rPr>
          <w:rFonts w:ascii="Lato" w:hAnsi="Lato"/>
        </w:rPr>
        <w:t>gminy</w:t>
      </w:r>
      <w:r w:rsidRPr="009F30F6">
        <w:rPr>
          <w:rFonts w:ascii="Lato" w:hAnsi="Lato"/>
        </w:rPr>
        <w:t>, czasami korzysta się z finansowania przez tzw. "trzecią stron</w:t>
      </w:r>
      <w:r w:rsidR="008A0504" w:rsidRPr="009F30F6">
        <w:rPr>
          <w:rFonts w:ascii="Lato" w:hAnsi="Lato"/>
        </w:rPr>
        <w:t>ę</w:t>
      </w:r>
      <w:r w:rsidRPr="009F30F6">
        <w:rPr>
          <w:rFonts w:ascii="Lato" w:hAnsi="Lato"/>
        </w:rPr>
        <w:t>".</w:t>
      </w:r>
    </w:p>
    <w:p w:rsidR="008F3D61" w:rsidRPr="009F30F6" w:rsidRDefault="008F3D61" w:rsidP="00DE1CDE">
      <w:pPr>
        <w:ind w:firstLine="0"/>
        <w:jc w:val="both"/>
        <w:rPr>
          <w:rFonts w:ascii="Lato" w:hAnsi="Lato"/>
        </w:rPr>
      </w:pPr>
    </w:p>
    <w:p w:rsidR="006B024A" w:rsidRPr="009F30F6" w:rsidRDefault="006B024A" w:rsidP="00907272">
      <w:pPr>
        <w:pStyle w:val="Nagwek2"/>
        <w:rPr>
          <w:rFonts w:ascii="Lato" w:hAnsi="Lato" w:cs="Times New Roman"/>
        </w:rPr>
      </w:pPr>
      <w:bookmarkStart w:id="583" w:name="_Toc336419343"/>
      <w:bookmarkStart w:id="584" w:name="_Toc336943598"/>
      <w:bookmarkStart w:id="585" w:name="_Toc20218540"/>
      <w:r w:rsidRPr="009F30F6">
        <w:rPr>
          <w:rFonts w:ascii="Lato" w:hAnsi="Lato" w:cs="Times New Roman"/>
        </w:rPr>
        <w:t>Propozycja przedsięwzięć w grupie „mieszkalnictwo”</w:t>
      </w:r>
      <w:bookmarkEnd w:id="583"/>
      <w:bookmarkEnd w:id="584"/>
      <w:bookmarkEnd w:id="585"/>
    </w:p>
    <w:p w:rsidR="005C625D" w:rsidRPr="00BE3613" w:rsidRDefault="005C625D" w:rsidP="00320CA3">
      <w:pPr>
        <w:pStyle w:val="Tekstpodstawowy31"/>
        <w:numPr>
          <w:ilvl w:val="12"/>
          <w:numId w:val="0"/>
        </w:numPr>
        <w:suppressAutoHyphens/>
        <w:ind w:firstLine="709"/>
        <w:rPr>
          <w:rFonts w:ascii="Lato" w:hAnsi="Lato"/>
        </w:rPr>
      </w:pPr>
      <w:bookmarkStart w:id="586" w:name="_Toc272527125"/>
      <w:r w:rsidRPr="009F30F6">
        <w:rPr>
          <w:rFonts w:ascii="Lato" w:hAnsi="Lato"/>
          <w:spacing w:val="-3"/>
          <w:szCs w:val="22"/>
        </w:rPr>
        <w:t>Gospodarstwa domowe są na pierwszym miejscu, co do wielkości użytkowniki</w:t>
      </w:r>
      <w:r w:rsidR="00D03562">
        <w:rPr>
          <w:rFonts w:ascii="Lato" w:hAnsi="Lato"/>
          <w:spacing w:val="-3"/>
          <w:szCs w:val="22"/>
        </w:rPr>
        <w:t>em energii w </w:t>
      </w:r>
      <w:r w:rsidRPr="009F30F6">
        <w:rPr>
          <w:rFonts w:ascii="Lato" w:hAnsi="Lato"/>
          <w:spacing w:val="-3"/>
          <w:szCs w:val="22"/>
        </w:rPr>
        <w:t>gminie</w:t>
      </w:r>
      <w:r w:rsidRPr="00BE3613">
        <w:rPr>
          <w:rFonts w:ascii="Lato" w:hAnsi="Lato"/>
          <w:spacing w:val="-3"/>
          <w:szCs w:val="22"/>
        </w:rPr>
        <w:t>.</w:t>
      </w:r>
      <w:r w:rsidRPr="00BE3613">
        <w:rPr>
          <w:rFonts w:ascii="Lato" w:hAnsi="Lato"/>
        </w:rPr>
        <w:t xml:space="preserve"> Udział „gospodarstw domowych” w całkowitym zapotrzebowaniu na poszczególne nośniki sieciowe jest następujący:</w:t>
      </w:r>
    </w:p>
    <w:p w:rsidR="005C625D" w:rsidRPr="00BE3613" w:rsidRDefault="005C625D" w:rsidP="00A27F82">
      <w:pPr>
        <w:pStyle w:val="Tekstpodstawowy"/>
        <w:numPr>
          <w:ilvl w:val="0"/>
          <w:numId w:val="83"/>
        </w:numPr>
        <w:tabs>
          <w:tab w:val="clear" w:pos="360"/>
        </w:tabs>
        <w:ind w:left="709" w:hanging="425"/>
        <w:rPr>
          <w:rFonts w:ascii="Lato" w:hAnsi="Lato" w:cs="Times New Roman"/>
        </w:rPr>
      </w:pPr>
      <w:r w:rsidRPr="00BE3613">
        <w:rPr>
          <w:rFonts w:ascii="Lato" w:hAnsi="Lato" w:cs="Times New Roman"/>
        </w:rPr>
        <w:t xml:space="preserve">gaz ziemny – </w:t>
      </w:r>
      <w:r w:rsidR="00BE3613" w:rsidRPr="00BE3613">
        <w:rPr>
          <w:rFonts w:ascii="Lato" w:hAnsi="Lato" w:cs="Times New Roman"/>
        </w:rPr>
        <w:t>85,1</w:t>
      </w:r>
      <w:r w:rsidRPr="00BE3613">
        <w:rPr>
          <w:rFonts w:ascii="Lato" w:hAnsi="Lato" w:cs="Times New Roman"/>
        </w:rPr>
        <w:t>%,</w:t>
      </w:r>
    </w:p>
    <w:p w:rsidR="005C625D" w:rsidRPr="00BE3613" w:rsidRDefault="005C625D" w:rsidP="00A27F82">
      <w:pPr>
        <w:pStyle w:val="Tekstpodstawowy"/>
        <w:numPr>
          <w:ilvl w:val="0"/>
          <w:numId w:val="83"/>
        </w:numPr>
        <w:tabs>
          <w:tab w:val="clear" w:pos="360"/>
        </w:tabs>
        <w:ind w:left="709" w:hanging="425"/>
        <w:rPr>
          <w:rFonts w:ascii="Lato" w:hAnsi="Lato" w:cs="Times New Roman"/>
        </w:rPr>
      </w:pPr>
      <w:r w:rsidRPr="00BE3613">
        <w:rPr>
          <w:rFonts w:ascii="Lato" w:hAnsi="Lato" w:cs="Times New Roman"/>
        </w:rPr>
        <w:t xml:space="preserve">energia elektryczna – </w:t>
      </w:r>
      <w:r w:rsidR="004A55D3" w:rsidRPr="00BE3613">
        <w:rPr>
          <w:rFonts w:ascii="Lato" w:hAnsi="Lato" w:cs="Times New Roman"/>
        </w:rPr>
        <w:t>5</w:t>
      </w:r>
      <w:r w:rsidR="00BE3613" w:rsidRPr="00BE3613">
        <w:rPr>
          <w:rFonts w:ascii="Lato" w:hAnsi="Lato" w:cs="Times New Roman"/>
        </w:rPr>
        <w:t>7</w:t>
      </w:r>
      <w:r w:rsidR="004A55D3" w:rsidRPr="00BE3613">
        <w:rPr>
          <w:rFonts w:ascii="Lato" w:hAnsi="Lato" w:cs="Times New Roman"/>
        </w:rPr>
        <w:t>,</w:t>
      </w:r>
      <w:r w:rsidR="00BE3613" w:rsidRPr="00BE3613">
        <w:rPr>
          <w:rFonts w:ascii="Lato" w:hAnsi="Lato" w:cs="Times New Roman"/>
        </w:rPr>
        <w:t>4</w:t>
      </w:r>
      <w:r w:rsidRPr="00BE3613">
        <w:rPr>
          <w:rFonts w:ascii="Lato" w:hAnsi="Lato" w:cs="Times New Roman"/>
        </w:rPr>
        <w:t>%.</w:t>
      </w:r>
    </w:p>
    <w:p w:rsidR="005C625D" w:rsidRPr="00E46D1D" w:rsidRDefault="005C625D" w:rsidP="005C625D">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jc w:val="both"/>
        <w:rPr>
          <w:rFonts w:ascii="Lato" w:hAnsi="Lato"/>
          <w:spacing w:val="-3"/>
          <w:szCs w:val="22"/>
        </w:rPr>
      </w:pPr>
    </w:p>
    <w:p w:rsidR="005C625D" w:rsidRPr="00E46D1D" w:rsidRDefault="005C625D" w:rsidP="008F3D61">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ind w:firstLine="709"/>
        <w:jc w:val="both"/>
        <w:rPr>
          <w:rFonts w:ascii="Lato" w:hAnsi="Lato"/>
          <w:spacing w:val="-3"/>
          <w:szCs w:val="22"/>
        </w:rPr>
      </w:pPr>
      <w:r w:rsidRPr="00E46D1D">
        <w:rPr>
          <w:rFonts w:ascii="Lato" w:hAnsi="Lato"/>
          <w:spacing w:val="-3"/>
          <w:szCs w:val="22"/>
        </w:rPr>
        <w:t xml:space="preserve">Średnie jednostkowe zapotrzebowanie na ciepło w budynkach mieszkalnych na cele grzewcze na terenie Gminy </w:t>
      </w:r>
      <w:r w:rsidR="009F30F6" w:rsidRPr="00E46D1D">
        <w:rPr>
          <w:rFonts w:ascii="Lato" w:hAnsi="Lato"/>
          <w:spacing w:val="-3"/>
          <w:szCs w:val="22"/>
        </w:rPr>
        <w:t>Pabianice</w:t>
      </w:r>
      <w:r w:rsidRPr="00E46D1D">
        <w:rPr>
          <w:rFonts w:ascii="Lato" w:hAnsi="Lato"/>
          <w:spacing w:val="-3"/>
          <w:szCs w:val="22"/>
        </w:rPr>
        <w:t xml:space="preserve"> wynosi ok. 0,</w:t>
      </w:r>
      <w:r w:rsidR="004A55D3" w:rsidRPr="00E46D1D">
        <w:rPr>
          <w:rFonts w:ascii="Lato" w:hAnsi="Lato"/>
          <w:spacing w:val="-3"/>
          <w:szCs w:val="22"/>
        </w:rPr>
        <w:t>4</w:t>
      </w:r>
      <w:r w:rsidR="00E46D1D" w:rsidRPr="00E46D1D">
        <w:rPr>
          <w:rFonts w:ascii="Lato" w:hAnsi="Lato"/>
          <w:spacing w:val="-3"/>
          <w:szCs w:val="22"/>
        </w:rPr>
        <w:t>2</w:t>
      </w:r>
      <w:r w:rsidRPr="00E46D1D">
        <w:rPr>
          <w:rFonts w:ascii="Lato" w:hAnsi="Lato"/>
          <w:spacing w:val="-3"/>
          <w:szCs w:val="22"/>
        </w:rPr>
        <w:t xml:space="preserve"> GJ/m</w:t>
      </w:r>
      <w:r w:rsidRPr="00E46D1D">
        <w:rPr>
          <w:rFonts w:ascii="Lato" w:hAnsi="Lato"/>
          <w:spacing w:val="-3"/>
          <w:szCs w:val="22"/>
          <w:vertAlign w:val="superscript"/>
        </w:rPr>
        <w:t>2</w:t>
      </w:r>
      <w:r w:rsidRPr="00E46D1D">
        <w:rPr>
          <w:rFonts w:ascii="Lato" w:hAnsi="Lato"/>
          <w:spacing w:val="-3"/>
          <w:szCs w:val="22"/>
        </w:rPr>
        <w:t>/rok dla budynków mieszkalnych. Wskaźnik te</w:t>
      </w:r>
      <w:r w:rsidR="00E46D1D" w:rsidRPr="00E46D1D">
        <w:rPr>
          <w:rFonts w:ascii="Lato" w:hAnsi="Lato"/>
          <w:spacing w:val="-3"/>
          <w:szCs w:val="22"/>
        </w:rPr>
        <w:t>n</w:t>
      </w:r>
      <w:r w:rsidRPr="00E46D1D">
        <w:rPr>
          <w:rFonts w:ascii="Lato" w:hAnsi="Lato"/>
          <w:spacing w:val="-3"/>
          <w:szCs w:val="22"/>
        </w:rPr>
        <w:t xml:space="preserve"> </w:t>
      </w:r>
      <w:r w:rsidR="00E46D1D" w:rsidRPr="00E46D1D">
        <w:rPr>
          <w:rFonts w:ascii="Lato" w:hAnsi="Lato"/>
          <w:spacing w:val="-3"/>
          <w:szCs w:val="22"/>
        </w:rPr>
        <w:t>jest</w:t>
      </w:r>
      <w:r w:rsidRPr="00E46D1D">
        <w:rPr>
          <w:rFonts w:ascii="Lato" w:hAnsi="Lato"/>
          <w:spacing w:val="-3"/>
          <w:szCs w:val="22"/>
        </w:rPr>
        <w:t xml:space="preserve"> zatem ok. 1,5 razy wyższe niż w obecnie wznoszonych budynkach mieszkalnych. Budynki mieszkalne posiadają łączną powierzchnię </w:t>
      </w:r>
      <w:r w:rsidR="00E46D1D" w:rsidRPr="00E46D1D">
        <w:rPr>
          <w:rFonts w:ascii="Lato" w:hAnsi="Lato"/>
          <w:spacing w:val="-3"/>
          <w:szCs w:val="22"/>
        </w:rPr>
        <w:t>244</w:t>
      </w:r>
      <w:r w:rsidRPr="00E46D1D">
        <w:rPr>
          <w:rFonts w:ascii="Lato" w:hAnsi="Lato"/>
          <w:spacing w:val="-3"/>
          <w:szCs w:val="22"/>
        </w:rPr>
        <w:t>,</w:t>
      </w:r>
      <w:r w:rsidR="00E46D1D" w:rsidRPr="00E46D1D">
        <w:rPr>
          <w:rFonts w:ascii="Lato" w:hAnsi="Lato"/>
          <w:spacing w:val="-3"/>
          <w:szCs w:val="22"/>
        </w:rPr>
        <w:t>7</w:t>
      </w:r>
      <w:r w:rsidRPr="00E46D1D">
        <w:rPr>
          <w:rFonts w:ascii="Lato" w:hAnsi="Lato"/>
          <w:spacing w:val="-3"/>
          <w:szCs w:val="22"/>
        </w:rPr>
        <w:t xml:space="preserve"> </w:t>
      </w:r>
      <w:r w:rsidRPr="00E46D1D">
        <w:rPr>
          <w:rFonts w:ascii="Lato" w:hAnsi="Lato"/>
          <w:spacing w:val="-2"/>
          <w:szCs w:val="22"/>
        </w:rPr>
        <w:t>tys.</w:t>
      </w:r>
      <w:r w:rsidRPr="00E46D1D">
        <w:rPr>
          <w:rFonts w:ascii="Lato" w:hAnsi="Lato"/>
          <w:spacing w:val="-3"/>
          <w:szCs w:val="22"/>
        </w:rPr>
        <w:t>m</w:t>
      </w:r>
      <w:r w:rsidRPr="00E46D1D">
        <w:rPr>
          <w:rFonts w:ascii="Lato" w:hAnsi="Lato"/>
          <w:spacing w:val="-3"/>
          <w:szCs w:val="22"/>
          <w:vertAlign w:val="superscript"/>
        </w:rPr>
        <w:t>2</w:t>
      </w:r>
      <w:r w:rsidRPr="00E46D1D">
        <w:rPr>
          <w:rFonts w:ascii="Lato" w:hAnsi="Lato"/>
          <w:spacing w:val="-3"/>
          <w:szCs w:val="22"/>
        </w:rPr>
        <w:t>.</w:t>
      </w:r>
    </w:p>
    <w:p w:rsidR="005C625D" w:rsidRPr="009F30F6" w:rsidRDefault="005C625D" w:rsidP="008F3D61">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ind w:firstLine="709"/>
        <w:jc w:val="both"/>
        <w:rPr>
          <w:rFonts w:ascii="Lato" w:hAnsi="Lato"/>
          <w:spacing w:val="-3"/>
          <w:szCs w:val="22"/>
        </w:rPr>
      </w:pPr>
      <w:r w:rsidRPr="009F30F6">
        <w:rPr>
          <w:rFonts w:ascii="Lato" w:hAnsi="Lato"/>
          <w:spacing w:val="-3"/>
          <w:szCs w:val="22"/>
        </w:rPr>
        <w:t>Zużycie energii do celów grzewczych w budynkach mieszkalnych zależy od różnych czynników, na niektóre z nich mieszkańcy nie mają wpływu, jak np. położenie geograficzne domu. Polska podzielona jest na 5 stref klimatycznych z uwagi na temperatury zewnętrzne w okresie zimowym. Najzimniej jest w V strefie, tj. na południu w Zakopanem i na północnym-wschodzie (Ełk, Suwałk</w:t>
      </w:r>
      <w:r w:rsidR="009F30F6">
        <w:rPr>
          <w:rFonts w:ascii="Lato" w:hAnsi="Lato"/>
          <w:spacing w:val="-3"/>
          <w:szCs w:val="22"/>
        </w:rPr>
        <w:t>i), natomiast najcieplej jest w </w:t>
      </w:r>
      <w:r w:rsidRPr="009F30F6">
        <w:rPr>
          <w:rFonts w:ascii="Lato" w:hAnsi="Lato"/>
          <w:spacing w:val="-3"/>
          <w:szCs w:val="22"/>
        </w:rPr>
        <w:t xml:space="preserve">strefie I na północnym-zachodzie w pasie od Gdańska do Myśliborza, który leży pomiędzy Szczecinem a Gorzowem Wielkopolskim. Rejon województwa, w którym znajduje się Gmina </w:t>
      </w:r>
      <w:r w:rsidR="009F30F6" w:rsidRPr="009F30F6">
        <w:rPr>
          <w:rFonts w:ascii="Lato" w:hAnsi="Lato"/>
          <w:spacing w:val="-3"/>
          <w:szCs w:val="22"/>
        </w:rPr>
        <w:t>Pabianice</w:t>
      </w:r>
      <w:r w:rsidRPr="009F30F6">
        <w:rPr>
          <w:rFonts w:ascii="Lato" w:hAnsi="Lato"/>
          <w:spacing w:val="-3"/>
          <w:szCs w:val="22"/>
        </w:rPr>
        <w:t xml:space="preserve"> leży w III strefie klimatycznej, dla której zewnętrzna temperatura obliczeniowa wynosi 20</w:t>
      </w:r>
      <w:r w:rsidRPr="009F30F6">
        <w:rPr>
          <w:rFonts w:ascii="Lato" w:hAnsi="Lato"/>
          <w:spacing w:val="-3"/>
          <w:szCs w:val="22"/>
          <w:vertAlign w:val="superscript"/>
        </w:rPr>
        <w:t>o</w:t>
      </w:r>
      <w:r w:rsidRPr="009F30F6">
        <w:rPr>
          <w:rFonts w:ascii="Lato" w:hAnsi="Lato"/>
          <w:spacing w:val="-3"/>
          <w:szCs w:val="22"/>
        </w:rPr>
        <w:t>C poniżej zera. Kolejną sprawą jest</w:t>
      </w:r>
      <w:r w:rsidR="00236650" w:rsidRPr="009F30F6">
        <w:rPr>
          <w:rFonts w:ascii="Lato" w:hAnsi="Lato"/>
          <w:spacing w:val="-3"/>
          <w:szCs w:val="22"/>
        </w:rPr>
        <w:t xml:space="preserve"> usytuowanie budynku. Budynek w </w:t>
      </w:r>
      <w:r w:rsidRPr="009F30F6">
        <w:rPr>
          <w:rFonts w:ascii="Lato" w:hAnsi="Lato"/>
          <w:spacing w:val="-3"/>
          <w:szCs w:val="22"/>
        </w:rPr>
        <w:t xml:space="preserve">centrum miasta zużyje mniej energii niż taki sam budynek usytuowany na otwartej przestrzeni lub wzniesieniu. </w:t>
      </w:r>
    </w:p>
    <w:p w:rsidR="005C625D" w:rsidRPr="009F30F6" w:rsidRDefault="005C625D" w:rsidP="008F3D61">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ind w:firstLine="709"/>
        <w:jc w:val="both"/>
        <w:rPr>
          <w:rFonts w:ascii="Lato" w:hAnsi="Lato"/>
          <w:spacing w:val="-3"/>
          <w:szCs w:val="22"/>
        </w:rPr>
      </w:pPr>
      <w:r w:rsidRPr="009F30F6">
        <w:rPr>
          <w:rFonts w:ascii="Lato" w:hAnsi="Lato"/>
          <w:spacing w:val="-3"/>
          <w:szCs w:val="22"/>
        </w:rPr>
        <w:t xml:space="preserve">Wiele budynków nie posiada dostatecznej izolacji termicznej, a więc straty ciepła przez przegrody są duże. W uproszczeniu można przyjąć, że ochrona cieplna budynków wybudowanych przed 1981 r. jest słaba, przeciętna w budynkach z lat 1982 – 1990, dobra w budynkach powstałych w latach 1991 </w:t>
      </w:r>
      <w:r w:rsidR="009F30F6" w:rsidRPr="009F30F6">
        <w:rPr>
          <w:rFonts w:ascii="Lato" w:hAnsi="Lato"/>
          <w:spacing w:val="-3"/>
          <w:szCs w:val="22"/>
        </w:rPr>
        <w:t>– 1994 i </w:t>
      </w:r>
      <w:r w:rsidR="00236650" w:rsidRPr="009F30F6">
        <w:rPr>
          <w:rFonts w:ascii="Lato" w:hAnsi="Lato"/>
          <w:spacing w:val="-3"/>
          <w:szCs w:val="22"/>
        </w:rPr>
        <w:t xml:space="preserve">w końcu bardzo dobra </w:t>
      </w:r>
      <w:r w:rsidR="00236650" w:rsidRPr="009F30F6">
        <w:rPr>
          <w:rFonts w:ascii="Lato" w:hAnsi="Lato"/>
          <w:spacing w:val="-3"/>
          <w:szCs w:val="22"/>
        </w:rPr>
        <w:lastRenderedPageBreak/>
        <w:t>w </w:t>
      </w:r>
      <w:r w:rsidRPr="009F30F6">
        <w:rPr>
          <w:rFonts w:ascii="Lato" w:hAnsi="Lato"/>
          <w:spacing w:val="-3"/>
          <w:szCs w:val="22"/>
        </w:rPr>
        <w:t>budynkach zbudowanych po 1995 r. Energochłonność wynika zatem z niskiej izolacyjności cieplnej przegród zewnętrznych, a więc ścian, dachów i podłóg. Duże straty ciepła powodują także okna, które nierzadko są nieszczelne i niskiej jakości technicznej.</w:t>
      </w:r>
    </w:p>
    <w:p w:rsidR="005C625D" w:rsidRPr="008F214D" w:rsidRDefault="005C625D" w:rsidP="008F3D61">
      <w:pPr>
        <w:pStyle w:val="bulety"/>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spacing w:before="0" w:after="0" w:line="312" w:lineRule="auto"/>
        <w:ind w:firstLine="709"/>
        <w:rPr>
          <w:rFonts w:ascii="Lato" w:hAnsi="Lato"/>
          <w:snapToGrid/>
          <w:spacing w:val="-3"/>
          <w:szCs w:val="22"/>
        </w:rPr>
      </w:pPr>
      <w:r w:rsidRPr="008F214D">
        <w:rPr>
          <w:rFonts w:ascii="Lato" w:hAnsi="Lato"/>
          <w:snapToGrid/>
          <w:spacing w:val="-3"/>
          <w:szCs w:val="22"/>
        </w:rPr>
        <w:t xml:space="preserve">Drugą ważną przyczyną dużego zużycia paliw i energii, </w:t>
      </w:r>
      <w:r w:rsidR="00D03562">
        <w:rPr>
          <w:rFonts w:ascii="Lato" w:hAnsi="Lato"/>
          <w:snapToGrid/>
          <w:spacing w:val="-3"/>
          <w:szCs w:val="22"/>
        </w:rPr>
        <w:t>a tym samym wysokich kosztów za </w:t>
      </w:r>
      <w:r w:rsidRPr="008F214D">
        <w:rPr>
          <w:rFonts w:ascii="Lato" w:hAnsi="Lato"/>
          <w:snapToGrid/>
          <w:spacing w:val="-3"/>
          <w:szCs w:val="22"/>
        </w:rPr>
        <w:t>ogrzewanie jest niska sprawność układu grzewczego. Wynika to przede wszystkim z niskiej sprawności samego źródła ciepła (kotła), ale także ze złego stanu technicznego instalacji wewnętrznej, która zwykle jest rozregulowana, a rury źle izolowane i podobnie jak grzejniki zarośnięte osadami stałymi. Ponadto brak jes</w:t>
      </w:r>
      <w:r w:rsidR="00236650" w:rsidRPr="008F214D">
        <w:rPr>
          <w:rFonts w:ascii="Lato" w:hAnsi="Lato"/>
          <w:snapToGrid/>
          <w:spacing w:val="-3"/>
          <w:szCs w:val="22"/>
        </w:rPr>
        <w:t>t możliwości łatwej regulacji i </w:t>
      </w:r>
      <w:r w:rsidRPr="008F214D">
        <w:rPr>
          <w:rFonts w:ascii="Lato" w:hAnsi="Lato"/>
          <w:snapToGrid/>
          <w:spacing w:val="-3"/>
          <w:szCs w:val="22"/>
        </w:rPr>
        <w:t xml:space="preserve">dostosowania zapotrzebowania ciepła do zmieniających się warunków pogodowych (automatyka kotła) i potrzeb cieplnych w poszczególnych pomieszczeniach (przygrzejnikowe zawory termostatyczne). Sprawność domowej instalacji grzewczej można podzielić na 4 główne składniki. Pierwszym jest sprawność samego źródła ciepła (kotła, pieca). </w:t>
      </w:r>
    </w:p>
    <w:p w:rsidR="005C625D" w:rsidRPr="008F214D" w:rsidRDefault="005C625D" w:rsidP="008F3D61">
      <w:pPr>
        <w:pStyle w:val="bulety"/>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spacing w:before="0" w:after="0" w:line="312" w:lineRule="auto"/>
        <w:ind w:firstLine="709"/>
        <w:rPr>
          <w:rFonts w:ascii="Lato" w:hAnsi="Lato"/>
          <w:snapToGrid/>
          <w:spacing w:val="-3"/>
          <w:szCs w:val="22"/>
        </w:rPr>
      </w:pPr>
      <w:r w:rsidRPr="008F214D">
        <w:rPr>
          <w:rFonts w:ascii="Lato" w:hAnsi="Lato"/>
          <w:snapToGrid/>
          <w:spacing w:val="-3"/>
          <w:szCs w:val="22"/>
        </w:rPr>
        <w:t>Można przyjąć, że im starszy kocioł tym jego sprawność jest mn</w:t>
      </w:r>
      <w:r w:rsidR="008F214D" w:rsidRPr="008F214D">
        <w:rPr>
          <w:rFonts w:ascii="Lato" w:hAnsi="Lato"/>
          <w:snapToGrid/>
          <w:spacing w:val="-3"/>
          <w:szCs w:val="22"/>
        </w:rPr>
        <w:t>iejsza, natomiast sprawność np. </w:t>
      </w:r>
      <w:r w:rsidRPr="008F214D">
        <w:rPr>
          <w:rFonts w:ascii="Lato" w:hAnsi="Lato"/>
          <w:snapToGrid/>
          <w:spacing w:val="-3"/>
          <w:szCs w:val="22"/>
        </w:rPr>
        <w:t>pieców ceramicznych (kaflowe) jest około o połowę mniejsza niż dla kotłów. Dalej jest sprawność przesyłania wytworzonego w źródle (kotle) ciepła do odbiorników (grzejniki). Jeżeli pomieszczenie ogrzewamy np. piecem ceramicznym strat przesyłu nie ma, gd</w:t>
      </w:r>
      <w:r w:rsidR="00D03562">
        <w:rPr>
          <w:rFonts w:ascii="Lato" w:hAnsi="Lato"/>
          <w:snapToGrid/>
          <w:spacing w:val="-3"/>
          <w:szCs w:val="22"/>
        </w:rPr>
        <w:t>yż źródło ciepła znajduję się w </w:t>
      </w:r>
      <w:r w:rsidRPr="008F214D">
        <w:rPr>
          <w:rFonts w:ascii="Lato" w:hAnsi="Lato"/>
          <w:snapToGrid/>
          <w:spacing w:val="-3"/>
          <w:szCs w:val="22"/>
        </w:rPr>
        <w:t>ogrzewanym pomieszczeniu. Brak izolacji rur oraz wieloletnia eksploatacja instalacji bez jej płukania z pewnością powodują obniżenie jej sprawności. Trzecim składnikiem jest sprawność wykorzystania ciepła, która związana jest m.in. z usytuowaniem grzejników w</w:t>
      </w:r>
      <w:r w:rsidR="00320CA3" w:rsidRPr="008F214D">
        <w:rPr>
          <w:rFonts w:ascii="Lato" w:hAnsi="Lato"/>
          <w:snapToGrid/>
          <w:spacing w:val="-3"/>
          <w:szCs w:val="22"/>
        </w:rPr>
        <w:t> </w:t>
      </w:r>
      <w:r w:rsidRPr="008F214D">
        <w:rPr>
          <w:rFonts w:ascii="Lato" w:hAnsi="Lato"/>
          <w:snapToGrid/>
          <w:spacing w:val="-3"/>
          <w:szCs w:val="22"/>
        </w:rPr>
        <w:t>pomieszczeniu. Ostatnim elementem mocno wpływającym na całkowitą sprawność instalacji jest możliwość regulacji systemu grzewczego. Takie elementy jak przygrzejnikowe zawor</w:t>
      </w:r>
      <w:r w:rsidR="00236650" w:rsidRPr="008F214D">
        <w:rPr>
          <w:rFonts w:ascii="Lato" w:hAnsi="Lato"/>
          <w:snapToGrid/>
          <w:spacing w:val="-3"/>
          <w:szCs w:val="22"/>
        </w:rPr>
        <w:t>y termostatyczne w połączeniu z </w:t>
      </w:r>
      <w:r w:rsidR="00D03562">
        <w:rPr>
          <w:rFonts w:ascii="Lato" w:hAnsi="Lato"/>
          <w:snapToGrid/>
          <w:spacing w:val="-3"/>
          <w:szCs w:val="22"/>
        </w:rPr>
        <w:t>nowoczesnymi grzejnikami o </w:t>
      </w:r>
      <w:r w:rsidRPr="008F214D">
        <w:rPr>
          <w:rFonts w:ascii="Lato" w:hAnsi="Lato"/>
          <w:snapToGrid/>
          <w:spacing w:val="-3"/>
          <w:szCs w:val="22"/>
        </w:rPr>
        <w:t>małej bezwładności (szybko się wychładzają oraz szybko nagrzew</w:t>
      </w:r>
      <w:r w:rsidR="00A342D0">
        <w:rPr>
          <w:rFonts w:ascii="Lato" w:hAnsi="Lato"/>
          <w:snapToGrid/>
          <w:spacing w:val="-3"/>
          <w:szCs w:val="22"/>
        </w:rPr>
        <w:t>ają) oraz automatyka kotła (np. </w:t>
      </w:r>
      <w:r w:rsidRPr="008F214D">
        <w:rPr>
          <w:rFonts w:ascii="Lato" w:hAnsi="Lato"/>
          <w:snapToGrid/>
          <w:spacing w:val="-3"/>
          <w:szCs w:val="22"/>
        </w:rPr>
        <w:t>pogodowa) pozwalają nawet trzykrotnie zmniejszyć stratę regulacji w stosunku do instalacji starej.</w:t>
      </w:r>
    </w:p>
    <w:p w:rsidR="009C609A" w:rsidRPr="00D352C4" w:rsidRDefault="009C609A" w:rsidP="006B024A">
      <w:pPr>
        <w:pStyle w:val="bulety"/>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spacing w:before="0" w:after="0" w:line="312" w:lineRule="auto"/>
        <w:rPr>
          <w:rFonts w:ascii="Lato" w:hAnsi="Lato"/>
          <w:snapToGrid/>
          <w:spacing w:val="-3"/>
          <w:szCs w:val="22"/>
          <w:highlight w:val="yellow"/>
        </w:rPr>
      </w:pPr>
    </w:p>
    <w:p w:rsidR="006B024A" w:rsidRPr="008F3D61" w:rsidRDefault="0006260E" w:rsidP="002542F4">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ind w:left="-57" w:firstLine="0"/>
        <w:jc w:val="center"/>
        <w:rPr>
          <w:rFonts w:ascii="Lato" w:hAnsi="Lato"/>
          <w:szCs w:val="22"/>
        </w:rPr>
      </w:pPr>
      <w:r>
        <w:rPr>
          <w:rFonts w:ascii="Lato" w:hAnsi="Lato"/>
          <w:noProof/>
          <w:szCs w:val="22"/>
        </w:rPr>
        <w:drawing>
          <wp:inline distT="0" distB="0" distL="0" distR="0" wp14:anchorId="357261C2" wp14:editId="001D159D">
            <wp:extent cx="5843905" cy="2733675"/>
            <wp:effectExtent l="0" t="0" r="4445" b="9525"/>
            <wp:docPr id="97"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43905" cy="2733675"/>
                    </a:xfrm>
                    <a:prstGeom prst="rect">
                      <a:avLst/>
                    </a:prstGeom>
                    <a:noFill/>
                    <a:ln>
                      <a:noFill/>
                    </a:ln>
                  </pic:spPr>
                </pic:pic>
              </a:graphicData>
            </a:graphic>
          </wp:inline>
        </w:drawing>
      </w:r>
    </w:p>
    <w:p w:rsidR="006B024A" w:rsidRPr="008F3D61" w:rsidRDefault="006B024A" w:rsidP="008F214D">
      <w:pPr>
        <w:spacing w:line="240" w:lineRule="auto"/>
        <w:ind w:firstLine="0"/>
        <w:jc w:val="center"/>
        <w:rPr>
          <w:rFonts w:ascii="Lato" w:hAnsi="Lato"/>
          <w:b/>
          <w:bCs/>
          <w:sz w:val="20"/>
          <w:szCs w:val="20"/>
        </w:rPr>
      </w:pPr>
      <w:bookmarkStart w:id="587" w:name="_Toc336419442"/>
      <w:bookmarkStart w:id="588" w:name="_Toc336943766"/>
      <w:bookmarkStart w:id="589" w:name="_Toc20219275"/>
      <w:r w:rsidRPr="008F3D61">
        <w:rPr>
          <w:rFonts w:ascii="Lato" w:hAnsi="Lato"/>
          <w:b/>
          <w:bCs/>
          <w:color w:val="1F497D"/>
          <w:sz w:val="20"/>
          <w:szCs w:val="20"/>
        </w:rPr>
        <w:t xml:space="preserve">Rysunek </w:t>
      </w:r>
      <w:r w:rsidR="004042AE" w:rsidRPr="008F3D61">
        <w:rPr>
          <w:rFonts w:ascii="Lato" w:hAnsi="Lato"/>
          <w:b/>
          <w:bCs/>
          <w:color w:val="1F497D"/>
          <w:sz w:val="20"/>
          <w:szCs w:val="20"/>
        </w:rPr>
        <w:fldChar w:fldCharType="begin"/>
      </w:r>
      <w:r w:rsidR="005430ED" w:rsidRPr="008F3D61">
        <w:rPr>
          <w:rFonts w:ascii="Lato" w:hAnsi="Lato"/>
          <w:b/>
          <w:bCs/>
          <w:color w:val="1F497D"/>
          <w:sz w:val="20"/>
          <w:szCs w:val="20"/>
        </w:rPr>
        <w:instrText xml:space="preserve"> STYLEREF 1 \s </w:instrText>
      </w:r>
      <w:r w:rsidR="004042AE" w:rsidRPr="008F3D61">
        <w:rPr>
          <w:rFonts w:ascii="Lato" w:hAnsi="Lato"/>
          <w:b/>
          <w:bCs/>
          <w:color w:val="1F497D"/>
          <w:sz w:val="20"/>
          <w:szCs w:val="20"/>
        </w:rPr>
        <w:fldChar w:fldCharType="separate"/>
      </w:r>
      <w:r w:rsidR="0040205B">
        <w:rPr>
          <w:rFonts w:ascii="Lato" w:hAnsi="Lato"/>
          <w:b/>
          <w:bCs/>
          <w:noProof/>
          <w:color w:val="1F497D"/>
          <w:sz w:val="20"/>
          <w:szCs w:val="20"/>
        </w:rPr>
        <w:t>6</w:t>
      </w:r>
      <w:r w:rsidR="004042AE" w:rsidRPr="008F3D61">
        <w:rPr>
          <w:rFonts w:ascii="Lato" w:hAnsi="Lato"/>
          <w:b/>
          <w:bCs/>
          <w:color w:val="1F497D"/>
          <w:sz w:val="20"/>
          <w:szCs w:val="20"/>
        </w:rPr>
        <w:fldChar w:fldCharType="end"/>
      </w:r>
      <w:r w:rsidR="005430ED" w:rsidRPr="008F3D61">
        <w:rPr>
          <w:rFonts w:ascii="Lato" w:hAnsi="Lato"/>
          <w:b/>
          <w:bCs/>
          <w:color w:val="1F497D"/>
          <w:sz w:val="20"/>
          <w:szCs w:val="20"/>
        </w:rPr>
        <w:noBreakHyphen/>
      </w:r>
      <w:r w:rsidR="004042AE" w:rsidRPr="008F3D61">
        <w:rPr>
          <w:rFonts w:ascii="Lato" w:hAnsi="Lato"/>
          <w:b/>
          <w:bCs/>
          <w:color w:val="1F497D"/>
          <w:sz w:val="20"/>
          <w:szCs w:val="20"/>
        </w:rPr>
        <w:fldChar w:fldCharType="begin"/>
      </w:r>
      <w:r w:rsidR="005430ED" w:rsidRPr="008F3D61">
        <w:rPr>
          <w:rFonts w:ascii="Lato" w:hAnsi="Lato"/>
          <w:b/>
          <w:bCs/>
          <w:color w:val="1F497D"/>
          <w:sz w:val="20"/>
          <w:szCs w:val="20"/>
        </w:rPr>
        <w:instrText xml:space="preserve"> SEQ Rysunek \* ARABIC \s 1 </w:instrText>
      </w:r>
      <w:r w:rsidR="004042AE" w:rsidRPr="008F3D61">
        <w:rPr>
          <w:rFonts w:ascii="Lato" w:hAnsi="Lato"/>
          <w:b/>
          <w:bCs/>
          <w:color w:val="1F497D"/>
          <w:sz w:val="20"/>
          <w:szCs w:val="20"/>
        </w:rPr>
        <w:fldChar w:fldCharType="separate"/>
      </w:r>
      <w:r w:rsidR="0040205B">
        <w:rPr>
          <w:rFonts w:ascii="Lato" w:hAnsi="Lato"/>
          <w:b/>
          <w:bCs/>
          <w:noProof/>
          <w:color w:val="1F497D"/>
          <w:sz w:val="20"/>
          <w:szCs w:val="20"/>
        </w:rPr>
        <w:t>18</w:t>
      </w:r>
      <w:r w:rsidR="004042AE" w:rsidRPr="008F3D61">
        <w:rPr>
          <w:rFonts w:ascii="Lato" w:hAnsi="Lato"/>
          <w:b/>
          <w:bCs/>
          <w:color w:val="1F497D"/>
          <w:sz w:val="20"/>
          <w:szCs w:val="20"/>
        </w:rPr>
        <w:fldChar w:fldCharType="end"/>
      </w:r>
      <w:r w:rsidRPr="008F3D61">
        <w:rPr>
          <w:rFonts w:ascii="Lato" w:hAnsi="Lato"/>
          <w:b/>
          <w:bCs/>
          <w:color w:val="1F497D"/>
          <w:sz w:val="20"/>
          <w:szCs w:val="20"/>
        </w:rPr>
        <w:t>Przykładowe porównanie, starej i nowej instalacji grzewczej</w:t>
      </w:r>
      <w:bookmarkEnd w:id="587"/>
      <w:bookmarkEnd w:id="588"/>
      <w:bookmarkEnd w:id="589"/>
    </w:p>
    <w:p w:rsidR="0070524F" w:rsidRPr="008F214D" w:rsidRDefault="0070524F" w:rsidP="008F214D">
      <w:pPr>
        <w:ind w:firstLine="0"/>
        <w:jc w:val="both"/>
        <w:rPr>
          <w:rFonts w:ascii="Lato" w:hAnsi="Lato"/>
          <w:b/>
          <w:bCs/>
        </w:rPr>
      </w:pPr>
    </w:p>
    <w:p w:rsidR="006B024A" w:rsidRPr="008F214D" w:rsidRDefault="006B024A" w:rsidP="008F214D">
      <w:pPr>
        <w:suppressAutoHyphens/>
        <w:jc w:val="both"/>
        <w:rPr>
          <w:rFonts w:ascii="Lato" w:hAnsi="Lato"/>
          <w:spacing w:val="-3"/>
          <w:szCs w:val="22"/>
        </w:rPr>
      </w:pPr>
      <w:r w:rsidRPr="008F214D">
        <w:rPr>
          <w:rFonts w:ascii="Lato" w:hAnsi="Lato"/>
          <w:spacing w:val="-3"/>
          <w:szCs w:val="20"/>
        </w:rPr>
        <w:t>Na powyższym rysunku przedstawiono przykładowe porównanie, starej i nowej instalacji grzewczej pokazujące stopień wykorzystania paliwa rokrocznie „wkładaneg</w:t>
      </w:r>
      <w:r w:rsidR="00D03562">
        <w:rPr>
          <w:rFonts w:ascii="Lato" w:hAnsi="Lato"/>
          <w:spacing w:val="-3"/>
          <w:szCs w:val="20"/>
        </w:rPr>
        <w:t>o” do kotła. Widać stąd, że </w:t>
      </w:r>
      <w:r w:rsidR="008F214D" w:rsidRPr="008F214D">
        <w:rPr>
          <w:rFonts w:ascii="Lato" w:hAnsi="Lato"/>
          <w:spacing w:val="-3"/>
          <w:szCs w:val="20"/>
        </w:rPr>
        <w:t>np. </w:t>
      </w:r>
      <w:r w:rsidRPr="008F214D">
        <w:rPr>
          <w:rFonts w:ascii="Lato" w:hAnsi="Lato"/>
          <w:spacing w:val="-3"/>
          <w:szCs w:val="20"/>
        </w:rPr>
        <w:t xml:space="preserve">użytkowanie </w:t>
      </w:r>
      <w:r w:rsidRPr="008F214D">
        <w:rPr>
          <w:rFonts w:ascii="Lato" w:hAnsi="Lato"/>
          <w:spacing w:val="-3"/>
          <w:szCs w:val="20"/>
        </w:rPr>
        <w:lastRenderedPageBreak/>
        <w:t xml:space="preserve">niskosprawnego kotła powoduje 30% stratę paliwa. Jest to wartość typowa dla kotłów około </w:t>
      </w:r>
      <w:r w:rsidR="00780D8D" w:rsidRPr="008F214D">
        <w:rPr>
          <w:rFonts w:ascii="Lato" w:hAnsi="Lato"/>
          <w:spacing w:val="-3"/>
          <w:szCs w:val="20"/>
        </w:rPr>
        <w:t>dwudziesto</w:t>
      </w:r>
      <w:r w:rsidRPr="008F214D">
        <w:rPr>
          <w:rFonts w:ascii="Lato" w:hAnsi="Lato"/>
          <w:spacing w:val="-3"/>
          <w:szCs w:val="20"/>
        </w:rPr>
        <w:t xml:space="preserve">letnich, opalanych paliwem stałym. Natomiast dla nowoczesnych kotłów strata ta wynosi od 10 do 20%. Wszystko to przekłada się oczywiście na zmniejszenie ilości zużytego paliwa, </w:t>
      </w:r>
      <w:r w:rsidR="00D03562">
        <w:rPr>
          <w:rFonts w:ascii="Lato" w:hAnsi="Lato"/>
          <w:spacing w:val="-3"/>
          <w:szCs w:val="20"/>
        </w:rPr>
        <w:t>a </w:t>
      </w:r>
      <w:r w:rsidRPr="008F214D">
        <w:rPr>
          <w:rFonts w:ascii="Lato" w:hAnsi="Lato"/>
          <w:spacing w:val="-3"/>
          <w:szCs w:val="20"/>
        </w:rPr>
        <w:t xml:space="preserve">więc na koszty eksploatacji, ale także na ilość </w:t>
      </w:r>
      <w:r w:rsidRPr="008F214D">
        <w:rPr>
          <w:rFonts w:ascii="Lato" w:hAnsi="Lato"/>
          <w:spacing w:val="-3"/>
          <w:szCs w:val="22"/>
        </w:rPr>
        <w:t>wyemitowanych do powietrza spalin.</w:t>
      </w:r>
    </w:p>
    <w:p w:rsidR="00941F44" w:rsidRPr="008F214D" w:rsidRDefault="00941F44" w:rsidP="006B024A">
      <w:pPr>
        <w:suppressAutoHyphens/>
        <w:spacing w:after="120"/>
        <w:jc w:val="both"/>
        <w:rPr>
          <w:rFonts w:ascii="Lato" w:hAnsi="Lato"/>
          <w:spacing w:val="-3"/>
          <w:szCs w:val="22"/>
        </w:rPr>
      </w:pPr>
    </w:p>
    <w:p w:rsidR="006B024A" w:rsidRPr="008F214D" w:rsidRDefault="006B024A" w:rsidP="00941F44">
      <w:pPr>
        <w:spacing w:line="240" w:lineRule="auto"/>
        <w:ind w:firstLine="0"/>
        <w:jc w:val="both"/>
        <w:rPr>
          <w:rFonts w:ascii="Lato" w:hAnsi="Lato"/>
          <w:b/>
          <w:bCs/>
          <w:color w:val="1F497D"/>
          <w:sz w:val="20"/>
          <w:szCs w:val="20"/>
        </w:rPr>
      </w:pPr>
      <w:bookmarkStart w:id="590" w:name="_Toc336419501"/>
      <w:bookmarkStart w:id="591" w:name="_Toc336943667"/>
      <w:bookmarkStart w:id="592" w:name="_Toc20219209"/>
      <w:r w:rsidRPr="008F214D">
        <w:rPr>
          <w:rFonts w:ascii="Lato" w:hAnsi="Lato"/>
          <w:b/>
          <w:bCs/>
          <w:color w:val="1F497D"/>
          <w:sz w:val="20"/>
          <w:szCs w:val="20"/>
        </w:rPr>
        <w:t xml:space="preserve">Tabela </w:t>
      </w:r>
      <w:r w:rsidR="004042AE" w:rsidRPr="008F214D">
        <w:rPr>
          <w:rFonts w:ascii="Lato" w:hAnsi="Lato"/>
          <w:b/>
          <w:bCs/>
          <w:color w:val="1F497D"/>
          <w:sz w:val="20"/>
          <w:szCs w:val="20"/>
        </w:rPr>
        <w:fldChar w:fldCharType="begin"/>
      </w:r>
      <w:r w:rsidR="005430ED" w:rsidRPr="008F214D">
        <w:rPr>
          <w:rFonts w:ascii="Lato" w:hAnsi="Lato"/>
          <w:b/>
          <w:bCs/>
          <w:color w:val="1F497D"/>
          <w:sz w:val="20"/>
          <w:szCs w:val="20"/>
        </w:rPr>
        <w:instrText xml:space="preserve"> STYLEREF 1 \s </w:instrText>
      </w:r>
      <w:r w:rsidR="004042AE" w:rsidRPr="008F214D">
        <w:rPr>
          <w:rFonts w:ascii="Lato" w:hAnsi="Lato"/>
          <w:b/>
          <w:bCs/>
          <w:color w:val="1F497D"/>
          <w:sz w:val="20"/>
          <w:szCs w:val="20"/>
        </w:rPr>
        <w:fldChar w:fldCharType="separate"/>
      </w:r>
      <w:r w:rsidR="0040205B">
        <w:rPr>
          <w:rFonts w:ascii="Lato" w:hAnsi="Lato"/>
          <w:b/>
          <w:bCs/>
          <w:noProof/>
          <w:color w:val="1F497D"/>
          <w:sz w:val="20"/>
          <w:szCs w:val="20"/>
        </w:rPr>
        <w:t>6</w:t>
      </w:r>
      <w:r w:rsidR="004042AE" w:rsidRPr="008F214D">
        <w:rPr>
          <w:rFonts w:ascii="Lato" w:hAnsi="Lato"/>
          <w:b/>
          <w:bCs/>
          <w:color w:val="1F497D"/>
          <w:sz w:val="20"/>
          <w:szCs w:val="20"/>
        </w:rPr>
        <w:fldChar w:fldCharType="end"/>
      </w:r>
      <w:r w:rsidR="005430ED" w:rsidRPr="008F214D">
        <w:rPr>
          <w:rFonts w:ascii="Lato" w:hAnsi="Lato"/>
          <w:b/>
          <w:bCs/>
          <w:color w:val="1F497D"/>
          <w:sz w:val="20"/>
          <w:szCs w:val="20"/>
        </w:rPr>
        <w:noBreakHyphen/>
      </w:r>
      <w:r w:rsidR="004042AE" w:rsidRPr="008F214D">
        <w:rPr>
          <w:rFonts w:ascii="Lato" w:hAnsi="Lato"/>
          <w:b/>
          <w:bCs/>
          <w:color w:val="1F497D"/>
          <w:sz w:val="20"/>
          <w:szCs w:val="20"/>
        </w:rPr>
        <w:fldChar w:fldCharType="begin"/>
      </w:r>
      <w:r w:rsidR="005430ED" w:rsidRPr="008F214D">
        <w:rPr>
          <w:rFonts w:ascii="Lato" w:hAnsi="Lato"/>
          <w:b/>
          <w:bCs/>
          <w:color w:val="1F497D"/>
          <w:sz w:val="20"/>
          <w:szCs w:val="20"/>
        </w:rPr>
        <w:instrText xml:space="preserve"> SEQ Tabela \* ARABIC \s 1 </w:instrText>
      </w:r>
      <w:r w:rsidR="004042AE" w:rsidRPr="008F214D">
        <w:rPr>
          <w:rFonts w:ascii="Lato" w:hAnsi="Lato"/>
          <w:b/>
          <w:bCs/>
          <w:color w:val="1F497D"/>
          <w:sz w:val="20"/>
          <w:szCs w:val="20"/>
        </w:rPr>
        <w:fldChar w:fldCharType="separate"/>
      </w:r>
      <w:r w:rsidR="0040205B">
        <w:rPr>
          <w:rFonts w:ascii="Lato" w:hAnsi="Lato"/>
          <w:b/>
          <w:bCs/>
          <w:noProof/>
          <w:color w:val="1F497D"/>
          <w:sz w:val="20"/>
          <w:szCs w:val="20"/>
        </w:rPr>
        <w:t>7</w:t>
      </w:r>
      <w:r w:rsidR="004042AE" w:rsidRPr="008F214D">
        <w:rPr>
          <w:rFonts w:ascii="Lato" w:hAnsi="Lato"/>
          <w:b/>
          <w:bCs/>
          <w:color w:val="1F497D"/>
          <w:sz w:val="20"/>
          <w:szCs w:val="20"/>
        </w:rPr>
        <w:fldChar w:fldCharType="end"/>
      </w:r>
      <w:r w:rsidRPr="008F214D">
        <w:rPr>
          <w:rFonts w:ascii="Lato" w:hAnsi="Lato"/>
          <w:b/>
          <w:bCs/>
          <w:color w:val="1F497D"/>
          <w:sz w:val="20"/>
          <w:szCs w:val="20"/>
        </w:rPr>
        <w:t xml:space="preserve"> Zestawienie możliwych do osiągnięci</w:t>
      </w:r>
      <w:r w:rsidR="000B7FDB" w:rsidRPr="008F214D">
        <w:rPr>
          <w:rFonts w:ascii="Lato" w:hAnsi="Lato"/>
          <w:b/>
          <w:bCs/>
          <w:color w:val="1F497D"/>
          <w:sz w:val="20"/>
          <w:szCs w:val="20"/>
        </w:rPr>
        <w:t>a oszczędności zużycia ciepła w </w:t>
      </w:r>
      <w:r w:rsidRPr="008F214D">
        <w:rPr>
          <w:rFonts w:ascii="Lato" w:hAnsi="Lato"/>
          <w:b/>
          <w:bCs/>
          <w:color w:val="1F497D"/>
          <w:sz w:val="20"/>
          <w:szCs w:val="20"/>
        </w:rPr>
        <w:t>stosunku do stanu przed termomodernizacją dla różnych przedsięwzięć termomodernizacyjnych</w:t>
      </w:r>
      <w:bookmarkEnd w:id="590"/>
      <w:bookmarkEnd w:id="591"/>
      <w:bookmarkEnd w:id="592"/>
    </w:p>
    <w:tbl>
      <w:tblPr>
        <w:tblW w:w="5000" w:type="pct"/>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70" w:type="dxa"/>
          <w:right w:w="70" w:type="dxa"/>
        </w:tblCellMar>
        <w:tblLook w:val="0000" w:firstRow="0" w:lastRow="0" w:firstColumn="0" w:lastColumn="0" w:noHBand="0" w:noVBand="0"/>
      </w:tblPr>
      <w:tblGrid>
        <w:gridCol w:w="6577"/>
        <w:gridCol w:w="3428"/>
      </w:tblGrid>
      <w:tr w:rsidR="00E71767" w:rsidRPr="008F214D" w:rsidTr="00084757">
        <w:trPr>
          <w:trHeight w:val="765"/>
          <w:jc w:val="center"/>
        </w:trPr>
        <w:tc>
          <w:tcPr>
            <w:tcW w:w="3287" w:type="pct"/>
            <w:shd w:val="clear" w:color="auto" w:fill="DBE5F1"/>
            <w:vAlign w:val="center"/>
          </w:tcPr>
          <w:p w:rsidR="006B024A" w:rsidRPr="008F214D" w:rsidRDefault="006B024A" w:rsidP="006B024A">
            <w:pPr>
              <w:spacing w:line="240" w:lineRule="auto"/>
              <w:ind w:firstLine="0"/>
              <w:jc w:val="center"/>
              <w:rPr>
                <w:rFonts w:ascii="Lato" w:hAnsi="Lato"/>
                <w:b/>
                <w:color w:val="1F497D"/>
                <w:sz w:val="20"/>
                <w:szCs w:val="20"/>
              </w:rPr>
            </w:pPr>
            <w:r w:rsidRPr="008F214D">
              <w:rPr>
                <w:rFonts w:ascii="Lato" w:hAnsi="Lato"/>
                <w:b/>
                <w:color w:val="1F497D"/>
                <w:sz w:val="20"/>
                <w:szCs w:val="20"/>
              </w:rPr>
              <w:t>Sposób uzyskania oszczędności</w:t>
            </w:r>
          </w:p>
        </w:tc>
        <w:tc>
          <w:tcPr>
            <w:tcW w:w="1713" w:type="pct"/>
            <w:shd w:val="clear" w:color="auto" w:fill="DBE5F1"/>
            <w:vAlign w:val="center"/>
          </w:tcPr>
          <w:p w:rsidR="006B024A" w:rsidRPr="008F214D" w:rsidRDefault="006B024A" w:rsidP="004B3D29">
            <w:pPr>
              <w:spacing w:line="240" w:lineRule="auto"/>
              <w:ind w:firstLine="0"/>
              <w:jc w:val="center"/>
              <w:rPr>
                <w:rFonts w:ascii="Lato" w:hAnsi="Lato"/>
                <w:b/>
                <w:color w:val="1F497D"/>
                <w:sz w:val="20"/>
                <w:szCs w:val="20"/>
              </w:rPr>
            </w:pPr>
            <w:r w:rsidRPr="008F214D">
              <w:rPr>
                <w:rFonts w:ascii="Lato" w:hAnsi="Lato"/>
                <w:b/>
                <w:color w:val="1F497D"/>
                <w:sz w:val="20"/>
                <w:szCs w:val="20"/>
              </w:rPr>
              <w:t>Obniżenie zużycia ciepła w</w:t>
            </w:r>
            <w:r w:rsidR="004B3D29" w:rsidRPr="008F214D">
              <w:rPr>
                <w:rFonts w:ascii="Lato" w:hAnsi="Lato"/>
                <w:b/>
                <w:color w:val="1F497D"/>
                <w:sz w:val="20"/>
                <w:szCs w:val="20"/>
              </w:rPr>
              <w:t> </w:t>
            </w:r>
            <w:r w:rsidRPr="008F214D">
              <w:rPr>
                <w:rFonts w:ascii="Lato" w:hAnsi="Lato"/>
                <w:b/>
                <w:color w:val="1F497D"/>
                <w:sz w:val="20"/>
                <w:szCs w:val="20"/>
              </w:rPr>
              <w:t>stosunku do stanu sprzed termomodernizacji</w:t>
            </w:r>
          </w:p>
        </w:tc>
      </w:tr>
      <w:tr w:rsidR="00E71767" w:rsidRPr="008F214D" w:rsidTr="00084757">
        <w:trPr>
          <w:trHeight w:val="510"/>
          <w:jc w:val="center"/>
        </w:trPr>
        <w:tc>
          <w:tcPr>
            <w:tcW w:w="3287" w:type="pct"/>
            <w:shd w:val="clear" w:color="auto" w:fill="auto"/>
            <w:vAlign w:val="center"/>
          </w:tcPr>
          <w:p w:rsidR="006B024A" w:rsidRPr="008F214D" w:rsidRDefault="006B024A" w:rsidP="006B024A">
            <w:pPr>
              <w:spacing w:line="240" w:lineRule="auto"/>
              <w:ind w:firstLine="0"/>
              <w:rPr>
                <w:rFonts w:ascii="Lato" w:hAnsi="Lato"/>
                <w:color w:val="1F497D"/>
                <w:sz w:val="20"/>
                <w:szCs w:val="20"/>
              </w:rPr>
            </w:pPr>
            <w:r w:rsidRPr="008F214D">
              <w:rPr>
                <w:rFonts w:ascii="Lato" w:hAnsi="Lato"/>
                <w:color w:val="1F497D"/>
                <w:sz w:val="20"/>
                <w:szCs w:val="20"/>
              </w:rPr>
              <w:t>Ocieplenie zewnętrznych przegród budowlanych (ścian, dachu, stropodachu)</w:t>
            </w:r>
          </w:p>
        </w:tc>
        <w:tc>
          <w:tcPr>
            <w:tcW w:w="1713" w:type="pct"/>
            <w:shd w:val="clear" w:color="auto" w:fill="auto"/>
            <w:vAlign w:val="center"/>
          </w:tcPr>
          <w:p w:rsidR="006B024A" w:rsidRPr="008F214D" w:rsidRDefault="006B024A" w:rsidP="006B024A">
            <w:pPr>
              <w:spacing w:line="240" w:lineRule="auto"/>
              <w:ind w:firstLine="0"/>
              <w:jc w:val="center"/>
              <w:rPr>
                <w:rFonts w:ascii="Lato" w:hAnsi="Lato"/>
                <w:color w:val="1F497D"/>
                <w:sz w:val="20"/>
                <w:szCs w:val="20"/>
              </w:rPr>
            </w:pPr>
            <w:r w:rsidRPr="008F214D">
              <w:rPr>
                <w:rFonts w:ascii="Lato" w:hAnsi="Lato"/>
                <w:color w:val="1F497D"/>
                <w:sz w:val="20"/>
                <w:szCs w:val="20"/>
              </w:rPr>
              <w:t>15-25%</w:t>
            </w:r>
          </w:p>
        </w:tc>
      </w:tr>
      <w:tr w:rsidR="00E71767" w:rsidRPr="008F214D" w:rsidTr="00084757">
        <w:trPr>
          <w:trHeight w:val="510"/>
          <w:jc w:val="center"/>
        </w:trPr>
        <w:tc>
          <w:tcPr>
            <w:tcW w:w="3287" w:type="pct"/>
            <w:shd w:val="clear" w:color="auto" w:fill="auto"/>
            <w:vAlign w:val="center"/>
          </w:tcPr>
          <w:p w:rsidR="006B024A" w:rsidRPr="008F214D" w:rsidRDefault="006B024A" w:rsidP="006B024A">
            <w:pPr>
              <w:spacing w:line="240" w:lineRule="auto"/>
              <w:ind w:firstLine="0"/>
              <w:rPr>
                <w:rFonts w:ascii="Lato" w:hAnsi="Lato"/>
                <w:color w:val="1F497D"/>
                <w:sz w:val="20"/>
                <w:szCs w:val="20"/>
              </w:rPr>
            </w:pPr>
            <w:r w:rsidRPr="008F214D">
              <w:rPr>
                <w:rFonts w:ascii="Lato" w:hAnsi="Lato"/>
                <w:color w:val="1F497D"/>
                <w:sz w:val="20"/>
                <w:szCs w:val="20"/>
              </w:rPr>
              <w:t>Wymiana okien na okna szczelne o mniejszym współczynniku przenikania ciepła</w:t>
            </w:r>
          </w:p>
        </w:tc>
        <w:tc>
          <w:tcPr>
            <w:tcW w:w="1713" w:type="pct"/>
            <w:shd w:val="clear" w:color="auto" w:fill="auto"/>
            <w:vAlign w:val="center"/>
          </w:tcPr>
          <w:p w:rsidR="006B024A" w:rsidRPr="008F214D" w:rsidRDefault="006B024A" w:rsidP="006B024A">
            <w:pPr>
              <w:spacing w:line="240" w:lineRule="auto"/>
              <w:ind w:firstLine="0"/>
              <w:jc w:val="center"/>
              <w:rPr>
                <w:rFonts w:ascii="Lato" w:hAnsi="Lato"/>
                <w:color w:val="1F497D"/>
                <w:sz w:val="20"/>
                <w:szCs w:val="20"/>
              </w:rPr>
            </w:pPr>
            <w:r w:rsidRPr="008F214D">
              <w:rPr>
                <w:rFonts w:ascii="Lato" w:hAnsi="Lato"/>
                <w:color w:val="1F497D"/>
                <w:sz w:val="20"/>
                <w:szCs w:val="20"/>
              </w:rPr>
              <w:t>10-15%</w:t>
            </w:r>
          </w:p>
        </w:tc>
      </w:tr>
      <w:tr w:rsidR="00E71767" w:rsidRPr="008F214D" w:rsidTr="00084757">
        <w:trPr>
          <w:trHeight w:val="510"/>
          <w:jc w:val="center"/>
        </w:trPr>
        <w:tc>
          <w:tcPr>
            <w:tcW w:w="3287" w:type="pct"/>
            <w:shd w:val="clear" w:color="auto" w:fill="auto"/>
            <w:vAlign w:val="center"/>
          </w:tcPr>
          <w:p w:rsidR="006B024A" w:rsidRPr="008F214D" w:rsidRDefault="006B024A" w:rsidP="006B024A">
            <w:pPr>
              <w:spacing w:line="240" w:lineRule="auto"/>
              <w:ind w:firstLine="0"/>
              <w:rPr>
                <w:rFonts w:ascii="Lato" w:hAnsi="Lato"/>
                <w:color w:val="1F497D"/>
                <w:sz w:val="20"/>
                <w:szCs w:val="20"/>
              </w:rPr>
            </w:pPr>
            <w:r w:rsidRPr="008F214D">
              <w:rPr>
                <w:rFonts w:ascii="Lato" w:hAnsi="Lato"/>
                <w:color w:val="1F497D"/>
                <w:sz w:val="20"/>
                <w:szCs w:val="20"/>
              </w:rPr>
              <w:t>Wyprowadzenie usprawnień w źródle ciepła, w tym automatyki pogodowej oraz urządzeń regulacyjnych</w:t>
            </w:r>
          </w:p>
        </w:tc>
        <w:tc>
          <w:tcPr>
            <w:tcW w:w="1713" w:type="pct"/>
            <w:shd w:val="clear" w:color="auto" w:fill="auto"/>
            <w:vAlign w:val="center"/>
          </w:tcPr>
          <w:p w:rsidR="006B024A" w:rsidRPr="008F214D" w:rsidRDefault="006B024A" w:rsidP="006B024A">
            <w:pPr>
              <w:spacing w:line="240" w:lineRule="auto"/>
              <w:ind w:firstLine="0"/>
              <w:jc w:val="center"/>
              <w:rPr>
                <w:rFonts w:ascii="Lato" w:hAnsi="Lato"/>
                <w:color w:val="1F497D"/>
                <w:sz w:val="20"/>
                <w:szCs w:val="20"/>
              </w:rPr>
            </w:pPr>
            <w:r w:rsidRPr="008F214D">
              <w:rPr>
                <w:rFonts w:ascii="Lato" w:hAnsi="Lato"/>
                <w:color w:val="1F497D"/>
                <w:sz w:val="20"/>
                <w:szCs w:val="20"/>
              </w:rPr>
              <w:t>5-15%</w:t>
            </w:r>
          </w:p>
        </w:tc>
      </w:tr>
      <w:tr w:rsidR="00E71767" w:rsidRPr="008F214D" w:rsidTr="00084757">
        <w:trPr>
          <w:trHeight w:val="765"/>
          <w:jc w:val="center"/>
        </w:trPr>
        <w:tc>
          <w:tcPr>
            <w:tcW w:w="3287" w:type="pct"/>
            <w:shd w:val="clear" w:color="auto" w:fill="auto"/>
            <w:vAlign w:val="center"/>
          </w:tcPr>
          <w:p w:rsidR="006B024A" w:rsidRPr="008F214D" w:rsidRDefault="006B024A" w:rsidP="006B024A">
            <w:pPr>
              <w:spacing w:line="240" w:lineRule="auto"/>
              <w:ind w:firstLine="0"/>
              <w:rPr>
                <w:rFonts w:ascii="Lato" w:hAnsi="Lato"/>
                <w:color w:val="1F497D"/>
                <w:sz w:val="20"/>
                <w:szCs w:val="20"/>
              </w:rPr>
            </w:pPr>
            <w:r w:rsidRPr="008F214D">
              <w:rPr>
                <w:rFonts w:ascii="Lato" w:hAnsi="Lato"/>
                <w:color w:val="1F497D"/>
                <w:sz w:val="20"/>
                <w:szCs w:val="20"/>
              </w:rPr>
              <w:t>Kompleksowa modernizacja wewnętrznej instalacji c.o. wraz z montażem zaworów termostatycznych we wszystkich pomieszczeniach</w:t>
            </w:r>
          </w:p>
        </w:tc>
        <w:tc>
          <w:tcPr>
            <w:tcW w:w="1713" w:type="pct"/>
            <w:shd w:val="clear" w:color="auto" w:fill="auto"/>
            <w:vAlign w:val="center"/>
          </w:tcPr>
          <w:p w:rsidR="006B024A" w:rsidRPr="008F214D" w:rsidRDefault="006B024A" w:rsidP="006B024A">
            <w:pPr>
              <w:spacing w:line="240" w:lineRule="auto"/>
              <w:ind w:firstLine="0"/>
              <w:jc w:val="center"/>
              <w:rPr>
                <w:rFonts w:ascii="Lato" w:hAnsi="Lato"/>
                <w:color w:val="1F497D"/>
                <w:sz w:val="20"/>
                <w:szCs w:val="20"/>
              </w:rPr>
            </w:pPr>
            <w:r w:rsidRPr="008F214D">
              <w:rPr>
                <w:rFonts w:ascii="Lato" w:hAnsi="Lato"/>
                <w:color w:val="1F497D"/>
                <w:sz w:val="20"/>
                <w:szCs w:val="20"/>
              </w:rPr>
              <w:t>10-25%</w:t>
            </w:r>
          </w:p>
        </w:tc>
      </w:tr>
    </w:tbl>
    <w:p w:rsidR="006B024A" w:rsidRPr="00D352C4" w:rsidRDefault="006B024A" w:rsidP="00941F44">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ind w:firstLine="0"/>
        <w:jc w:val="center"/>
        <w:rPr>
          <w:rFonts w:ascii="Lato" w:hAnsi="Lato"/>
          <w:highlight w:val="yellow"/>
        </w:rPr>
      </w:pPr>
    </w:p>
    <w:p w:rsidR="006B024A" w:rsidRPr="003A39B8" w:rsidRDefault="006B024A" w:rsidP="00C6509A">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ind w:firstLine="709"/>
        <w:jc w:val="both"/>
        <w:rPr>
          <w:rFonts w:ascii="Lato" w:hAnsi="Lato"/>
          <w:spacing w:val="-3"/>
          <w:szCs w:val="22"/>
        </w:rPr>
      </w:pPr>
      <w:r w:rsidRPr="003A39B8">
        <w:rPr>
          <w:rFonts w:ascii="Lato" w:hAnsi="Lato"/>
          <w:spacing w:val="-3"/>
          <w:szCs w:val="22"/>
        </w:rPr>
        <w:t xml:space="preserve">Zmiany w systemie ogrzewania oraz w skorupie budynku (ściany zewnętrzne, stropy, dach) umożliwiają zmniejszenie zużycia energii cieplnej i obniżenie kosztów. Efekty realizacji poszczególnych przedsięwzięć termomodernizacyjnych są różne w przypadku poszczególnych budynków. </w:t>
      </w:r>
    </w:p>
    <w:p w:rsidR="006B024A" w:rsidRPr="003A39B8" w:rsidRDefault="006B024A" w:rsidP="00C6509A">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s>
        <w:suppressAutoHyphens/>
        <w:ind w:firstLine="709"/>
        <w:jc w:val="both"/>
        <w:rPr>
          <w:rFonts w:ascii="Lato" w:hAnsi="Lato"/>
          <w:spacing w:val="-3"/>
          <w:szCs w:val="22"/>
        </w:rPr>
      </w:pPr>
      <w:r w:rsidRPr="003A39B8">
        <w:rPr>
          <w:rFonts w:ascii="Lato" w:hAnsi="Lato"/>
          <w:spacing w:val="-3"/>
          <w:szCs w:val="22"/>
        </w:rPr>
        <w:t>Jednak na podstawie danych z wielu realizacji tego typu przedsięwzięć można określić pewne przeciętne wartości efektów, które przedstawiono w tabeli obok. W tym miejscu należy zwrócić uwagę na fakt, że efekty z</w:t>
      </w:r>
      <w:r w:rsidR="00320CA3" w:rsidRPr="003A39B8">
        <w:rPr>
          <w:rFonts w:ascii="Lato" w:hAnsi="Lato"/>
          <w:spacing w:val="-3"/>
          <w:szCs w:val="22"/>
        </w:rPr>
        <w:t> </w:t>
      </w:r>
      <w:r w:rsidRPr="003A39B8">
        <w:rPr>
          <w:rFonts w:ascii="Lato" w:hAnsi="Lato"/>
          <w:spacing w:val="-3"/>
          <w:szCs w:val="22"/>
        </w:rPr>
        <w:t xml:space="preserve">poszczególnych przedsięwzięć nie sumują się wprost. </w:t>
      </w:r>
    </w:p>
    <w:p w:rsidR="006B024A" w:rsidRPr="003A39B8" w:rsidRDefault="006B024A" w:rsidP="00C6509A">
      <w:pPr>
        <w:pStyle w:val="bulety"/>
        <w:suppressAutoHyphens/>
        <w:spacing w:before="0" w:after="0" w:line="312" w:lineRule="auto"/>
        <w:ind w:firstLine="709"/>
        <w:rPr>
          <w:rFonts w:ascii="Lato" w:hAnsi="Lato"/>
          <w:snapToGrid/>
          <w:spacing w:val="-3"/>
          <w:szCs w:val="22"/>
        </w:rPr>
      </w:pPr>
      <w:r w:rsidRPr="003A39B8">
        <w:rPr>
          <w:rFonts w:ascii="Lato" w:hAnsi="Lato"/>
          <w:snapToGrid/>
          <w:spacing w:val="-3"/>
          <w:szCs w:val="22"/>
        </w:rPr>
        <w:t>Np. jeżeli usprawnienie X daje oszczędność 20% a usprawnienie Y - 30% oszczędności, to nie można wspólnego efektu wyliczyć jako X+Y, a więc 50%. Wynika to z faktu, że efekt jaki niesie usprawnienie Y odnosi się do zużycia już zmniejszonego przez usprawnienie X.</w:t>
      </w:r>
    </w:p>
    <w:p w:rsidR="006B024A" w:rsidRPr="003A39B8" w:rsidRDefault="006B024A" w:rsidP="00C6509A">
      <w:pPr>
        <w:suppressAutoHyphens/>
        <w:ind w:firstLine="709"/>
        <w:jc w:val="both"/>
        <w:rPr>
          <w:rFonts w:ascii="Lato" w:hAnsi="Lato"/>
          <w:spacing w:val="-3"/>
          <w:szCs w:val="22"/>
        </w:rPr>
      </w:pPr>
      <w:r w:rsidRPr="003A39B8">
        <w:rPr>
          <w:rFonts w:ascii="Lato" w:hAnsi="Lato"/>
          <w:spacing w:val="-3"/>
          <w:szCs w:val="22"/>
        </w:rPr>
        <w:t xml:space="preserve">W budynkach jednorodzinnych oraz wielorodzinnych na terenie </w:t>
      </w:r>
      <w:r w:rsidR="006E045B" w:rsidRPr="003A39B8">
        <w:rPr>
          <w:rFonts w:ascii="Lato" w:hAnsi="Lato"/>
          <w:spacing w:val="-3"/>
          <w:szCs w:val="22"/>
        </w:rPr>
        <w:t>gminy</w:t>
      </w:r>
      <w:r w:rsidRPr="003A39B8">
        <w:rPr>
          <w:rFonts w:ascii="Lato" w:hAnsi="Lato"/>
          <w:spacing w:val="-3"/>
          <w:szCs w:val="22"/>
        </w:rPr>
        <w:t xml:space="preserve"> techniczny potencjał racjonalizacji zużycia ciepła przez termomodernizację (w przypadku budynków gdzie nie przeprowadzono termomodernizacji) sięga 50%.</w:t>
      </w:r>
    </w:p>
    <w:p w:rsidR="006B024A" w:rsidRPr="003A39B8" w:rsidRDefault="00236650" w:rsidP="00C6509A">
      <w:pPr>
        <w:ind w:firstLine="709"/>
        <w:jc w:val="both"/>
        <w:rPr>
          <w:rFonts w:ascii="Lato" w:hAnsi="Lato"/>
          <w:spacing w:val="-3"/>
          <w:szCs w:val="22"/>
        </w:rPr>
      </w:pPr>
      <w:r w:rsidRPr="003A39B8">
        <w:rPr>
          <w:rFonts w:ascii="Lato" w:hAnsi="Lato"/>
          <w:spacing w:val="-3"/>
          <w:szCs w:val="22"/>
        </w:rPr>
        <w:t xml:space="preserve">Siła i możliwości oddziaływania Gminy </w:t>
      </w:r>
      <w:r w:rsidR="003A39B8" w:rsidRPr="003A39B8">
        <w:rPr>
          <w:rFonts w:ascii="Lato" w:hAnsi="Lato"/>
          <w:spacing w:val="-3"/>
          <w:szCs w:val="22"/>
        </w:rPr>
        <w:t>Pabianice</w:t>
      </w:r>
      <w:r w:rsidRPr="003A39B8">
        <w:rPr>
          <w:rFonts w:ascii="Lato" w:hAnsi="Lato"/>
          <w:spacing w:val="-3"/>
          <w:szCs w:val="22"/>
        </w:rPr>
        <w:t xml:space="preserve"> na decyzje mieszkańców są znacznie ograniczone, a więc można powiedzieć, że jedynym sposobem do podjęcia przez właściciela budynku decyzji o sposobie zaopatrywania budynku w energię jest zachę</w:t>
      </w:r>
      <w:r w:rsidR="003A39B8" w:rsidRPr="003A39B8">
        <w:rPr>
          <w:rFonts w:ascii="Lato" w:hAnsi="Lato"/>
          <w:spacing w:val="-3"/>
          <w:szCs w:val="22"/>
        </w:rPr>
        <w:t>cenie</w:t>
      </w:r>
      <w:r w:rsidRPr="003A39B8">
        <w:rPr>
          <w:rFonts w:ascii="Lato" w:hAnsi="Lato"/>
          <w:spacing w:val="-3"/>
          <w:szCs w:val="22"/>
        </w:rPr>
        <w:t xml:space="preserve"> właściciela do takich działań. Jednym ze sposobów zachęcania jest możliwość wprowadzenia ulg podatkowych. Działania tego typu nie są precedensowymi, ponieważ są w Polsce miasta, które w ten sposób kształtują swoją politykę lok</w:t>
      </w:r>
      <w:r w:rsidR="00A77310" w:rsidRPr="003A39B8">
        <w:rPr>
          <w:rFonts w:ascii="Lato" w:hAnsi="Lato"/>
          <w:spacing w:val="-3"/>
          <w:szCs w:val="22"/>
        </w:rPr>
        <w:t>alną. Przykładem taki</w:t>
      </w:r>
      <w:r w:rsidR="003A39B8" w:rsidRPr="003A39B8">
        <w:rPr>
          <w:rFonts w:ascii="Lato" w:hAnsi="Lato"/>
          <w:spacing w:val="-3"/>
          <w:szCs w:val="22"/>
        </w:rPr>
        <w:t>ch</w:t>
      </w:r>
      <w:r w:rsidR="00A77310" w:rsidRPr="003A39B8">
        <w:rPr>
          <w:rFonts w:ascii="Lato" w:hAnsi="Lato"/>
          <w:spacing w:val="-3"/>
          <w:szCs w:val="22"/>
        </w:rPr>
        <w:t xml:space="preserve"> gmin</w:t>
      </w:r>
      <w:r w:rsidR="003A39B8" w:rsidRPr="003A39B8">
        <w:rPr>
          <w:rFonts w:ascii="Lato" w:hAnsi="Lato"/>
          <w:spacing w:val="-3"/>
          <w:szCs w:val="22"/>
        </w:rPr>
        <w:t xml:space="preserve"> są:</w:t>
      </w:r>
      <w:r w:rsidR="00A77310" w:rsidRPr="003A39B8">
        <w:rPr>
          <w:rFonts w:ascii="Lato" w:hAnsi="Lato"/>
          <w:spacing w:val="-3"/>
          <w:szCs w:val="22"/>
        </w:rPr>
        <w:t xml:space="preserve"> w</w:t>
      </w:r>
      <w:r w:rsidR="00A342D0">
        <w:rPr>
          <w:rFonts w:ascii="Lato" w:hAnsi="Lato"/>
          <w:spacing w:val="-3"/>
          <w:szCs w:val="22"/>
        </w:rPr>
        <w:t xml:space="preserve"> </w:t>
      </w:r>
      <w:r w:rsidRPr="003A39B8">
        <w:rPr>
          <w:rFonts w:ascii="Lato" w:hAnsi="Lato"/>
          <w:spacing w:val="-3"/>
          <w:szCs w:val="22"/>
        </w:rPr>
        <w:t xml:space="preserve">województwie dolnośląskim </w:t>
      </w:r>
      <w:r w:rsidR="003A39B8" w:rsidRPr="003A39B8">
        <w:rPr>
          <w:rFonts w:ascii="Lato" w:hAnsi="Lato"/>
          <w:spacing w:val="-3"/>
          <w:szCs w:val="22"/>
        </w:rPr>
        <w:t xml:space="preserve">- </w:t>
      </w:r>
      <w:r w:rsidRPr="003A39B8">
        <w:rPr>
          <w:rFonts w:ascii="Lato" w:hAnsi="Lato"/>
          <w:spacing w:val="-3"/>
          <w:szCs w:val="22"/>
        </w:rPr>
        <w:t>gmina Szklarska Poręba</w:t>
      </w:r>
      <w:r w:rsidR="003A39B8" w:rsidRPr="003A39B8">
        <w:rPr>
          <w:rFonts w:ascii="Lato" w:hAnsi="Lato"/>
          <w:spacing w:val="-3"/>
          <w:szCs w:val="22"/>
        </w:rPr>
        <w:t>, a</w:t>
      </w:r>
      <w:r w:rsidR="002D2F34" w:rsidRPr="003A39B8">
        <w:rPr>
          <w:rFonts w:ascii="Lato" w:hAnsi="Lato"/>
          <w:spacing w:val="-3"/>
          <w:szCs w:val="22"/>
        </w:rPr>
        <w:t xml:space="preserve"> w</w:t>
      </w:r>
      <w:r w:rsidR="00A342D0">
        <w:rPr>
          <w:rFonts w:ascii="Lato" w:hAnsi="Lato"/>
          <w:spacing w:val="-3"/>
          <w:szCs w:val="22"/>
        </w:rPr>
        <w:t xml:space="preserve"> </w:t>
      </w:r>
      <w:r w:rsidR="002D2F34" w:rsidRPr="003A39B8">
        <w:rPr>
          <w:rFonts w:ascii="Lato" w:hAnsi="Lato"/>
          <w:spacing w:val="-3"/>
          <w:szCs w:val="22"/>
        </w:rPr>
        <w:t xml:space="preserve">województwie śląskim </w:t>
      </w:r>
      <w:r w:rsidR="00A342D0">
        <w:rPr>
          <w:rFonts w:ascii="Lato" w:hAnsi="Lato"/>
          <w:spacing w:val="-3"/>
          <w:szCs w:val="22"/>
        </w:rPr>
        <w:t>–</w:t>
      </w:r>
      <w:r w:rsidR="003A39B8" w:rsidRPr="003A39B8">
        <w:rPr>
          <w:rFonts w:ascii="Lato" w:hAnsi="Lato"/>
          <w:spacing w:val="-3"/>
          <w:szCs w:val="22"/>
        </w:rPr>
        <w:t xml:space="preserve"> </w:t>
      </w:r>
      <w:r w:rsidR="002D2F34" w:rsidRPr="003A39B8">
        <w:rPr>
          <w:rFonts w:ascii="Lato" w:hAnsi="Lato"/>
          <w:spacing w:val="-3"/>
          <w:szCs w:val="22"/>
        </w:rPr>
        <w:t>Wodzisł</w:t>
      </w:r>
      <w:r w:rsidR="003A39B8" w:rsidRPr="003A39B8">
        <w:rPr>
          <w:rFonts w:ascii="Lato" w:hAnsi="Lato"/>
          <w:spacing w:val="-3"/>
          <w:szCs w:val="22"/>
        </w:rPr>
        <w:t xml:space="preserve">aw Śląski i </w:t>
      </w:r>
      <w:r w:rsidR="002D2F34" w:rsidRPr="003A39B8">
        <w:rPr>
          <w:rFonts w:ascii="Lato" w:hAnsi="Lato"/>
          <w:spacing w:val="-3"/>
          <w:szCs w:val="22"/>
        </w:rPr>
        <w:t xml:space="preserve">Rybnik. </w:t>
      </w:r>
    </w:p>
    <w:p w:rsidR="006B024A" w:rsidRPr="003A39B8" w:rsidRDefault="006B024A" w:rsidP="00C6509A">
      <w:pPr>
        <w:suppressAutoHyphens/>
        <w:ind w:firstLine="709"/>
        <w:jc w:val="both"/>
        <w:rPr>
          <w:rFonts w:ascii="Lato" w:hAnsi="Lato"/>
        </w:rPr>
      </w:pPr>
      <w:r w:rsidRPr="003A39B8">
        <w:rPr>
          <w:rFonts w:ascii="Lato" w:hAnsi="Lato"/>
        </w:rPr>
        <w:t xml:space="preserve">Ulga podatkowa może polegać na tym, że dla budynków mieszkalnych, w których jako główne źródło ciepła stosowane jest wyłącznie </w:t>
      </w:r>
      <w:r w:rsidR="00780D8D" w:rsidRPr="003A39B8">
        <w:rPr>
          <w:rFonts w:ascii="Lato" w:hAnsi="Lato"/>
        </w:rPr>
        <w:t xml:space="preserve">źródło </w:t>
      </w:r>
      <w:r w:rsidRPr="003A39B8">
        <w:rPr>
          <w:rFonts w:ascii="Lato" w:hAnsi="Lato"/>
        </w:rPr>
        <w:t xml:space="preserve">proekologiczne, np. paliwo gazowe, olej opałowy, </w:t>
      </w:r>
      <w:r w:rsidR="00780D8D" w:rsidRPr="003A39B8">
        <w:rPr>
          <w:rFonts w:ascii="Lato" w:hAnsi="Lato"/>
        </w:rPr>
        <w:t>energia elektryczna</w:t>
      </w:r>
      <w:r w:rsidRPr="003A39B8">
        <w:rPr>
          <w:rFonts w:ascii="Lato" w:hAnsi="Lato"/>
        </w:rPr>
        <w:t xml:space="preserve">, </w:t>
      </w:r>
      <w:r w:rsidR="00780D8D" w:rsidRPr="003A39B8">
        <w:rPr>
          <w:rFonts w:ascii="Lato" w:hAnsi="Lato"/>
        </w:rPr>
        <w:t xml:space="preserve">wiatrowa </w:t>
      </w:r>
      <w:r w:rsidRPr="003A39B8">
        <w:rPr>
          <w:rFonts w:ascii="Lato" w:hAnsi="Lato"/>
        </w:rPr>
        <w:t xml:space="preserve">i </w:t>
      </w:r>
      <w:r w:rsidR="00780D8D" w:rsidRPr="003A39B8">
        <w:rPr>
          <w:rFonts w:ascii="Lato" w:hAnsi="Lato"/>
        </w:rPr>
        <w:t>słoneczna</w:t>
      </w:r>
      <w:r w:rsidRPr="003A39B8">
        <w:rPr>
          <w:rFonts w:ascii="Lato" w:hAnsi="Lato"/>
        </w:rPr>
        <w:t xml:space="preserve">, </w:t>
      </w:r>
      <w:r w:rsidR="00780D8D" w:rsidRPr="003A39B8">
        <w:rPr>
          <w:rFonts w:ascii="Lato" w:hAnsi="Lato"/>
        </w:rPr>
        <w:t xml:space="preserve">pompa </w:t>
      </w:r>
      <w:r w:rsidRPr="003A39B8">
        <w:rPr>
          <w:rFonts w:ascii="Lato" w:hAnsi="Lato"/>
        </w:rPr>
        <w:t>ciepła, a także ekologiczne kotły opalane biomasą</w:t>
      </w:r>
      <w:r w:rsidR="00941F44" w:rsidRPr="003A39B8">
        <w:rPr>
          <w:rFonts w:ascii="Lato" w:hAnsi="Lato"/>
        </w:rPr>
        <w:t>;</w:t>
      </w:r>
      <w:r w:rsidRPr="003A39B8">
        <w:rPr>
          <w:rFonts w:ascii="Lato" w:hAnsi="Lato"/>
        </w:rPr>
        <w:t xml:space="preserve"> Urząd </w:t>
      </w:r>
      <w:r w:rsidR="00236650" w:rsidRPr="003A39B8">
        <w:rPr>
          <w:rFonts w:ascii="Lato" w:hAnsi="Lato"/>
        </w:rPr>
        <w:t>Gminy</w:t>
      </w:r>
      <w:r w:rsidRPr="003A39B8">
        <w:rPr>
          <w:rFonts w:ascii="Lato" w:hAnsi="Lato"/>
        </w:rPr>
        <w:t xml:space="preserve"> w drodze uchwały </w:t>
      </w:r>
      <w:r w:rsidR="00941F44" w:rsidRPr="003A39B8">
        <w:rPr>
          <w:rFonts w:ascii="Lato" w:hAnsi="Lato"/>
        </w:rPr>
        <w:t>o wielkości stawek podatkowych</w:t>
      </w:r>
      <w:r w:rsidRPr="003A39B8">
        <w:rPr>
          <w:rFonts w:ascii="Lato" w:hAnsi="Lato"/>
        </w:rPr>
        <w:t xml:space="preserve"> wprowadz</w:t>
      </w:r>
      <w:r w:rsidR="00236650" w:rsidRPr="003A39B8">
        <w:rPr>
          <w:rFonts w:ascii="Lato" w:hAnsi="Lato"/>
        </w:rPr>
        <w:t>a</w:t>
      </w:r>
      <w:r w:rsidRPr="003A39B8">
        <w:rPr>
          <w:rFonts w:ascii="Lato" w:hAnsi="Lato"/>
        </w:rPr>
        <w:t xml:space="preserve"> </w:t>
      </w:r>
      <w:r w:rsidR="00941F44" w:rsidRPr="003A39B8">
        <w:rPr>
          <w:rFonts w:ascii="Lato" w:hAnsi="Lato"/>
        </w:rPr>
        <w:t>ulgi</w:t>
      </w:r>
      <w:r w:rsidR="00236650" w:rsidRPr="003A39B8">
        <w:rPr>
          <w:rFonts w:ascii="Lato" w:hAnsi="Lato"/>
        </w:rPr>
        <w:t>,</w:t>
      </w:r>
      <w:r w:rsidR="00941F44" w:rsidRPr="003A39B8">
        <w:rPr>
          <w:rFonts w:ascii="Lato" w:hAnsi="Lato"/>
        </w:rPr>
        <w:t xml:space="preserve"> </w:t>
      </w:r>
      <w:r w:rsidR="003A39B8" w:rsidRPr="003A39B8">
        <w:rPr>
          <w:rFonts w:ascii="Lato" w:hAnsi="Lato"/>
        </w:rPr>
        <w:t>zgodnie z treścią art. 5 ust. </w:t>
      </w:r>
      <w:r w:rsidR="00D7348B" w:rsidRPr="003A39B8">
        <w:rPr>
          <w:rFonts w:ascii="Lato" w:hAnsi="Lato"/>
        </w:rPr>
        <w:t>3 </w:t>
      </w:r>
      <w:r w:rsidRPr="003A39B8">
        <w:rPr>
          <w:rFonts w:ascii="Lato" w:hAnsi="Lato"/>
        </w:rPr>
        <w:t xml:space="preserve">ustawy z dnia 12 stycznia 1991 roku o podatkach i opłatach lokalnych </w:t>
      </w:r>
      <w:r w:rsidRPr="003A39B8">
        <w:rPr>
          <w:rFonts w:ascii="Lato" w:hAnsi="Lato"/>
          <w:i/>
          <w:iCs/>
        </w:rPr>
        <w:t>„Przy określaniu wyso</w:t>
      </w:r>
      <w:r w:rsidR="00D7348B" w:rsidRPr="003A39B8">
        <w:rPr>
          <w:rFonts w:ascii="Lato" w:hAnsi="Lato"/>
          <w:i/>
          <w:iCs/>
        </w:rPr>
        <w:t>kości stawek, o </w:t>
      </w:r>
      <w:r w:rsidR="000B7FDB" w:rsidRPr="003A39B8">
        <w:rPr>
          <w:rFonts w:ascii="Lato" w:hAnsi="Lato"/>
          <w:i/>
          <w:iCs/>
        </w:rPr>
        <w:t xml:space="preserve">których mowa </w:t>
      </w:r>
      <w:r w:rsidR="000B7FDB" w:rsidRPr="003A39B8">
        <w:rPr>
          <w:rFonts w:ascii="Lato" w:hAnsi="Lato"/>
          <w:i/>
          <w:iCs/>
        </w:rPr>
        <w:lastRenderedPageBreak/>
        <w:t>w </w:t>
      </w:r>
      <w:r w:rsidRPr="003A39B8">
        <w:rPr>
          <w:rFonts w:ascii="Lato" w:hAnsi="Lato"/>
          <w:i/>
          <w:iCs/>
        </w:rPr>
        <w:t>ust. 1 pkt</w:t>
      </w:r>
      <w:r w:rsidR="000B5D2C" w:rsidRPr="003A39B8">
        <w:rPr>
          <w:rFonts w:ascii="Lato" w:hAnsi="Lato"/>
          <w:i/>
          <w:iCs/>
        </w:rPr>
        <w:t>.</w:t>
      </w:r>
      <w:r w:rsidRPr="003A39B8">
        <w:rPr>
          <w:rFonts w:ascii="Lato" w:hAnsi="Lato"/>
          <w:i/>
          <w:iCs/>
        </w:rPr>
        <w:t xml:space="preserve"> 2, Rada </w:t>
      </w:r>
      <w:r w:rsidR="006E045B" w:rsidRPr="003A39B8">
        <w:rPr>
          <w:rFonts w:ascii="Lato" w:hAnsi="Lato"/>
          <w:i/>
          <w:iCs/>
        </w:rPr>
        <w:t>Gminy</w:t>
      </w:r>
      <w:r w:rsidRPr="003A39B8">
        <w:rPr>
          <w:rFonts w:ascii="Lato" w:hAnsi="Lato"/>
          <w:i/>
          <w:iCs/>
        </w:rPr>
        <w:t xml:space="preserve"> może różnicować ich wysokość dla poszczególnych rodzajów przedmiotów opodatkowania, uwzględniając w szczególności lokalizację, sposób wykorzystywania, rodzaj zabudowy, stan techniczny oraz wiek budynków.” </w:t>
      </w:r>
    </w:p>
    <w:p w:rsidR="009C609A" w:rsidRPr="003A39B8" w:rsidRDefault="009C609A" w:rsidP="006B024A">
      <w:pPr>
        <w:pStyle w:val="Tekstpodstawowy"/>
        <w:spacing w:after="120"/>
        <w:rPr>
          <w:rFonts w:ascii="Lato" w:hAnsi="Lato" w:cs="Times New Roman"/>
          <w:szCs w:val="22"/>
        </w:rPr>
      </w:pPr>
    </w:p>
    <w:p w:rsidR="006B024A" w:rsidRPr="003A39B8" w:rsidRDefault="006B024A" w:rsidP="00AB431C">
      <w:pPr>
        <w:pStyle w:val="Akapitzlist"/>
        <w:keepNext/>
        <w:numPr>
          <w:ilvl w:val="2"/>
          <w:numId w:val="38"/>
        </w:numPr>
        <w:tabs>
          <w:tab w:val="left" w:pos="709"/>
        </w:tabs>
        <w:spacing w:before="180" w:after="180" w:line="288" w:lineRule="auto"/>
        <w:ind w:left="709" w:hanging="709"/>
        <w:jc w:val="both"/>
        <w:outlineLvl w:val="2"/>
        <w:rPr>
          <w:rFonts w:ascii="Lato" w:hAnsi="Lato"/>
          <w:color w:val="365F91"/>
          <w:lang w:eastAsia="en-US"/>
        </w:rPr>
      </w:pPr>
      <w:bookmarkStart w:id="593" w:name="_Toc336419346"/>
      <w:bookmarkStart w:id="594" w:name="_Toc336943601"/>
      <w:bookmarkStart w:id="595" w:name="_Toc20218541"/>
      <w:r w:rsidRPr="003A39B8">
        <w:rPr>
          <w:rFonts w:ascii="Lato" w:hAnsi="Lato"/>
          <w:color w:val="365F91"/>
          <w:lang w:eastAsia="en-US"/>
        </w:rPr>
        <w:t>Racjonalizacja w zakresie użytkowania energii elektrycznej w budynkach mieszkalnych</w:t>
      </w:r>
      <w:bookmarkEnd w:id="593"/>
      <w:bookmarkEnd w:id="594"/>
      <w:bookmarkEnd w:id="595"/>
    </w:p>
    <w:p w:rsidR="006B024A" w:rsidRPr="003A39B8" w:rsidRDefault="006B024A" w:rsidP="006C006F">
      <w:pPr>
        <w:widowControl w:val="0"/>
        <w:ind w:firstLine="709"/>
        <w:jc w:val="both"/>
        <w:rPr>
          <w:rFonts w:ascii="Lato" w:hAnsi="Lato"/>
          <w:szCs w:val="22"/>
        </w:rPr>
      </w:pPr>
      <w:r w:rsidRPr="003A39B8">
        <w:rPr>
          <w:rFonts w:ascii="Lato" w:hAnsi="Lato"/>
          <w:szCs w:val="22"/>
        </w:rPr>
        <w:t>Potencjał ekonomiczny racjonalizacji zużycia energii elektrycznej w gospodarstwach domowych różni się znacznie w zależności od sposobów użytkowania, a także od stopnia zamożności użytkowników. Jego wielkość szacuje się następująco:</w:t>
      </w:r>
    </w:p>
    <w:p w:rsidR="006B024A" w:rsidRPr="003A39B8" w:rsidRDefault="006B024A" w:rsidP="003A39B8">
      <w:pPr>
        <w:pStyle w:val="Tekstpodstawowy"/>
        <w:numPr>
          <w:ilvl w:val="0"/>
          <w:numId w:val="83"/>
        </w:numPr>
        <w:tabs>
          <w:tab w:val="clear" w:pos="360"/>
        </w:tabs>
        <w:ind w:left="709" w:hanging="425"/>
        <w:rPr>
          <w:rFonts w:ascii="Lato" w:hAnsi="Lato" w:cs="Times New Roman"/>
        </w:rPr>
      </w:pPr>
      <w:r w:rsidRPr="003A39B8">
        <w:rPr>
          <w:rFonts w:ascii="Lato" w:hAnsi="Lato" w:cs="Times New Roman"/>
        </w:rPr>
        <w:t>od 50% do 75% w oświetleniu, napędach artykułów gospodarstwa domo</w:t>
      </w:r>
      <w:r w:rsidR="00D7348B" w:rsidRPr="003A39B8">
        <w:rPr>
          <w:rFonts w:ascii="Lato" w:hAnsi="Lato" w:cs="Times New Roman"/>
        </w:rPr>
        <w:t>wego, pralkach, chłodziarkach i </w:t>
      </w:r>
      <w:r w:rsidRPr="003A39B8">
        <w:rPr>
          <w:rFonts w:ascii="Lato" w:hAnsi="Lato" w:cs="Times New Roman"/>
        </w:rPr>
        <w:t>zamrażarkach, kuchniach elektrycznych itp.,</w:t>
      </w:r>
    </w:p>
    <w:p w:rsidR="006B024A" w:rsidRPr="003A39B8" w:rsidRDefault="006B024A" w:rsidP="003A39B8">
      <w:pPr>
        <w:pStyle w:val="Tekstpodstawowy"/>
        <w:numPr>
          <w:ilvl w:val="0"/>
          <w:numId w:val="83"/>
        </w:numPr>
        <w:tabs>
          <w:tab w:val="clear" w:pos="360"/>
        </w:tabs>
        <w:ind w:left="709" w:hanging="425"/>
        <w:rPr>
          <w:rFonts w:ascii="Lato" w:hAnsi="Lato" w:cs="Times New Roman"/>
        </w:rPr>
      </w:pPr>
      <w:r w:rsidRPr="003A39B8">
        <w:rPr>
          <w:rFonts w:ascii="Lato" w:hAnsi="Lato" w:cs="Times New Roman"/>
        </w:rPr>
        <w:t>od 25% do 40% dodatkowo dla zużycia energii elektrycznej do ogrzewania pomieszczeń i</w:t>
      </w:r>
      <w:r w:rsidR="00A8235F" w:rsidRPr="003A39B8">
        <w:rPr>
          <w:rFonts w:ascii="Lato" w:hAnsi="Lato" w:cs="Times New Roman"/>
        </w:rPr>
        <w:t> </w:t>
      </w:r>
      <w:r w:rsidRPr="003A39B8">
        <w:rPr>
          <w:rFonts w:ascii="Lato" w:hAnsi="Lato" w:cs="Times New Roman"/>
        </w:rPr>
        <w:t>przygotowywania ciepłej wody użytkowej.</w:t>
      </w:r>
    </w:p>
    <w:p w:rsidR="006B024A" w:rsidRPr="003A39B8" w:rsidRDefault="006B024A" w:rsidP="003A39B8">
      <w:pPr>
        <w:widowControl w:val="0"/>
        <w:ind w:firstLine="709"/>
        <w:jc w:val="both"/>
        <w:rPr>
          <w:rFonts w:ascii="Lato" w:hAnsi="Lato"/>
          <w:szCs w:val="22"/>
        </w:rPr>
      </w:pPr>
      <w:r w:rsidRPr="003A39B8">
        <w:rPr>
          <w:rFonts w:ascii="Lato" w:hAnsi="Lato"/>
          <w:szCs w:val="22"/>
        </w:rPr>
        <w:t>Główne kierunki racjonalizacji to powszechna edukacja i dostęp do informacji o</w:t>
      </w:r>
      <w:r w:rsidR="00A8235F" w:rsidRPr="003A39B8">
        <w:rPr>
          <w:rFonts w:ascii="Lato" w:hAnsi="Lato"/>
          <w:szCs w:val="22"/>
        </w:rPr>
        <w:t> </w:t>
      </w:r>
      <w:r w:rsidRPr="003A39B8">
        <w:rPr>
          <w:rFonts w:ascii="Lato" w:hAnsi="Lato"/>
          <w:szCs w:val="22"/>
        </w:rPr>
        <w:t>energooszczędnych urządzeniach elektroenergetycznych. W przypadku ogrzewan</w:t>
      </w:r>
      <w:r w:rsidR="00D7348B" w:rsidRPr="003A39B8">
        <w:rPr>
          <w:rFonts w:ascii="Lato" w:hAnsi="Lato"/>
          <w:szCs w:val="22"/>
        </w:rPr>
        <w:t>ia pomieszczeń potencjał tkwi w</w:t>
      </w:r>
      <w:r w:rsidR="00A342D0">
        <w:rPr>
          <w:rFonts w:ascii="Lato" w:hAnsi="Lato"/>
          <w:szCs w:val="22"/>
        </w:rPr>
        <w:t xml:space="preserve"> </w:t>
      </w:r>
      <w:r w:rsidRPr="003A39B8">
        <w:rPr>
          <w:rFonts w:ascii="Lato" w:hAnsi="Lato"/>
          <w:szCs w:val="22"/>
        </w:rPr>
        <w:t>termomodernizacji budynków.</w:t>
      </w:r>
    </w:p>
    <w:p w:rsidR="006B024A" w:rsidRPr="003A39B8" w:rsidRDefault="006B024A" w:rsidP="003A39B8">
      <w:pPr>
        <w:widowControl w:val="0"/>
        <w:ind w:firstLine="709"/>
        <w:jc w:val="both"/>
        <w:rPr>
          <w:rFonts w:ascii="Lato" w:hAnsi="Lato"/>
          <w:szCs w:val="22"/>
        </w:rPr>
      </w:pPr>
      <w:r w:rsidRPr="003A39B8">
        <w:rPr>
          <w:rFonts w:ascii="Lato" w:hAnsi="Lato"/>
          <w:szCs w:val="22"/>
        </w:rPr>
        <w:t>Możliwości oszczędzania energii w sektorze mieszkaniowym są w polskich gospodarstwach domowych bardzo duże</w:t>
      </w:r>
      <w:r w:rsidR="00500097" w:rsidRPr="003A39B8">
        <w:rPr>
          <w:rFonts w:ascii="Lato" w:hAnsi="Lato"/>
          <w:szCs w:val="22"/>
        </w:rPr>
        <w:t>,</w:t>
      </w:r>
      <w:r w:rsidRPr="003A39B8">
        <w:rPr>
          <w:rFonts w:ascii="Lato" w:hAnsi="Lato"/>
          <w:szCs w:val="22"/>
        </w:rPr>
        <w:t xml:space="preserve"> natomiast świadomość i wiedza użytkowników jest</w:t>
      </w:r>
      <w:r w:rsidR="001D1506" w:rsidRPr="003A39B8">
        <w:rPr>
          <w:rFonts w:ascii="Lato" w:hAnsi="Lato"/>
          <w:szCs w:val="22"/>
        </w:rPr>
        <w:t xml:space="preserve"> nadal bardzo mała. Możliwości </w:t>
      </w:r>
      <w:r w:rsidR="000B4885" w:rsidRPr="003A39B8">
        <w:rPr>
          <w:rFonts w:ascii="Lato" w:hAnsi="Lato"/>
          <w:szCs w:val="22"/>
        </w:rPr>
        <w:t>gminy</w:t>
      </w:r>
      <w:r w:rsidR="00D7348B" w:rsidRPr="003A39B8">
        <w:rPr>
          <w:rFonts w:ascii="Lato" w:hAnsi="Lato"/>
          <w:szCs w:val="22"/>
        </w:rPr>
        <w:t xml:space="preserve"> w </w:t>
      </w:r>
      <w:r w:rsidRPr="003A39B8">
        <w:rPr>
          <w:rFonts w:ascii="Lato" w:hAnsi="Lato"/>
          <w:szCs w:val="22"/>
        </w:rPr>
        <w:t>zakresie działań na tej grupie w sferze inwestycyjnej praktycznie nie występują, natomiast istnieje szeroki zakres możliwości promocji i zwiększania efektywności w gospodarstwach domowych, tym bardziej</w:t>
      </w:r>
      <w:r w:rsidR="00500097" w:rsidRPr="003A39B8">
        <w:rPr>
          <w:rFonts w:ascii="Lato" w:hAnsi="Lato"/>
          <w:szCs w:val="22"/>
        </w:rPr>
        <w:t>,</w:t>
      </w:r>
      <w:r w:rsidR="00D7348B" w:rsidRPr="003A39B8">
        <w:rPr>
          <w:rFonts w:ascii="Lato" w:hAnsi="Lato"/>
          <w:szCs w:val="22"/>
        </w:rPr>
        <w:t xml:space="preserve"> iż </w:t>
      </w:r>
      <w:r w:rsidRPr="003A39B8">
        <w:rPr>
          <w:rFonts w:ascii="Lato" w:hAnsi="Lato"/>
          <w:szCs w:val="22"/>
        </w:rPr>
        <w:t>rachunki za energię w budżetach polskich domostw nadal stanowią ważny i</w:t>
      </w:r>
      <w:r w:rsidR="00A8235F" w:rsidRPr="003A39B8">
        <w:rPr>
          <w:rFonts w:ascii="Lato" w:hAnsi="Lato"/>
          <w:szCs w:val="22"/>
        </w:rPr>
        <w:t> </w:t>
      </w:r>
      <w:r w:rsidRPr="003A39B8">
        <w:rPr>
          <w:rFonts w:ascii="Lato" w:hAnsi="Lato"/>
          <w:szCs w:val="22"/>
        </w:rPr>
        <w:t xml:space="preserve">niemały udział. </w:t>
      </w:r>
      <w:r w:rsidR="00500097" w:rsidRPr="003A39B8">
        <w:rPr>
          <w:rFonts w:ascii="Lato" w:hAnsi="Lato"/>
          <w:szCs w:val="22"/>
        </w:rPr>
        <w:t xml:space="preserve">Należy </w:t>
      </w:r>
      <w:r w:rsidRPr="003A39B8">
        <w:rPr>
          <w:rFonts w:ascii="Lato" w:hAnsi="Lato"/>
          <w:szCs w:val="22"/>
        </w:rPr>
        <w:t xml:space="preserve">się </w:t>
      </w:r>
      <w:r w:rsidR="00500097" w:rsidRPr="003A39B8">
        <w:rPr>
          <w:rFonts w:ascii="Lato" w:hAnsi="Lato"/>
          <w:szCs w:val="22"/>
        </w:rPr>
        <w:t xml:space="preserve">również </w:t>
      </w:r>
      <w:r w:rsidRPr="003A39B8">
        <w:rPr>
          <w:rFonts w:ascii="Lato" w:hAnsi="Lato"/>
          <w:szCs w:val="22"/>
        </w:rPr>
        <w:t>spodziewać, że ceny energii</w:t>
      </w:r>
      <w:r w:rsidR="00500097" w:rsidRPr="003A39B8">
        <w:rPr>
          <w:rFonts w:ascii="Lato" w:hAnsi="Lato"/>
          <w:szCs w:val="22"/>
        </w:rPr>
        <w:t>,</w:t>
      </w:r>
      <w:r w:rsidRPr="003A39B8">
        <w:rPr>
          <w:rFonts w:ascii="Lato" w:hAnsi="Lato"/>
          <w:szCs w:val="22"/>
        </w:rPr>
        <w:t xml:space="preserve"> niezależnie od </w:t>
      </w:r>
      <w:r w:rsidR="00500097" w:rsidRPr="003A39B8">
        <w:rPr>
          <w:rFonts w:ascii="Lato" w:hAnsi="Lato"/>
          <w:szCs w:val="22"/>
        </w:rPr>
        <w:t xml:space="preserve">jej </w:t>
      </w:r>
      <w:r w:rsidRPr="003A39B8">
        <w:rPr>
          <w:rFonts w:ascii="Lato" w:hAnsi="Lato"/>
          <w:szCs w:val="22"/>
        </w:rPr>
        <w:t>postaci</w:t>
      </w:r>
      <w:r w:rsidR="00500097" w:rsidRPr="003A39B8">
        <w:rPr>
          <w:rFonts w:ascii="Lato" w:hAnsi="Lato"/>
          <w:szCs w:val="22"/>
        </w:rPr>
        <w:t>,</w:t>
      </w:r>
      <w:r w:rsidRPr="003A39B8">
        <w:rPr>
          <w:rFonts w:ascii="Lato" w:hAnsi="Lato"/>
          <w:szCs w:val="22"/>
        </w:rPr>
        <w:t xml:space="preserve"> nadal będą rosnąć. </w:t>
      </w:r>
    </w:p>
    <w:p w:rsidR="006B024A" w:rsidRPr="003A39B8" w:rsidRDefault="006B024A" w:rsidP="003A39B8">
      <w:pPr>
        <w:widowControl w:val="0"/>
        <w:tabs>
          <w:tab w:val="left" w:pos="709"/>
        </w:tabs>
        <w:ind w:firstLine="709"/>
        <w:jc w:val="both"/>
        <w:rPr>
          <w:rFonts w:ascii="Lato" w:hAnsi="Lato"/>
          <w:szCs w:val="22"/>
        </w:rPr>
      </w:pPr>
      <w:r w:rsidRPr="003A39B8">
        <w:rPr>
          <w:rFonts w:ascii="Lato" w:hAnsi="Lato"/>
          <w:szCs w:val="22"/>
        </w:rPr>
        <w:t>Plan zaopatrzenia w energię może oddziaływać w tym zakresie przez stworzenie platformy komunikacji ze społeczeństwem</w:t>
      </w:r>
      <w:r w:rsidR="00845ED2" w:rsidRPr="003A39B8">
        <w:rPr>
          <w:rFonts w:ascii="Lato" w:hAnsi="Lato"/>
          <w:szCs w:val="22"/>
        </w:rPr>
        <w:t xml:space="preserve">, </w:t>
      </w:r>
      <w:r w:rsidRPr="003A39B8">
        <w:rPr>
          <w:rFonts w:ascii="Lato" w:hAnsi="Lato"/>
          <w:szCs w:val="22"/>
        </w:rPr>
        <w:t>bądź też nawet do utworzenia gminnego p</w:t>
      </w:r>
      <w:r w:rsidR="003A39B8" w:rsidRPr="003A39B8">
        <w:rPr>
          <w:rFonts w:ascii="Lato" w:hAnsi="Lato"/>
          <w:szCs w:val="22"/>
        </w:rPr>
        <w:t>unktu doradczego w </w:t>
      </w:r>
      <w:r w:rsidRPr="003A39B8">
        <w:rPr>
          <w:rFonts w:ascii="Lato" w:hAnsi="Lato"/>
          <w:szCs w:val="22"/>
        </w:rPr>
        <w:t>zakresie przyjaznych środowisku i energooszczędnych te</w:t>
      </w:r>
      <w:r w:rsidR="00D03562">
        <w:rPr>
          <w:rFonts w:ascii="Lato" w:hAnsi="Lato"/>
          <w:szCs w:val="22"/>
        </w:rPr>
        <w:t>chnologii użytkowania energii w </w:t>
      </w:r>
      <w:r w:rsidRPr="003A39B8">
        <w:rPr>
          <w:rFonts w:ascii="Lato" w:hAnsi="Lato"/>
          <w:szCs w:val="22"/>
        </w:rPr>
        <w:t>budynkach, w tym również energii elektrycznej, który mógłby być razem finansowany przez przedsiębiorstwa energetyczne,</w:t>
      </w:r>
      <w:r w:rsidR="001D1506" w:rsidRPr="003A39B8">
        <w:rPr>
          <w:rFonts w:ascii="Lato" w:hAnsi="Lato"/>
          <w:szCs w:val="22"/>
        </w:rPr>
        <w:t xml:space="preserve"> producentów urządzeń i </w:t>
      </w:r>
      <w:r w:rsidR="00845ED2" w:rsidRPr="003A39B8">
        <w:rPr>
          <w:rFonts w:ascii="Lato" w:hAnsi="Lato"/>
          <w:szCs w:val="22"/>
        </w:rPr>
        <w:t xml:space="preserve">gminę </w:t>
      </w:r>
      <w:r w:rsidRPr="003A39B8">
        <w:rPr>
          <w:rFonts w:ascii="Lato" w:hAnsi="Lato"/>
          <w:szCs w:val="22"/>
        </w:rPr>
        <w:t>w zakresie np. dystrybucji materiałów informacyjnych, ulote</w:t>
      </w:r>
      <w:r w:rsidR="00D7348B" w:rsidRPr="003A39B8">
        <w:rPr>
          <w:rFonts w:ascii="Lato" w:hAnsi="Lato"/>
          <w:szCs w:val="22"/>
        </w:rPr>
        <w:t>k i innych dostarczanych wraz z </w:t>
      </w:r>
      <w:r w:rsidRPr="003A39B8">
        <w:rPr>
          <w:rFonts w:ascii="Lato" w:hAnsi="Lato"/>
          <w:szCs w:val="22"/>
        </w:rPr>
        <w:t>rachunkami za energię. Zmniejszenie zużycia energii elektrycznej w</w:t>
      </w:r>
      <w:r w:rsidR="00A8235F" w:rsidRPr="003A39B8">
        <w:rPr>
          <w:rFonts w:ascii="Lato" w:hAnsi="Lato"/>
          <w:szCs w:val="22"/>
        </w:rPr>
        <w:t> </w:t>
      </w:r>
      <w:r w:rsidRPr="003A39B8">
        <w:rPr>
          <w:rFonts w:ascii="Lato" w:hAnsi="Lato"/>
          <w:szCs w:val="22"/>
        </w:rPr>
        <w:t>gospodarstwach może również następ</w:t>
      </w:r>
      <w:r w:rsidR="00D03562">
        <w:rPr>
          <w:rFonts w:ascii="Lato" w:hAnsi="Lato"/>
          <w:szCs w:val="22"/>
        </w:rPr>
        <w:t>ować przez wybór przy zakupie i </w:t>
      </w:r>
      <w:r w:rsidRPr="003A39B8">
        <w:rPr>
          <w:rFonts w:ascii="Lato" w:hAnsi="Lato"/>
          <w:szCs w:val="22"/>
        </w:rPr>
        <w:t>zastosowanie najbardziej efektywnych energetycznie produktów (wybór najbardziej ef</w:t>
      </w:r>
      <w:r w:rsidR="003A39B8" w:rsidRPr="003A39B8">
        <w:rPr>
          <w:rFonts w:ascii="Lato" w:hAnsi="Lato"/>
          <w:szCs w:val="22"/>
        </w:rPr>
        <w:t>ektywnych urządzeń AGD mogą np. </w:t>
      </w:r>
      <w:r w:rsidRPr="003A39B8">
        <w:rPr>
          <w:rFonts w:ascii="Lato" w:hAnsi="Lato"/>
          <w:szCs w:val="22"/>
        </w:rPr>
        <w:t>ułatwiać informacje zawarte na stronie internetowej projektu TOPTEN www.topten.info.pl).</w:t>
      </w:r>
    </w:p>
    <w:p w:rsidR="006B024A" w:rsidRPr="003A39B8" w:rsidRDefault="006B024A" w:rsidP="006B024A">
      <w:pPr>
        <w:ind w:firstLine="0"/>
        <w:rPr>
          <w:rFonts w:ascii="Lato" w:hAnsi="Lato"/>
        </w:rPr>
      </w:pPr>
    </w:p>
    <w:p w:rsidR="006B024A" w:rsidRPr="003A39B8" w:rsidRDefault="00A342D0" w:rsidP="00907272">
      <w:pPr>
        <w:pStyle w:val="Nagwek2"/>
        <w:rPr>
          <w:rFonts w:ascii="Lato" w:hAnsi="Lato" w:cs="Times New Roman"/>
        </w:rPr>
      </w:pPr>
      <w:bookmarkStart w:id="596" w:name="_Toc336419347"/>
      <w:bookmarkStart w:id="597" w:name="_Toc336943602"/>
      <w:bookmarkStart w:id="598" w:name="_Toc20218542"/>
      <w:r>
        <w:rPr>
          <w:rFonts w:ascii="Lato" w:hAnsi="Lato" w:cs="Times New Roman"/>
        </w:rPr>
        <w:br w:type="column"/>
      </w:r>
      <w:r w:rsidR="006B024A" w:rsidRPr="003A39B8">
        <w:rPr>
          <w:rFonts w:ascii="Lato" w:hAnsi="Lato" w:cs="Times New Roman"/>
        </w:rPr>
        <w:lastRenderedPageBreak/>
        <w:t>Propozycja przedsięwzięć w grupie „handel i usługi</w:t>
      </w:r>
      <w:r w:rsidR="007818A8" w:rsidRPr="003A39B8">
        <w:rPr>
          <w:rFonts w:ascii="Lato" w:hAnsi="Lato" w:cs="Times New Roman"/>
        </w:rPr>
        <w:t>, prze</w:t>
      </w:r>
      <w:r w:rsidR="00082481" w:rsidRPr="003A39B8">
        <w:rPr>
          <w:rFonts w:ascii="Lato" w:hAnsi="Lato" w:cs="Times New Roman"/>
        </w:rPr>
        <w:t>dsiębiorstwa</w:t>
      </w:r>
      <w:r w:rsidR="006B024A" w:rsidRPr="003A39B8">
        <w:rPr>
          <w:rFonts w:ascii="Lato" w:hAnsi="Lato" w:cs="Times New Roman"/>
        </w:rPr>
        <w:t>”</w:t>
      </w:r>
      <w:bookmarkEnd w:id="596"/>
      <w:bookmarkEnd w:id="597"/>
      <w:bookmarkEnd w:id="598"/>
      <w:r w:rsidR="00082481" w:rsidRPr="003A39B8">
        <w:rPr>
          <w:rFonts w:ascii="Lato" w:hAnsi="Lato" w:cs="Times New Roman"/>
        </w:rPr>
        <w:t xml:space="preserve"> </w:t>
      </w:r>
    </w:p>
    <w:bookmarkEnd w:id="586"/>
    <w:p w:rsidR="000B4885" w:rsidRPr="00C64294" w:rsidRDefault="000B4885" w:rsidP="0043597B">
      <w:pPr>
        <w:widowControl w:val="0"/>
        <w:numPr>
          <w:ilvl w:val="12"/>
          <w:numId w:val="0"/>
        </w:numPr>
        <w:suppressAutoHyphens/>
        <w:ind w:firstLine="709"/>
        <w:jc w:val="both"/>
        <w:rPr>
          <w:rFonts w:ascii="Lato" w:hAnsi="Lato"/>
          <w:spacing w:val="-5"/>
          <w:szCs w:val="20"/>
        </w:rPr>
      </w:pPr>
      <w:r w:rsidRPr="00C64294">
        <w:rPr>
          <w:rFonts w:ascii="Lato" w:hAnsi="Lato"/>
          <w:spacing w:val="-5"/>
          <w:szCs w:val="20"/>
        </w:rPr>
        <w:t>Udział grupy „handel, usługi, przedsiębiorstwa” w całkowitym zapotrzebowaniu na poszczególne nośniki sieciowe jest następujący:</w:t>
      </w:r>
    </w:p>
    <w:p w:rsidR="000B4885" w:rsidRPr="00C64294" w:rsidRDefault="000B4885" w:rsidP="0043597B">
      <w:pPr>
        <w:pStyle w:val="Tekstpodstawowy"/>
        <w:numPr>
          <w:ilvl w:val="0"/>
          <w:numId w:val="83"/>
        </w:numPr>
        <w:tabs>
          <w:tab w:val="clear" w:pos="360"/>
        </w:tabs>
        <w:ind w:left="709" w:hanging="425"/>
        <w:rPr>
          <w:rFonts w:ascii="Lato" w:hAnsi="Lato" w:cs="Times New Roman"/>
        </w:rPr>
      </w:pPr>
      <w:r w:rsidRPr="00C64294">
        <w:rPr>
          <w:rFonts w:ascii="Lato" w:hAnsi="Lato" w:cs="Times New Roman"/>
        </w:rPr>
        <w:t xml:space="preserve">gaz ziemny – </w:t>
      </w:r>
      <w:r w:rsidR="00C64294">
        <w:rPr>
          <w:rFonts w:ascii="Lato" w:hAnsi="Lato" w:cs="Times New Roman"/>
        </w:rPr>
        <w:t>14</w:t>
      </w:r>
      <w:r w:rsidR="004A55D3" w:rsidRPr="00C64294">
        <w:rPr>
          <w:rFonts w:ascii="Lato" w:hAnsi="Lato" w:cs="Times New Roman"/>
        </w:rPr>
        <w:t>,</w:t>
      </w:r>
      <w:r w:rsidR="00C64294">
        <w:rPr>
          <w:rFonts w:ascii="Lato" w:hAnsi="Lato" w:cs="Times New Roman"/>
        </w:rPr>
        <w:t>9</w:t>
      </w:r>
      <w:r w:rsidRPr="00C64294">
        <w:rPr>
          <w:rFonts w:ascii="Lato" w:hAnsi="Lato" w:cs="Times New Roman"/>
        </w:rPr>
        <w:t>%,</w:t>
      </w:r>
    </w:p>
    <w:p w:rsidR="000B4885" w:rsidRPr="00C64294" w:rsidRDefault="000B4885" w:rsidP="0043597B">
      <w:pPr>
        <w:pStyle w:val="Tekstpodstawowy"/>
        <w:numPr>
          <w:ilvl w:val="0"/>
          <w:numId w:val="83"/>
        </w:numPr>
        <w:tabs>
          <w:tab w:val="clear" w:pos="360"/>
        </w:tabs>
        <w:ind w:left="709" w:hanging="425"/>
        <w:rPr>
          <w:rFonts w:ascii="Lato" w:hAnsi="Lato" w:cs="Times New Roman"/>
        </w:rPr>
      </w:pPr>
      <w:r w:rsidRPr="00C64294">
        <w:rPr>
          <w:rFonts w:ascii="Lato" w:hAnsi="Lato" w:cs="Times New Roman"/>
        </w:rPr>
        <w:t xml:space="preserve">energia elektryczna – </w:t>
      </w:r>
      <w:r w:rsidR="00173436">
        <w:rPr>
          <w:rFonts w:ascii="Lato" w:hAnsi="Lato" w:cs="Times New Roman"/>
        </w:rPr>
        <w:t>32,6</w:t>
      </w:r>
      <w:r w:rsidRPr="00C64294">
        <w:rPr>
          <w:rFonts w:ascii="Lato" w:hAnsi="Lato" w:cs="Times New Roman"/>
        </w:rPr>
        <w:t>%.</w:t>
      </w:r>
    </w:p>
    <w:p w:rsidR="00A342D0" w:rsidRDefault="00A342D0" w:rsidP="004E6321">
      <w:pPr>
        <w:widowControl w:val="0"/>
        <w:ind w:firstLine="709"/>
        <w:jc w:val="both"/>
        <w:rPr>
          <w:rFonts w:ascii="Lato" w:hAnsi="Lato"/>
          <w:szCs w:val="22"/>
        </w:rPr>
      </w:pPr>
    </w:p>
    <w:p w:rsidR="000B4885" w:rsidRPr="0043597B" w:rsidRDefault="000B4885" w:rsidP="004E6321">
      <w:pPr>
        <w:widowControl w:val="0"/>
        <w:ind w:firstLine="709"/>
        <w:jc w:val="both"/>
        <w:rPr>
          <w:rFonts w:ascii="Lato" w:hAnsi="Lato"/>
          <w:szCs w:val="22"/>
        </w:rPr>
      </w:pPr>
      <w:r w:rsidRPr="0043597B">
        <w:rPr>
          <w:rFonts w:ascii="Lato" w:hAnsi="Lato"/>
          <w:szCs w:val="22"/>
        </w:rPr>
        <w:t>W handlu, usługach oraz przemyśle zużycie energii elektrycznej</w:t>
      </w:r>
      <w:r w:rsidR="00D03562">
        <w:rPr>
          <w:rFonts w:ascii="Lato" w:hAnsi="Lato"/>
          <w:szCs w:val="22"/>
        </w:rPr>
        <w:t xml:space="preserve"> i cieplnej jest zróżnicowane i </w:t>
      </w:r>
      <w:r w:rsidRPr="0043597B">
        <w:rPr>
          <w:rFonts w:ascii="Lato" w:hAnsi="Lato"/>
          <w:szCs w:val="22"/>
        </w:rPr>
        <w:t>łączą je cechy typowe zarówno dla mieszkalnictwa, użyteczności publicznej jak i obszarów produkcyjnych.</w:t>
      </w:r>
      <w:r w:rsidR="0043597B" w:rsidRPr="0043597B">
        <w:rPr>
          <w:rFonts w:ascii="Lato" w:hAnsi="Lato"/>
          <w:szCs w:val="22"/>
        </w:rPr>
        <w:t xml:space="preserve"> </w:t>
      </w:r>
      <w:r w:rsidRPr="0043597B">
        <w:rPr>
          <w:rFonts w:ascii="Lato" w:hAnsi="Lato"/>
          <w:szCs w:val="22"/>
        </w:rPr>
        <w:t>Z</w:t>
      </w:r>
      <w:r w:rsidR="0043597B" w:rsidRPr="0043597B">
        <w:rPr>
          <w:rFonts w:ascii="Lato" w:hAnsi="Lato"/>
          <w:szCs w:val="22"/>
        </w:rPr>
        <w:t> </w:t>
      </w:r>
      <w:r w:rsidRPr="0043597B">
        <w:rPr>
          <w:rFonts w:ascii="Lato" w:hAnsi="Lato"/>
          <w:szCs w:val="22"/>
        </w:rPr>
        <w:t>tego względu ekonomiczny potencjał racjonalizacji uży</w:t>
      </w:r>
      <w:r w:rsidR="0043597B" w:rsidRPr="0043597B">
        <w:rPr>
          <w:rFonts w:ascii="Lato" w:hAnsi="Lato"/>
          <w:szCs w:val="22"/>
        </w:rPr>
        <w:t>tkowania energii elektrycznej w </w:t>
      </w:r>
      <w:r w:rsidRPr="0043597B">
        <w:rPr>
          <w:rFonts w:ascii="Lato" w:hAnsi="Lato"/>
          <w:szCs w:val="22"/>
        </w:rPr>
        <w:t>powtarzalnych technologiach energetycznych podobnie jak w przemyśle szacuje się w zakr</w:t>
      </w:r>
      <w:r w:rsidR="00441FF5" w:rsidRPr="0043597B">
        <w:rPr>
          <w:rFonts w:ascii="Lato" w:hAnsi="Lato"/>
          <w:szCs w:val="22"/>
        </w:rPr>
        <w:t>esie od 15% do 28%, natomiast w </w:t>
      </w:r>
      <w:r w:rsidRPr="0043597B">
        <w:rPr>
          <w:rFonts w:ascii="Lato" w:hAnsi="Lato"/>
          <w:szCs w:val="22"/>
        </w:rPr>
        <w:t>oświetleniu nawet do 75%. Nie przewiduje się, aby gmina w tej grupie odbiorców realizowała jakiekolwiek inwestycje, siła oddzia</w:t>
      </w:r>
      <w:r w:rsidR="00D03562">
        <w:rPr>
          <w:rFonts w:ascii="Lato" w:hAnsi="Lato"/>
          <w:szCs w:val="22"/>
        </w:rPr>
        <w:t>ływania gminy na użytkowników i </w:t>
      </w:r>
      <w:r w:rsidRPr="0043597B">
        <w:rPr>
          <w:rFonts w:ascii="Lato" w:hAnsi="Lato"/>
          <w:szCs w:val="22"/>
        </w:rPr>
        <w:t>właścicieli podmiotów gospodarczych może się sprowadzić jedyn</w:t>
      </w:r>
      <w:r w:rsidR="00D03562">
        <w:rPr>
          <w:rFonts w:ascii="Lato" w:hAnsi="Lato"/>
          <w:szCs w:val="22"/>
        </w:rPr>
        <w:t>ie do wzrostu ich świadomości i </w:t>
      </w:r>
      <w:r w:rsidRPr="0043597B">
        <w:rPr>
          <w:rFonts w:ascii="Lato" w:hAnsi="Lato"/>
          <w:szCs w:val="22"/>
        </w:rPr>
        <w:t>przedstawienia korzyści, jakie wiążą się z</w:t>
      </w:r>
      <w:r w:rsidR="00441FF5" w:rsidRPr="0043597B">
        <w:rPr>
          <w:rFonts w:ascii="Lato" w:hAnsi="Lato"/>
          <w:szCs w:val="22"/>
        </w:rPr>
        <w:t> </w:t>
      </w:r>
      <w:r w:rsidRPr="0043597B">
        <w:rPr>
          <w:rFonts w:ascii="Lato" w:hAnsi="Lato"/>
          <w:szCs w:val="22"/>
        </w:rPr>
        <w:t>energooszczędnymi działaniami, ponieważ możliwy do osiągnięcia efekt ekonomiczny wydaje się być najsilniejszym argumentem przekonującym.</w:t>
      </w:r>
    </w:p>
    <w:p w:rsidR="000B4885" w:rsidRPr="0043597B" w:rsidRDefault="000B4885" w:rsidP="0043597B">
      <w:pPr>
        <w:widowControl w:val="0"/>
        <w:ind w:firstLine="0"/>
        <w:jc w:val="both"/>
        <w:rPr>
          <w:rFonts w:ascii="Lato" w:hAnsi="Lato"/>
          <w:szCs w:val="22"/>
        </w:rPr>
      </w:pPr>
      <w:r w:rsidRPr="0043597B">
        <w:rPr>
          <w:rFonts w:ascii="Lato" w:hAnsi="Lato"/>
          <w:szCs w:val="22"/>
        </w:rPr>
        <w:t>Działania możliwe do realizacji:</w:t>
      </w:r>
    </w:p>
    <w:p w:rsidR="000B4885" w:rsidRPr="0043597B" w:rsidRDefault="000B4885" w:rsidP="0043597B">
      <w:pPr>
        <w:pStyle w:val="Tekstpodstawowy"/>
        <w:numPr>
          <w:ilvl w:val="0"/>
          <w:numId w:val="83"/>
        </w:numPr>
        <w:tabs>
          <w:tab w:val="clear" w:pos="360"/>
        </w:tabs>
        <w:ind w:left="709" w:hanging="425"/>
        <w:rPr>
          <w:rFonts w:ascii="Lato" w:hAnsi="Lato" w:cs="Times New Roman"/>
        </w:rPr>
      </w:pPr>
      <w:r w:rsidRPr="0043597B">
        <w:rPr>
          <w:rFonts w:ascii="Lato" w:hAnsi="Lato" w:cs="Times New Roman"/>
        </w:rPr>
        <w:t>Pozyskiwanie informacji od przedsiębiorstw energetycznych działających na terenie gminy w zakresie liczby odbiorców oraz zużycia energii w sektorze handlowo-usługowym</w:t>
      </w:r>
      <w:r w:rsidR="00A77310" w:rsidRPr="0043597B">
        <w:rPr>
          <w:rFonts w:ascii="Lato" w:hAnsi="Lato" w:cs="Times New Roman"/>
        </w:rPr>
        <w:t>,</w:t>
      </w:r>
      <w:r w:rsidRPr="0043597B">
        <w:rPr>
          <w:rFonts w:ascii="Lato" w:hAnsi="Lato" w:cs="Times New Roman"/>
        </w:rPr>
        <w:t xml:space="preserve"> a także w zakresie przedsiębiorstw.  </w:t>
      </w:r>
    </w:p>
    <w:p w:rsidR="000B4885" w:rsidRPr="0043597B" w:rsidRDefault="000B4885" w:rsidP="0043597B">
      <w:pPr>
        <w:pStyle w:val="Tekstpodstawowy"/>
        <w:numPr>
          <w:ilvl w:val="0"/>
          <w:numId w:val="83"/>
        </w:numPr>
        <w:tabs>
          <w:tab w:val="clear" w:pos="360"/>
        </w:tabs>
        <w:ind w:left="709" w:hanging="425"/>
        <w:rPr>
          <w:rFonts w:ascii="Lato" w:hAnsi="Lato" w:cs="Times New Roman"/>
        </w:rPr>
      </w:pPr>
      <w:r w:rsidRPr="0043597B">
        <w:rPr>
          <w:rFonts w:ascii="Lato" w:hAnsi="Lato" w:cs="Times New Roman"/>
        </w:rPr>
        <w:t>Porównywanie wskaźników zużycia energii w kolejnych latach:</w:t>
      </w:r>
    </w:p>
    <w:p w:rsidR="000B4885" w:rsidRPr="0043597B" w:rsidRDefault="000B4885" w:rsidP="004E6321">
      <w:pPr>
        <w:pStyle w:val="Tekstpodstawowy"/>
        <w:numPr>
          <w:ilvl w:val="1"/>
          <w:numId w:val="86"/>
        </w:numPr>
        <w:ind w:left="1134" w:hanging="414"/>
        <w:rPr>
          <w:rFonts w:ascii="Lato" w:hAnsi="Lato" w:cs="Times New Roman"/>
        </w:rPr>
      </w:pPr>
      <w:r w:rsidRPr="0043597B">
        <w:rPr>
          <w:rFonts w:ascii="Lato" w:hAnsi="Lato" w:cs="Times New Roman"/>
        </w:rPr>
        <w:t>zużycie energii elektrycznej na odbiorcę,</w:t>
      </w:r>
    </w:p>
    <w:p w:rsidR="000B4885" w:rsidRPr="0043597B" w:rsidRDefault="000B4885" w:rsidP="004E6321">
      <w:pPr>
        <w:pStyle w:val="Tekstpodstawowy"/>
        <w:numPr>
          <w:ilvl w:val="1"/>
          <w:numId w:val="86"/>
        </w:numPr>
        <w:ind w:left="1134" w:hanging="414"/>
        <w:rPr>
          <w:rFonts w:ascii="Lato" w:hAnsi="Lato" w:cs="Times New Roman"/>
        </w:rPr>
      </w:pPr>
      <w:r w:rsidRPr="0043597B">
        <w:rPr>
          <w:rFonts w:ascii="Lato" w:hAnsi="Lato" w:cs="Times New Roman"/>
        </w:rPr>
        <w:t>zużycie gazu na odbiorcę.</w:t>
      </w:r>
    </w:p>
    <w:p w:rsidR="000B4885" w:rsidRPr="0043597B" w:rsidRDefault="000B4885" w:rsidP="0043597B">
      <w:pPr>
        <w:pStyle w:val="Tekstpodstawowy"/>
        <w:numPr>
          <w:ilvl w:val="0"/>
          <w:numId w:val="83"/>
        </w:numPr>
        <w:tabs>
          <w:tab w:val="clear" w:pos="360"/>
        </w:tabs>
        <w:ind w:left="709" w:hanging="425"/>
        <w:rPr>
          <w:rFonts w:ascii="Lato" w:hAnsi="Lato" w:cs="Times New Roman"/>
        </w:rPr>
      </w:pPr>
      <w:r w:rsidRPr="0043597B">
        <w:rPr>
          <w:rFonts w:ascii="Lato" w:hAnsi="Lato" w:cs="Times New Roman"/>
        </w:rPr>
        <w:t>Pozyskiwanie informacji z Urzędu Marszałkowskiego na temat opłat środowiskowych oraz emisji zanieczyszczeń dotyczących terenu gminy.</w:t>
      </w:r>
    </w:p>
    <w:p w:rsidR="00816D02" w:rsidRPr="0043597B" w:rsidRDefault="000B4885" w:rsidP="0043597B">
      <w:pPr>
        <w:pStyle w:val="Tekstpodstawowy"/>
        <w:numPr>
          <w:ilvl w:val="0"/>
          <w:numId w:val="83"/>
        </w:numPr>
        <w:tabs>
          <w:tab w:val="clear" w:pos="360"/>
        </w:tabs>
        <w:ind w:left="709" w:hanging="425"/>
        <w:rPr>
          <w:rFonts w:ascii="Lato" w:hAnsi="Lato" w:cs="Times New Roman"/>
        </w:rPr>
      </w:pPr>
      <w:r w:rsidRPr="0043597B">
        <w:rPr>
          <w:rFonts w:ascii="Lato" w:hAnsi="Lato" w:cs="Times New Roman"/>
        </w:rPr>
        <w:t>Przeprowadzenie cyklu szkoleń dla zainteresowanych firm, przedsiębiorstw, rolników,</w:t>
      </w:r>
      <w:r w:rsidR="00441FF5" w:rsidRPr="0043597B">
        <w:rPr>
          <w:rFonts w:ascii="Lato" w:hAnsi="Lato" w:cs="Times New Roman"/>
        </w:rPr>
        <w:t xml:space="preserve"> uwzględniając w </w:t>
      </w:r>
      <w:r w:rsidRPr="0043597B">
        <w:rPr>
          <w:rFonts w:ascii="Lato" w:hAnsi="Lato" w:cs="Times New Roman"/>
        </w:rPr>
        <w:t xml:space="preserve">zakresie: sposoby racjonalnego wykorzystania energii w firmie, energooszczędne technologie, zachowania, instalacje, zastosowanie odnawialnych źródeł energii w budynkach, a także zagadnienia finansowe. Projekcja możliwych do osiągnięcia korzyści. Proponuje się próbę </w:t>
      </w:r>
      <w:r w:rsidR="00441FF5" w:rsidRPr="0043597B">
        <w:rPr>
          <w:rFonts w:ascii="Lato" w:hAnsi="Lato" w:cs="Times New Roman"/>
        </w:rPr>
        <w:t>organizacji działań tego typu z </w:t>
      </w:r>
      <w:r w:rsidRPr="0043597B">
        <w:rPr>
          <w:rFonts w:ascii="Lato" w:hAnsi="Lato" w:cs="Times New Roman"/>
        </w:rPr>
        <w:t>wykorzystaniem środków WFOŚiGW lub NFOŚiGW.</w:t>
      </w:r>
    </w:p>
    <w:p w:rsidR="00441FF5" w:rsidRPr="004E6321" w:rsidRDefault="00441FF5" w:rsidP="0043597B">
      <w:pPr>
        <w:pStyle w:val="Tekstpodstawowy"/>
        <w:widowControl w:val="0"/>
        <w:ind w:left="360"/>
        <w:rPr>
          <w:rFonts w:ascii="Lato" w:hAnsi="Lato"/>
          <w:szCs w:val="22"/>
        </w:rPr>
      </w:pPr>
    </w:p>
    <w:p w:rsidR="00E606BC" w:rsidRDefault="00E606BC">
      <w:pPr>
        <w:spacing w:line="240" w:lineRule="auto"/>
        <w:ind w:firstLine="0"/>
        <w:rPr>
          <w:rFonts w:ascii="Lato" w:hAnsi="Lato"/>
          <w:color w:val="365F91"/>
          <w:sz w:val="28"/>
          <w:szCs w:val="28"/>
        </w:rPr>
      </w:pPr>
      <w:bookmarkStart w:id="599" w:name="_Toc20218543"/>
      <w:r>
        <w:rPr>
          <w:rFonts w:ascii="Lato" w:hAnsi="Lato"/>
        </w:rPr>
        <w:br w:type="page"/>
      </w:r>
    </w:p>
    <w:p w:rsidR="00820B5A" w:rsidRPr="004E6321" w:rsidRDefault="00820B5A" w:rsidP="00820B5A">
      <w:pPr>
        <w:pStyle w:val="Nagwek2"/>
        <w:rPr>
          <w:rFonts w:ascii="Lato" w:hAnsi="Lato" w:cs="Times New Roman"/>
        </w:rPr>
      </w:pPr>
      <w:r w:rsidRPr="004E6321">
        <w:rPr>
          <w:rFonts w:ascii="Lato" w:hAnsi="Lato" w:cs="Times New Roman"/>
        </w:rPr>
        <w:lastRenderedPageBreak/>
        <w:t>Propozycja przedsięwzięć w grupie „oświetlenie”</w:t>
      </w:r>
      <w:bookmarkEnd w:id="599"/>
    </w:p>
    <w:p w:rsidR="002D2F34" w:rsidRPr="008236AD" w:rsidRDefault="004212A9" w:rsidP="004E6321">
      <w:pPr>
        <w:pStyle w:val="Tekstpodstawowy2"/>
        <w:spacing w:after="0" w:line="312" w:lineRule="auto"/>
        <w:ind w:firstLine="709"/>
        <w:jc w:val="both"/>
        <w:rPr>
          <w:rFonts w:ascii="Lato" w:hAnsi="Lato"/>
        </w:rPr>
      </w:pPr>
      <w:r w:rsidRPr="009935EA">
        <w:rPr>
          <w:rFonts w:ascii="Lato" w:hAnsi="Lato"/>
        </w:rPr>
        <w:t xml:space="preserve">Na terenie gminy Pabianice znajdują się 732 oprawy sodowe i 36 opraw rtęciowych o mocy od </w:t>
      </w:r>
      <w:r w:rsidRPr="008236AD">
        <w:rPr>
          <w:rFonts w:ascii="Lato" w:hAnsi="Lato"/>
        </w:rPr>
        <w:t>70 do</w:t>
      </w:r>
      <w:r w:rsidR="00A342D0">
        <w:rPr>
          <w:rFonts w:ascii="Lato" w:hAnsi="Lato"/>
        </w:rPr>
        <w:t xml:space="preserve"> </w:t>
      </w:r>
      <w:r w:rsidRPr="008236AD">
        <w:rPr>
          <w:rFonts w:ascii="Lato" w:hAnsi="Lato"/>
        </w:rPr>
        <w:t>400W oraz ok. 60 opraw LED oświetlenia ulicznego</w:t>
      </w:r>
      <w:r w:rsidR="002D2F34" w:rsidRPr="008236AD">
        <w:rPr>
          <w:rFonts w:ascii="Lato" w:hAnsi="Lato"/>
        </w:rPr>
        <w:t>.</w:t>
      </w:r>
      <w:r w:rsidR="004E6321" w:rsidRPr="008236AD">
        <w:rPr>
          <w:rFonts w:ascii="Lato" w:hAnsi="Lato"/>
        </w:rPr>
        <w:t xml:space="preserve"> </w:t>
      </w:r>
      <w:r w:rsidR="002D2F34" w:rsidRPr="008236AD">
        <w:rPr>
          <w:rFonts w:ascii="Lato" w:hAnsi="Lato"/>
        </w:rPr>
        <w:t>Planuj</w:t>
      </w:r>
      <w:r w:rsidR="009935EA" w:rsidRPr="008236AD">
        <w:rPr>
          <w:rFonts w:ascii="Lato" w:hAnsi="Lato"/>
        </w:rPr>
        <w:t>e</w:t>
      </w:r>
      <w:r w:rsidR="002D2F34" w:rsidRPr="008236AD">
        <w:rPr>
          <w:rFonts w:ascii="Lato" w:hAnsi="Lato"/>
        </w:rPr>
        <w:t xml:space="preserve"> się również dobudowę kolejnych opraw oświetlenia ulicznego na istniejących słupach. </w:t>
      </w:r>
    </w:p>
    <w:p w:rsidR="004E6321" w:rsidRPr="008236AD" w:rsidRDefault="002D2F34" w:rsidP="004E6321">
      <w:pPr>
        <w:pStyle w:val="Tekstpodstawowy"/>
        <w:ind w:firstLine="709"/>
        <w:rPr>
          <w:rFonts w:ascii="Lato" w:hAnsi="Lato" w:cs="Times New Roman"/>
          <w:szCs w:val="22"/>
        </w:rPr>
      </w:pPr>
      <w:r w:rsidRPr="008236AD">
        <w:rPr>
          <w:rFonts w:ascii="Lato" w:hAnsi="Lato" w:cs="Times New Roman"/>
        </w:rPr>
        <w:t xml:space="preserve">Stan oświetlenia ulicznego ogólnie ocenia się jako dobry. Energooszczędne systemy oświetlenia pozwalają na obniżenie zużycia energii elektrycznej nawet o 80% (w przypadku lamp sodowych można uzyskać do 50% oszczędności, a w przypadku lamp typu LED nawet do 80% oszczędności). </w:t>
      </w:r>
    </w:p>
    <w:p w:rsidR="006B024A" w:rsidRPr="008B70DC" w:rsidRDefault="009C74DA" w:rsidP="00AB431C">
      <w:pPr>
        <w:pStyle w:val="Nagwek1"/>
        <w:numPr>
          <w:ilvl w:val="0"/>
          <w:numId w:val="38"/>
        </w:numPr>
        <w:spacing w:after="480" w:line="276" w:lineRule="auto"/>
        <w:ind w:left="425" w:hanging="425"/>
        <w:jc w:val="both"/>
        <w:rPr>
          <w:rFonts w:ascii="Lato" w:hAnsi="Lato"/>
          <w:b w:val="0"/>
          <w:i w:val="0"/>
          <w:color w:val="365F91"/>
        </w:rPr>
      </w:pPr>
      <w:bookmarkStart w:id="600" w:name="_Toc336419350"/>
      <w:bookmarkStart w:id="601" w:name="_Toc336943605"/>
      <w:r w:rsidRPr="00D352C4">
        <w:rPr>
          <w:rFonts w:ascii="Lato" w:hAnsi="Lato"/>
          <w:b w:val="0"/>
          <w:i w:val="0"/>
          <w:color w:val="365F91"/>
          <w:highlight w:val="yellow"/>
        </w:rPr>
        <w:br w:type="page"/>
      </w:r>
      <w:bookmarkStart w:id="602" w:name="_Toc20218544"/>
      <w:r w:rsidR="006B024A" w:rsidRPr="008B70DC">
        <w:rPr>
          <w:rFonts w:ascii="Lato" w:hAnsi="Lato"/>
          <w:b w:val="0"/>
          <w:i w:val="0"/>
          <w:color w:val="365F91"/>
        </w:rPr>
        <w:lastRenderedPageBreak/>
        <w:t>Podsumowanie</w:t>
      </w:r>
      <w:bookmarkEnd w:id="600"/>
      <w:r w:rsidR="00632F59" w:rsidRPr="008B70DC">
        <w:rPr>
          <w:rFonts w:ascii="Lato" w:hAnsi="Lato"/>
          <w:b w:val="0"/>
          <w:i w:val="0"/>
          <w:color w:val="365F91"/>
        </w:rPr>
        <w:t>/streszczenie w języku niespecjalistycznym</w:t>
      </w:r>
      <w:bookmarkEnd w:id="601"/>
      <w:bookmarkEnd w:id="602"/>
    </w:p>
    <w:p w:rsidR="003402A7" w:rsidRPr="00F76EC9" w:rsidRDefault="003402A7" w:rsidP="003402A7">
      <w:pPr>
        <w:numPr>
          <w:ilvl w:val="0"/>
          <w:numId w:val="19"/>
        </w:numPr>
        <w:jc w:val="both"/>
        <w:rPr>
          <w:rFonts w:ascii="Lato" w:hAnsi="Lato"/>
          <w:szCs w:val="22"/>
        </w:rPr>
      </w:pPr>
      <w:bookmarkStart w:id="603" w:name="_Toc67906265"/>
      <w:bookmarkStart w:id="604" w:name="_Toc68789330"/>
      <w:bookmarkStart w:id="605" w:name="_Toc88875227"/>
      <w:r w:rsidRPr="00F76EC9">
        <w:rPr>
          <w:rFonts w:ascii="Lato" w:hAnsi="Lato"/>
          <w:szCs w:val="22"/>
        </w:rPr>
        <w:t xml:space="preserve">Zawartość opracowania „Projekt aktualizacji projektu założeń do planu zaopatrzenia w ciepło, energię elektryczną i paliwa gazowe dla Gminy </w:t>
      </w:r>
      <w:r>
        <w:rPr>
          <w:rFonts w:ascii="Lato" w:hAnsi="Lato"/>
          <w:szCs w:val="22"/>
        </w:rPr>
        <w:t>Pabianice</w:t>
      </w:r>
      <w:r w:rsidRPr="00F76EC9">
        <w:rPr>
          <w:rFonts w:ascii="Lato" w:hAnsi="Lato"/>
          <w:szCs w:val="22"/>
        </w:rPr>
        <w:t xml:space="preserve">” odpowiada pod względem redakcyjnym i merytorycznym wymogom Ustawy Prawo Energetyczne oraz umowy pomiędzy Gminą </w:t>
      </w:r>
      <w:r>
        <w:rPr>
          <w:rFonts w:ascii="Lato" w:hAnsi="Lato"/>
          <w:szCs w:val="22"/>
        </w:rPr>
        <w:t>Pabianice</w:t>
      </w:r>
      <w:r w:rsidRPr="00F76EC9">
        <w:rPr>
          <w:rFonts w:ascii="Lato" w:hAnsi="Lato"/>
          <w:szCs w:val="22"/>
        </w:rPr>
        <w:t xml:space="preserve"> a Fundacją na rzecz Efektywnego Wykorzystania Energii w Katowicach.</w:t>
      </w:r>
    </w:p>
    <w:p w:rsidR="003402A7" w:rsidRPr="00F76EC9" w:rsidRDefault="003402A7" w:rsidP="003402A7">
      <w:pPr>
        <w:ind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 xml:space="preserve">Liczba ludności Gminy </w:t>
      </w:r>
      <w:r>
        <w:rPr>
          <w:rFonts w:ascii="Lato" w:hAnsi="Lato"/>
          <w:szCs w:val="22"/>
        </w:rPr>
        <w:t>Pabianice</w:t>
      </w:r>
      <w:r w:rsidRPr="00F76EC9">
        <w:rPr>
          <w:rFonts w:ascii="Lato" w:hAnsi="Lato"/>
          <w:szCs w:val="22"/>
        </w:rPr>
        <w:t xml:space="preserve"> wynosi </w:t>
      </w:r>
      <w:r>
        <w:rPr>
          <w:rFonts w:ascii="Lato" w:hAnsi="Lato"/>
          <w:szCs w:val="22"/>
        </w:rPr>
        <w:t>7,2</w:t>
      </w:r>
      <w:r w:rsidRPr="00F76EC9">
        <w:rPr>
          <w:rFonts w:ascii="Lato" w:hAnsi="Lato"/>
          <w:szCs w:val="22"/>
        </w:rPr>
        <w:t xml:space="preserve"> tysięcy mieszkańców. Przewiduje się, że liczba mieszkańców w perspektywie do 2035: </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zmniejszy się o około </w:t>
      </w:r>
      <w:r>
        <w:rPr>
          <w:rFonts w:ascii="Lato" w:hAnsi="Lato" w:cs="Times New Roman"/>
          <w:szCs w:val="22"/>
        </w:rPr>
        <w:t>5,3</w:t>
      </w:r>
      <w:r w:rsidRPr="00F76EC9">
        <w:rPr>
          <w:rFonts w:ascii="Lato" w:hAnsi="Lato" w:cs="Times New Roman"/>
          <w:szCs w:val="22"/>
        </w:rPr>
        <w:t>% (</w:t>
      </w:r>
      <w:r>
        <w:rPr>
          <w:rFonts w:ascii="Lato" w:hAnsi="Lato" w:cs="Times New Roman"/>
          <w:szCs w:val="22"/>
        </w:rPr>
        <w:t>385</w:t>
      </w:r>
      <w:r w:rsidRPr="00F76EC9">
        <w:rPr>
          <w:rFonts w:ascii="Lato" w:hAnsi="Lato" w:cs="Times New Roman"/>
          <w:szCs w:val="22"/>
        </w:rPr>
        <w:t xml:space="preserve"> osób) osoby wg scenariusza A – pasywnego zgodnie z prognozą GUS.</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zwiększy się o około </w:t>
      </w:r>
      <w:r>
        <w:rPr>
          <w:rFonts w:ascii="Lato" w:hAnsi="Lato" w:cs="Times New Roman"/>
          <w:szCs w:val="22"/>
        </w:rPr>
        <w:t>10,6</w:t>
      </w:r>
      <w:r w:rsidRPr="00F76EC9">
        <w:rPr>
          <w:rFonts w:ascii="Lato" w:hAnsi="Lato" w:cs="Times New Roman"/>
          <w:szCs w:val="22"/>
        </w:rPr>
        <w:t>% (</w:t>
      </w:r>
      <w:r>
        <w:rPr>
          <w:rFonts w:ascii="Lato" w:hAnsi="Lato" w:cs="Times New Roman"/>
          <w:szCs w:val="22"/>
        </w:rPr>
        <w:t>770</w:t>
      </w:r>
      <w:r w:rsidRPr="00F76EC9">
        <w:rPr>
          <w:rFonts w:ascii="Lato" w:hAnsi="Lato" w:cs="Times New Roman"/>
          <w:szCs w:val="22"/>
        </w:rPr>
        <w:t xml:space="preserve"> osób) wg scenariusza B – umiarkowanego,</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zwiększy się o </w:t>
      </w:r>
      <w:r>
        <w:rPr>
          <w:rFonts w:ascii="Lato" w:hAnsi="Lato" w:cs="Times New Roman"/>
          <w:szCs w:val="22"/>
        </w:rPr>
        <w:t>26,6</w:t>
      </w:r>
      <w:r w:rsidRPr="00F76EC9">
        <w:rPr>
          <w:rFonts w:ascii="Lato" w:hAnsi="Lato" w:cs="Times New Roman"/>
          <w:szCs w:val="22"/>
        </w:rPr>
        <w:t>% (</w:t>
      </w:r>
      <w:r>
        <w:rPr>
          <w:rFonts w:ascii="Lato" w:hAnsi="Lato" w:cs="Times New Roman"/>
          <w:szCs w:val="22"/>
        </w:rPr>
        <w:t>1 926</w:t>
      </w:r>
      <w:r w:rsidRPr="00F76EC9">
        <w:rPr>
          <w:rFonts w:ascii="Lato" w:hAnsi="Lato" w:cs="Times New Roman"/>
          <w:szCs w:val="22"/>
        </w:rPr>
        <w:t xml:space="preserve"> osoby) zgodnie z dotychczasowym trendem - wg scenariusza C – aktywnego.</w:t>
      </w:r>
    </w:p>
    <w:p w:rsidR="003402A7" w:rsidRPr="00F76EC9" w:rsidRDefault="003402A7" w:rsidP="003402A7">
      <w:pPr>
        <w:ind w:left="360"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 xml:space="preserve">Na podstawie danych przedstawiających stan społeczny i gospodarczy Gminy </w:t>
      </w:r>
      <w:r>
        <w:rPr>
          <w:rFonts w:ascii="Lato" w:hAnsi="Lato"/>
          <w:szCs w:val="22"/>
        </w:rPr>
        <w:t>Pabianice</w:t>
      </w:r>
      <w:r w:rsidRPr="00F76EC9">
        <w:rPr>
          <w:rFonts w:ascii="Lato" w:hAnsi="Lato"/>
          <w:szCs w:val="22"/>
        </w:rPr>
        <w:t xml:space="preserve"> można stwierdzić, że występuje szereg </w:t>
      </w:r>
      <w:r>
        <w:rPr>
          <w:rFonts w:ascii="Lato" w:hAnsi="Lato"/>
          <w:szCs w:val="22"/>
        </w:rPr>
        <w:t>pozytywnych</w:t>
      </w:r>
      <w:r w:rsidRPr="00F76EC9">
        <w:rPr>
          <w:rFonts w:ascii="Lato" w:hAnsi="Lato"/>
          <w:szCs w:val="22"/>
        </w:rPr>
        <w:t xml:space="preserve"> zjawisk (</w:t>
      </w:r>
      <w:r>
        <w:rPr>
          <w:rFonts w:ascii="Lato" w:hAnsi="Lato"/>
          <w:szCs w:val="22"/>
        </w:rPr>
        <w:t>zwiększający się</w:t>
      </w:r>
      <w:r w:rsidRPr="00F76EC9">
        <w:rPr>
          <w:rFonts w:ascii="Lato" w:hAnsi="Lato"/>
          <w:szCs w:val="22"/>
        </w:rPr>
        <w:t xml:space="preserve"> przyrost naturalny, </w:t>
      </w:r>
      <w:r>
        <w:rPr>
          <w:rFonts w:ascii="Lato" w:hAnsi="Lato"/>
          <w:szCs w:val="22"/>
        </w:rPr>
        <w:t xml:space="preserve">niższy stopień </w:t>
      </w:r>
      <w:r w:rsidRPr="00F76EC9">
        <w:rPr>
          <w:rFonts w:ascii="Lato" w:hAnsi="Lato"/>
          <w:szCs w:val="22"/>
        </w:rPr>
        <w:t>starze</w:t>
      </w:r>
      <w:r>
        <w:rPr>
          <w:rFonts w:ascii="Lato" w:hAnsi="Lato"/>
          <w:szCs w:val="22"/>
        </w:rPr>
        <w:t>nia</w:t>
      </w:r>
      <w:r w:rsidRPr="00F76EC9">
        <w:rPr>
          <w:rFonts w:ascii="Lato" w:hAnsi="Lato"/>
          <w:szCs w:val="22"/>
        </w:rPr>
        <w:t xml:space="preserve"> się społeczeństw</w:t>
      </w:r>
      <w:r>
        <w:rPr>
          <w:rFonts w:ascii="Lato" w:hAnsi="Lato"/>
          <w:szCs w:val="22"/>
        </w:rPr>
        <w:t>a niż w przypadku większości gmin w kraju</w:t>
      </w:r>
      <w:r w:rsidRPr="00F76EC9">
        <w:rPr>
          <w:rFonts w:ascii="Lato" w:hAnsi="Lato"/>
          <w:szCs w:val="22"/>
        </w:rPr>
        <w:t xml:space="preserve">, itp.). </w:t>
      </w:r>
      <w:r>
        <w:rPr>
          <w:rFonts w:ascii="Lato" w:hAnsi="Lato"/>
          <w:szCs w:val="22"/>
        </w:rPr>
        <w:t>Ponadto p</w:t>
      </w:r>
      <w:r w:rsidRPr="00F76EC9">
        <w:rPr>
          <w:rFonts w:ascii="Lato" w:hAnsi="Lato"/>
          <w:szCs w:val="22"/>
        </w:rPr>
        <w:t xml:space="preserve">ozytywne trendy rozwoju to głównie: rosnący udział osób pracujących w stosunku do ogólnej liczby mieszkańców, dodatnie saldo migracji). Określona polityka gminy w zakresie planowania energetycznego powinna korzystnie </w:t>
      </w:r>
      <w:r>
        <w:rPr>
          <w:rFonts w:ascii="Lato" w:hAnsi="Lato"/>
          <w:szCs w:val="22"/>
        </w:rPr>
        <w:t xml:space="preserve">wpływać </w:t>
      </w:r>
      <w:r w:rsidRPr="00F76EC9">
        <w:rPr>
          <w:rFonts w:ascii="Lato" w:hAnsi="Lato"/>
          <w:szCs w:val="22"/>
        </w:rPr>
        <w:t>na rozwój.</w:t>
      </w:r>
    </w:p>
    <w:p w:rsidR="003402A7" w:rsidRPr="00F76EC9" w:rsidRDefault="003402A7" w:rsidP="003402A7">
      <w:pPr>
        <w:ind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Trendy społeczno</w:t>
      </w:r>
      <w:r w:rsidR="00A342D0">
        <w:rPr>
          <w:rFonts w:ascii="Lato" w:hAnsi="Lato"/>
          <w:szCs w:val="22"/>
        </w:rPr>
        <w:t>-</w:t>
      </w:r>
      <w:r w:rsidRPr="00F76EC9">
        <w:rPr>
          <w:rFonts w:ascii="Lato" w:hAnsi="Lato"/>
          <w:szCs w:val="22"/>
        </w:rPr>
        <w:t>gospodarcze gminy stanowiły podstawę do wyznaczenia trzec</w:t>
      </w:r>
      <w:r w:rsidR="00A342D0">
        <w:rPr>
          <w:rFonts w:ascii="Lato" w:hAnsi="Lato"/>
          <w:szCs w:val="22"/>
        </w:rPr>
        <w:t>h scenariuszy rozwoju społeczno-</w:t>
      </w:r>
      <w:r w:rsidRPr="00F76EC9">
        <w:rPr>
          <w:rFonts w:ascii="Lato" w:hAnsi="Lato"/>
          <w:szCs w:val="22"/>
        </w:rPr>
        <w:t xml:space="preserve">gospodarczego Gminy </w:t>
      </w:r>
      <w:r>
        <w:rPr>
          <w:rFonts w:ascii="Lato" w:hAnsi="Lato"/>
          <w:szCs w:val="22"/>
        </w:rPr>
        <w:t>Pabianice</w:t>
      </w:r>
      <w:r w:rsidRPr="00F76EC9">
        <w:rPr>
          <w:rFonts w:ascii="Lato" w:hAnsi="Lato"/>
          <w:szCs w:val="22"/>
        </w:rPr>
        <w:t xml:space="preserve"> do 2035 roku: pasywnego, umiarkowanego oraz aktywnego. Najbardziej prawdopodobny w rozwoju wydaje się być scenariusz B – Umiarkowany.</w:t>
      </w:r>
    </w:p>
    <w:p w:rsidR="003402A7" w:rsidRPr="00F76EC9" w:rsidRDefault="003402A7" w:rsidP="003402A7">
      <w:pPr>
        <w:ind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 xml:space="preserve">Na podstawie diagnozy stanu istniejącego zapotrzebowanie energetyczne Gminy </w:t>
      </w:r>
      <w:r>
        <w:rPr>
          <w:rFonts w:ascii="Lato" w:hAnsi="Lato"/>
          <w:szCs w:val="22"/>
        </w:rPr>
        <w:t>Pabianice</w:t>
      </w:r>
      <w:r w:rsidRPr="00F76EC9">
        <w:rPr>
          <w:rFonts w:ascii="Lato" w:hAnsi="Lato"/>
          <w:szCs w:val="22"/>
        </w:rPr>
        <w:t xml:space="preserve"> charakteryzują następujące parametry:</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całkowite zapotrzebowanie mocy energetycznej wszystkich nośników – </w:t>
      </w:r>
      <w:r>
        <w:rPr>
          <w:rFonts w:ascii="Lato" w:hAnsi="Lato" w:cs="Times New Roman"/>
          <w:szCs w:val="22"/>
        </w:rPr>
        <w:t>40</w:t>
      </w:r>
      <w:r w:rsidRPr="00F76EC9">
        <w:rPr>
          <w:rFonts w:ascii="Lato" w:hAnsi="Lato" w:cs="Times New Roman"/>
          <w:szCs w:val="22"/>
        </w:rPr>
        <w:t>,</w:t>
      </w:r>
      <w:r>
        <w:rPr>
          <w:rFonts w:ascii="Lato" w:hAnsi="Lato" w:cs="Times New Roman"/>
          <w:szCs w:val="22"/>
        </w:rPr>
        <w:t>74</w:t>
      </w:r>
      <w:r w:rsidRPr="00F76EC9">
        <w:rPr>
          <w:rFonts w:ascii="Lato" w:hAnsi="Lato" w:cs="Times New Roman"/>
          <w:szCs w:val="22"/>
        </w:rPr>
        <w:t xml:space="preserve"> MW,</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całkowite roczne zużycie energii w postaci wszystkich nośników – </w:t>
      </w:r>
      <w:r>
        <w:rPr>
          <w:rFonts w:ascii="Lato" w:hAnsi="Lato" w:cs="Times New Roman"/>
          <w:szCs w:val="22"/>
        </w:rPr>
        <w:t>237,96</w:t>
      </w:r>
      <w:r w:rsidRPr="00F76EC9">
        <w:rPr>
          <w:rFonts w:ascii="Lato" w:hAnsi="Lato" w:cs="Times New Roman"/>
          <w:szCs w:val="22"/>
        </w:rPr>
        <w:t xml:space="preserve"> TJ/rok,</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zapotrzebowanie mocy cieplnej na cele: ogrzewania pomieszczeń, przygotowanie ciepłej wody użytkowej, bytowe i technologiczne – </w:t>
      </w:r>
      <w:r>
        <w:rPr>
          <w:rFonts w:ascii="Lato" w:hAnsi="Lato" w:cs="Times New Roman"/>
          <w:szCs w:val="22"/>
        </w:rPr>
        <w:t>33,35</w:t>
      </w:r>
      <w:r w:rsidRPr="00F76EC9">
        <w:rPr>
          <w:rFonts w:ascii="Lato" w:hAnsi="Lato" w:cs="Times New Roman"/>
          <w:szCs w:val="22"/>
        </w:rPr>
        <w:t xml:space="preserve"> MW, w tym głównie grupa: mieszkalnictwa </w:t>
      </w:r>
      <w:r>
        <w:rPr>
          <w:rFonts w:ascii="Lato" w:hAnsi="Lato" w:cs="Times New Roman"/>
          <w:szCs w:val="22"/>
        </w:rPr>
        <w:t>28,1</w:t>
      </w:r>
      <w:r w:rsidR="00A342D0">
        <w:rPr>
          <w:rFonts w:ascii="Lato" w:hAnsi="Lato" w:cs="Times New Roman"/>
          <w:szCs w:val="22"/>
        </w:rPr>
        <w:t> </w:t>
      </w:r>
      <w:r w:rsidRPr="00F76EC9">
        <w:rPr>
          <w:rFonts w:ascii="Lato" w:hAnsi="Lato" w:cs="Times New Roman"/>
          <w:szCs w:val="22"/>
        </w:rPr>
        <w:t>MW (84,</w:t>
      </w:r>
      <w:r>
        <w:rPr>
          <w:rFonts w:ascii="Lato" w:hAnsi="Lato" w:cs="Times New Roman"/>
          <w:szCs w:val="22"/>
        </w:rPr>
        <w:t>4</w:t>
      </w:r>
      <w:r w:rsidRPr="00F76EC9">
        <w:rPr>
          <w:rFonts w:ascii="Lato" w:hAnsi="Lato" w:cs="Times New Roman"/>
          <w:szCs w:val="22"/>
        </w:rPr>
        <w:t>%),</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roczne zapotrzebowanie energii cieplnej na cele: ogrzewania pomieszczeń, przygotowanie ciepłej wody użytkowej, bytowe i technologiczne –  </w:t>
      </w:r>
      <w:r>
        <w:rPr>
          <w:rFonts w:ascii="Lato" w:hAnsi="Lato" w:cs="Times New Roman"/>
          <w:szCs w:val="22"/>
        </w:rPr>
        <w:t>153,44</w:t>
      </w:r>
      <w:r w:rsidRPr="00F76EC9">
        <w:rPr>
          <w:rFonts w:ascii="Lato" w:hAnsi="Lato" w:cs="Times New Roman"/>
          <w:szCs w:val="22"/>
        </w:rPr>
        <w:t xml:space="preserve"> TJ/rok, w tym głównie w grupie mieszkalnictwa: </w:t>
      </w:r>
      <w:r>
        <w:rPr>
          <w:rFonts w:ascii="Lato" w:hAnsi="Lato" w:cs="Times New Roman"/>
          <w:szCs w:val="22"/>
        </w:rPr>
        <w:t>85,6</w:t>
      </w:r>
      <w:r w:rsidRPr="00F76EC9">
        <w:rPr>
          <w:rFonts w:ascii="Lato" w:hAnsi="Lato" w:cs="Times New Roman"/>
          <w:szCs w:val="22"/>
        </w:rPr>
        <w:t xml:space="preserve"> TJ/rok (8</w:t>
      </w:r>
      <w:r>
        <w:rPr>
          <w:rFonts w:ascii="Lato" w:hAnsi="Lato" w:cs="Times New Roman"/>
          <w:szCs w:val="22"/>
        </w:rPr>
        <w:t>5</w:t>
      </w:r>
      <w:r w:rsidRPr="00F76EC9">
        <w:rPr>
          <w:rFonts w:ascii="Lato" w:hAnsi="Lato" w:cs="Times New Roman"/>
          <w:szCs w:val="22"/>
        </w:rPr>
        <w:t>,6%).</w:t>
      </w:r>
    </w:p>
    <w:p w:rsidR="003402A7" w:rsidRPr="00F76EC9" w:rsidRDefault="003402A7" w:rsidP="003402A7">
      <w:pPr>
        <w:ind w:left="720"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 xml:space="preserve">W związku z przewidywanym rozwojem podmiotów gospodarczych oraz mieszkalnictwa następuje wzrost zapotrzebowania na nośniki energetyczne na terenie Gminy </w:t>
      </w:r>
      <w:r>
        <w:rPr>
          <w:rFonts w:ascii="Lato" w:hAnsi="Lato"/>
          <w:szCs w:val="22"/>
        </w:rPr>
        <w:t>P</w:t>
      </w:r>
      <w:r w:rsidRPr="00F76EC9">
        <w:rPr>
          <w:rFonts w:ascii="Lato" w:hAnsi="Lato"/>
          <w:szCs w:val="22"/>
        </w:rPr>
        <w:t xml:space="preserve">. W scenariuszach rozwoju zakłada się, że </w:t>
      </w:r>
      <w:r w:rsidRPr="00F76EC9">
        <w:rPr>
          <w:rFonts w:ascii="Lato" w:hAnsi="Lato"/>
          <w:szCs w:val="22"/>
        </w:rPr>
        <w:lastRenderedPageBreak/>
        <w:t>obszary przeznaczone pod zabudowę mieszkaniową, usługową oraz zabudowę usługowo-produkcyjną zostaną zagospodarowane do 2035 roku w następującym stopniu:</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Scenariusz „A” – 10%,</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Scenariusz „B” – 20%,</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Scenariusz „C” – 30%.</w:t>
      </w:r>
    </w:p>
    <w:p w:rsidR="003402A7" w:rsidRPr="00F76EC9" w:rsidRDefault="003402A7" w:rsidP="003402A7">
      <w:pPr>
        <w:ind w:left="360" w:firstLine="0"/>
        <w:jc w:val="both"/>
        <w:rPr>
          <w:rFonts w:ascii="Lato" w:hAnsi="Lato"/>
          <w:szCs w:val="22"/>
        </w:rPr>
      </w:pPr>
    </w:p>
    <w:p w:rsidR="003402A7" w:rsidRPr="00F76EC9" w:rsidRDefault="003402A7" w:rsidP="003402A7">
      <w:pPr>
        <w:ind w:left="360" w:firstLine="0"/>
        <w:jc w:val="both"/>
        <w:rPr>
          <w:rFonts w:ascii="Lato" w:hAnsi="Lato"/>
          <w:szCs w:val="22"/>
        </w:rPr>
      </w:pPr>
      <w:r w:rsidRPr="00F76EC9">
        <w:rPr>
          <w:rFonts w:ascii="Lato" w:hAnsi="Lato"/>
          <w:szCs w:val="22"/>
        </w:rPr>
        <w:t>Przyrost zapotrzebowania na nośniki energetyczne wynikający z chłonności terenów wyznaczonych w istniejących i planowanych do opracowania planach miejscowych (scenariusz B) oszacowano na poziomie:</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potrzeby grzewcze dla nowych terenów wyniosą – </w:t>
      </w:r>
      <w:r>
        <w:rPr>
          <w:rFonts w:ascii="Lato" w:hAnsi="Lato" w:cs="Times New Roman"/>
          <w:szCs w:val="22"/>
        </w:rPr>
        <w:t>41</w:t>
      </w:r>
      <w:r w:rsidRPr="00F76EC9">
        <w:rPr>
          <w:rFonts w:ascii="Lato" w:hAnsi="Lato" w:cs="Times New Roman"/>
          <w:szCs w:val="22"/>
        </w:rPr>
        <w:t>,</w:t>
      </w:r>
      <w:r>
        <w:rPr>
          <w:rFonts w:ascii="Lato" w:hAnsi="Lato" w:cs="Times New Roman"/>
          <w:szCs w:val="22"/>
        </w:rPr>
        <w:t>014</w:t>
      </w:r>
      <w:r w:rsidRPr="00F76EC9">
        <w:rPr>
          <w:rFonts w:ascii="Lato" w:hAnsi="Lato" w:cs="Times New Roman"/>
          <w:szCs w:val="22"/>
        </w:rPr>
        <w:t xml:space="preserve"> TJ,</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zapotrzebowanie na moc grzewczą dla nowych terenów wyniesie – </w:t>
      </w:r>
      <w:r>
        <w:rPr>
          <w:rFonts w:ascii="Lato" w:hAnsi="Lato" w:cs="Times New Roman"/>
          <w:szCs w:val="22"/>
        </w:rPr>
        <w:t>7</w:t>
      </w:r>
      <w:r w:rsidRPr="00F76EC9">
        <w:rPr>
          <w:rFonts w:ascii="Lato" w:hAnsi="Lato" w:cs="Times New Roman"/>
          <w:szCs w:val="22"/>
        </w:rPr>
        <w:t>,</w:t>
      </w:r>
      <w:r>
        <w:rPr>
          <w:rFonts w:ascii="Lato" w:hAnsi="Lato" w:cs="Times New Roman"/>
          <w:szCs w:val="22"/>
        </w:rPr>
        <w:t>15</w:t>
      </w:r>
      <w:r w:rsidRPr="00F76EC9">
        <w:rPr>
          <w:rFonts w:ascii="Lato" w:hAnsi="Lato" w:cs="Times New Roman"/>
          <w:szCs w:val="22"/>
        </w:rPr>
        <w:t xml:space="preserve"> MW,</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zapotrzebowanie na energię elektryczną – </w:t>
      </w:r>
      <w:r>
        <w:rPr>
          <w:rFonts w:ascii="Lato" w:hAnsi="Lato" w:cs="Times New Roman"/>
          <w:szCs w:val="22"/>
        </w:rPr>
        <w:t>3</w:t>
      </w:r>
      <w:r w:rsidRPr="00F76EC9">
        <w:rPr>
          <w:rFonts w:ascii="Lato" w:hAnsi="Lato" w:cs="Times New Roman"/>
          <w:szCs w:val="22"/>
        </w:rPr>
        <w:t>,</w:t>
      </w:r>
      <w:r>
        <w:rPr>
          <w:rFonts w:ascii="Lato" w:hAnsi="Lato" w:cs="Times New Roman"/>
          <w:szCs w:val="22"/>
        </w:rPr>
        <w:t>1</w:t>
      </w:r>
      <w:r w:rsidRPr="00F76EC9">
        <w:rPr>
          <w:rFonts w:ascii="Lato" w:hAnsi="Lato" w:cs="Times New Roman"/>
          <w:szCs w:val="22"/>
        </w:rPr>
        <w:t xml:space="preserve"> GWh,</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zapotrzebowanie mocy energii elektrycznej – </w:t>
      </w:r>
      <w:r>
        <w:rPr>
          <w:rFonts w:ascii="Lato" w:hAnsi="Lato" w:cs="Times New Roman"/>
          <w:szCs w:val="22"/>
        </w:rPr>
        <w:t>4</w:t>
      </w:r>
      <w:r w:rsidRPr="00F76EC9">
        <w:rPr>
          <w:rFonts w:ascii="Lato" w:hAnsi="Lato" w:cs="Times New Roman"/>
          <w:szCs w:val="22"/>
        </w:rPr>
        <w:t>,</w:t>
      </w:r>
      <w:r>
        <w:rPr>
          <w:rFonts w:ascii="Lato" w:hAnsi="Lato" w:cs="Times New Roman"/>
          <w:szCs w:val="22"/>
        </w:rPr>
        <w:t>4</w:t>
      </w:r>
      <w:r w:rsidRPr="00F76EC9">
        <w:rPr>
          <w:rFonts w:ascii="Lato" w:hAnsi="Lato" w:cs="Times New Roman"/>
          <w:szCs w:val="22"/>
        </w:rPr>
        <w:t xml:space="preserve"> MW.</w:t>
      </w:r>
    </w:p>
    <w:p w:rsidR="003402A7" w:rsidRPr="00F76EC9" w:rsidRDefault="003402A7" w:rsidP="003402A7">
      <w:pPr>
        <w:ind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 xml:space="preserve">W zaopatrzeniu w energię ogółem w Gminie </w:t>
      </w:r>
      <w:r>
        <w:rPr>
          <w:rFonts w:ascii="Lato" w:hAnsi="Lato"/>
          <w:szCs w:val="22"/>
        </w:rPr>
        <w:t>Pabianice</w:t>
      </w:r>
      <w:r w:rsidRPr="00F76EC9">
        <w:rPr>
          <w:rFonts w:ascii="Lato" w:hAnsi="Lato"/>
          <w:szCs w:val="22"/>
        </w:rPr>
        <w:t xml:space="preserve"> przeważający udział ma węgiel (6</w:t>
      </w:r>
      <w:r>
        <w:rPr>
          <w:rFonts w:ascii="Lato" w:hAnsi="Lato"/>
          <w:szCs w:val="22"/>
        </w:rPr>
        <w:t>1</w:t>
      </w:r>
      <w:r w:rsidRPr="00F76EC9">
        <w:rPr>
          <w:rFonts w:ascii="Lato" w:hAnsi="Lato"/>
          <w:szCs w:val="22"/>
        </w:rPr>
        <w:t>,</w:t>
      </w:r>
      <w:r>
        <w:rPr>
          <w:rFonts w:ascii="Lato" w:hAnsi="Lato"/>
          <w:szCs w:val="22"/>
        </w:rPr>
        <w:t>4</w:t>
      </w:r>
      <w:r w:rsidRPr="00F76EC9">
        <w:rPr>
          <w:rFonts w:ascii="Lato" w:hAnsi="Lato"/>
          <w:szCs w:val="22"/>
        </w:rPr>
        <w:t>%). Udział pozostałych paliw i nośników w bilansie energetycznym gminy jest następujący: energia elektryczna (1</w:t>
      </w:r>
      <w:r>
        <w:rPr>
          <w:rFonts w:ascii="Lato" w:hAnsi="Lato"/>
          <w:szCs w:val="22"/>
        </w:rPr>
        <w:t>6</w:t>
      </w:r>
      <w:r w:rsidRPr="00F76EC9">
        <w:rPr>
          <w:rFonts w:ascii="Lato" w:hAnsi="Lato"/>
          <w:szCs w:val="22"/>
        </w:rPr>
        <w:t xml:space="preserve">,9%), </w:t>
      </w:r>
      <w:r>
        <w:rPr>
          <w:rFonts w:ascii="Lato" w:hAnsi="Lato"/>
          <w:szCs w:val="22"/>
        </w:rPr>
        <w:t>olej opałowy</w:t>
      </w:r>
      <w:r w:rsidRPr="00F76EC9">
        <w:rPr>
          <w:rFonts w:ascii="Lato" w:hAnsi="Lato"/>
          <w:szCs w:val="22"/>
        </w:rPr>
        <w:t xml:space="preserve"> (</w:t>
      </w:r>
      <w:r>
        <w:rPr>
          <w:rFonts w:ascii="Lato" w:hAnsi="Lato"/>
          <w:szCs w:val="22"/>
        </w:rPr>
        <w:t>9</w:t>
      </w:r>
      <w:r w:rsidRPr="00F76EC9">
        <w:rPr>
          <w:rFonts w:ascii="Lato" w:hAnsi="Lato"/>
          <w:szCs w:val="22"/>
        </w:rPr>
        <w:t xml:space="preserve">,8%), </w:t>
      </w:r>
      <w:r>
        <w:rPr>
          <w:rFonts w:ascii="Lato" w:hAnsi="Lato"/>
          <w:szCs w:val="22"/>
        </w:rPr>
        <w:t>drewno</w:t>
      </w:r>
      <w:r w:rsidRPr="00F76EC9">
        <w:rPr>
          <w:rFonts w:ascii="Lato" w:hAnsi="Lato"/>
          <w:szCs w:val="22"/>
        </w:rPr>
        <w:t xml:space="preserve"> (</w:t>
      </w:r>
      <w:r>
        <w:rPr>
          <w:rFonts w:ascii="Lato" w:hAnsi="Lato"/>
          <w:szCs w:val="22"/>
        </w:rPr>
        <w:t>8</w:t>
      </w:r>
      <w:r w:rsidRPr="00F76EC9">
        <w:rPr>
          <w:rFonts w:ascii="Lato" w:hAnsi="Lato"/>
          <w:szCs w:val="22"/>
        </w:rPr>
        <w:t>,</w:t>
      </w:r>
      <w:r>
        <w:rPr>
          <w:rFonts w:ascii="Lato" w:hAnsi="Lato"/>
          <w:szCs w:val="22"/>
        </w:rPr>
        <w:t>0</w:t>
      </w:r>
      <w:r w:rsidRPr="00F76EC9">
        <w:rPr>
          <w:rFonts w:ascii="Lato" w:hAnsi="Lato"/>
          <w:szCs w:val="22"/>
        </w:rPr>
        <w:t>%), gaz ziemny (</w:t>
      </w:r>
      <w:r>
        <w:rPr>
          <w:rFonts w:ascii="Lato" w:hAnsi="Lato"/>
          <w:szCs w:val="22"/>
        </w:rPr>
        <w:t>1</w:t>
      </w:r>
      <w:r w:rsidRPr="00F76EC9">
        <w:rPr>
          <w:rFonts w:ascii="Lato" w:hAnsi="Lato"/>
          <w:szCs w:val="22"/>
        </w:rPr>
        <w:t>,</w:t>
      </w:r>
      <w:r>
        <w:rPr>
          <w:rFonts w:ascii="Lato" w:hAnsi="Lato"/>
          <w:szCs w:val="22"/>
        </w:rPr>
        <w:t>9</w:t>
      </w:r>
      <w:r w:rsidRPr="00F76EC9">
        <w:rPr>
          <w:rFonts w:ascii="Lato" w:hAnsi="Lato"/>
          <w:szCs w:val="22"/>
        </w:rPr>
        <w:t>%), propan – butan (</w:t>
      </w:r>
      <w:r>
        <w:rPr>
          <w:rFonts w:ascii="Lato" w:hAnsi="Lato"/>
          <w:szCs w:val="22"/>
        </w:rPr>
        <w:t>1</w:t>
      </w:r>
      <w:r w:rsidRPr="00F76EC9">
        <w:rPr>
          <w:rFonts w:ascii="Lato" w:hAnsi="Lato"/>
          <w:szCs w:val="22"/>
        </w:rPr>
        <w:t>,4%) oraz OZE (0,</w:t>
      </w:r>
      <w:r>
        <w:rPr>
          <w:rFonts w:ascii="Lato" w:hAnsi="Lato"/>
          <w:szCs w:val="22"/>
        </w:rPr>
        <w:t>6</w:t>
      </w:r>
      <w:r w:rsidRPr="00F76EC9">
        <w:rPr>
          <w:rFonts w:ascii="Lato" w:hAnsi="Lato"/>
          <w:szCs w:val="22"/>
        </w:rPr>
        <w:t>%).</w:t>
      </w:r>
    </w:p>
    <w:p w:rsidR="003402A7" w:rsidRPr="00F76EC9" w:rsidRDefault="003402A7" w:rsidP="003402A7">
      <w:pPr>
        <w:ind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 xml:space="preserve">W zaopatrzeniu w ciepło ogółem w Gminie </w:t>
      </w:r>
      <w:r>
        <w:rPr>
          <w:rFonts w:ascii="Lato" w:hAnsi="Lato"/>
          <w:szCs w:val="22"/>
        </w:rPr>
        <w:t>Pabianice</w:t>
      </w:r>
      <w:r w:rsidRPr="00F76EC9">
        <w:rPr>
          <w:rFonts w:ascii="Lato" w:hAnsi="Lato"/>
          <w:szCs w:val="22"/>
        </w:rPr>
        <w:t xml:space="preserve"> przeważający udział ma węgiel (7</w:t>
      </w:r>
      <w:r>
        <w:rPr>
          <w:rFonts w:ascii="Lato" w:hAnsi="Lato"/>
          <w:szCs w:val="22"/>
        </w:rPr>
        <w:t>1</w:t>
      </w:r>
      <w:r w:rsidRPr="00F76EC9">
        <w:rPr>
          <w:rFonts w:ascii="Lato" w:hAnsi="Lato"/>
          <w:szCs w:val="22"/>
        </w:rPr>
        <w:t>,</w:t>
      </w:r>
      <w:r>
        <w:rPr>
          <w:rFonts w:ascii="Lato" w:hAnsi="Lato"/>
          <w:szCs w:val="22"/>
        </w:rPr>
        <w:t>9</w:t>
      </w:r>
      <w:r w:rsidRPr="00F76EC9">
        <w:rPr>
          <w:rFonts w:ascii="Lato" w:hAnsi="Lato"/>
          <w:szCs w:val="22"/>
        </w:rPr>
        <w:t xml:space="preserve">%). Udział pozostałych paliw w bilansie energetycznym gminy jest następujący: </w:t>
      </w:r>
      <w:r>
        <w:rPr>
          <w:rFonts w:ascii="Lato" w:hAnsi="Lato"/>
          <w:szCs w:val="22"/>
        </w:rPr>
        <w:t>olej opałowy</w:t>
      </w:r>
      <w:r w:rsidRPr="00F76EC9">
        <w:rPr>
          <w:rFonts w:ascii="Lato" w:hAnsi="Lato"/>
          <w:szCs w:val="22"/>
        </w:rPr>
        <w:t xml:space="preserve"> (</w:t>
      </w:r>
      <w:r>
        <w:rPr>
          <w:rFonts w:ascii="Lato" w:hAnsi="Lato"/>
          <w:szCs w:val="22"/>
        </w:rPr>
        <w:t>11</w:t>
      </w:r>
      <w:r w:rsidRPr="00F76EC9">
        <w:rPr>
          <w:rFonts w:ascii="Lato" w:hAnsi="Lato"/>
          <w:szCs w:val="22"/>
        </w:rPr>
        <w:t>,</w:t>
      </w:r>
      <w:r>
        <w:rPr>
          <w:rFonts w:ascii="Lato" w:hAnsi="Lato"/>
          <w:szCs w:val="22"/>
        </w:rPr>
        <w:t>2</w:t>
      </w:r>
      <w:r w:rsidRPr="00F76EC9">
        <w:rPr>
          <w:rFonts w:ascii="Lato" w:hAnsi="Lato"/>
          <w:szCs w:val="22"/>
        </w:rPr>
        <w:t xml:space="preserve">%), </w:t>
      </w:r>
      <w:r>
        <w:rPr>
          <w:rFonts w:ascii="Lato" w:hAnsi="Lato"/>
          <w:szCs w:val="22"/>
        </w:rPr>
        <w:t>drewno</w:t>
      </w:r>
      <w:r w:rsidRPr="00F76EC9">
        <w:rPr>
          <w:rFonts w:ascii="Lato" w:hAnsi="Lato"/>
          <w:szCs w:val="22"/>
        </w:rPr>
        <w:t xml:space="preserve"> (</w:t>
      </w:r>
      <w:r>
        <w:rPr>
          <w:rFonts w:ascii="Lato" w:hAnsi="Lato"/>
          <w:szCs w:val="22"/>
        </w:rPr>
        <w:t>10</w:t>
      </w:r>
      <w:r w:rsidRPr="00F76EC9">
        <w:rPr>
          <w:rFonts w:ascii="Lato" w:hAnsi="Lato"/>
          <w:szCs w:val="22"/>
        </w:rPr>
        <w:t>,</w:t>
      </w:r>
      <w:r>
        <w:rPr>
          <w:rFonts w:ascii="Lato" w:hAnsi="Lato"/>
          <w:szCs w:val="22"/>
        </w:rPr>
        <w:t>5</w:t>
      </w:r>
      <w:r w:rsidRPr="00F76EC9">
        <w:rPr>
          <w:rFonts w:ascii="Lato" w:hAnsi="Lato"/>
          <w:szCs w:val="22"/>
        </w:rPr>
        <w:t>%), gaz ziemny (</w:t>
      </w:r>
      <w:r>
        <w:rPr>
          <w:rFonts w:ascii="Lato" w:hAnsi="Lato"/>
          <w:szCs w:val="22"/>
        </w:rPr>
        <w:t>2</w:t>
      </w:r>
      <w:r w:rsidRPr="00F76EC9">
        <w:rPr>
          <w:rFonts w:ascii="Lato" w:hAnsi="Lato"/>
          <w:szCs w:val="22"/>
        </w:rPr>
        <w:t>,</w:t>
      </w:r>
      <w:r>
        <w:rPr>
          <w:rFonts w:ascii="Lato" w:hAnsi="Lato"/>
          <w:szCs w:val="22"/>
        </w:rPr>
        <w:t>4</w:t>
      </w:r>
      <w:r w:rsidRPr="00F76EC9">
        <w:rPr>
          <w:rFonts w:ascii="Lato" w:hAnsi="Lato"/>
          <w:szCs w:val="22"/>
        </w:rPr>
        <w:t>%), energia elektryczna (</w:t>
      </w:r>
      <w:r>
        <w:rPr>
          <w:rFonts w:ascii="Lato" w:hAnsi="Lato"/>
          <w:szCs w:val="22"/>
        </w:rPr>
        <w:t>2</w:t>
      </w:r>
      <w:r w:rsidRPr="00F76EC9">
        <w:rPr>
          <w:rFonts w:ascii="Lato" w:hAnsi="Lato"/>
          <w:szCs w:val="22"/>
        </w:rPr>
        <w:t>,</w:t>
      </w:r>
      <w:r>
        <w:rPr>
          <w:rFonts w:ascii="Lato" w:hAnsi="Lato"/>
          <w:szCs w:val="22"/>
        </w:rPr>
        <w:t>3</w:t>
      </w:r>
      <w:r w:rsidRPr="00F76EC9">
        <w:rPr>
          <w:rFonts w:ascii="Lato" w:hAnsi="Lato"/>
          <w:szCs w:val="22"/>
        </w:rPr>
        <w:t>%), propan – butan (</w:t>
      </w:r>
      <w:r>
        <w:rPr>
          <w:rFonts w:ascii="Lato" w:hAnsi="Lato"/>
          <w:szCs w:val="22"/>
        </w:rPr>
        <w:t>1</w:t>
      </w:r>
      <w:r w:rsidRPr="00F76EC9">
        <w:rPr>
          <w:rFonts w:ascii="Lato" w:hAnsi="Lato"/>
          <w:szCs w:val="22"/>
        </w:rPr>
        <w:t>,</w:t>
      </w:r>
      <w:r>
        <w:rPr>
          <w:rFonts w:ascii="Lato" w:hAnsi="Lato"/>
          <w:szCs w:val="22"/>
        </w:rPr>
        <w:t>1</w:t>
      </w:r>
      <w:r w:rsidRPr="00F76EC9">
        <w:rPr>
          <w:rFonts w:ascii="Lato" w:hAnsi="Lato"/>
          <w:szCs w:val="22"/>
        </w:rPr>
        <w:t>%).</w:t>
      </w:r>
    </w:p>
    <w:p w:rsidR="003402A7" w:rsidRPr="00F76EC9" w:rsidRDefault="003402A7" w:rsidP="003402A7">
      <w:pPr>
        <w:ind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Głównym problemem z zakresu emisji zanieczyszczeń do atmosf</w:t>
      </w:r>
      <w:r w:rsidR="00D03562">
        <w:rPr>
          <w:rFonts w:ascii="Lato" w:hAnsi="Lato"/>
          <w:szCs w:val="22"/>
        </w:rPr>
        <w:t>ery ze źródeł zlokalizowanych w </w:t>
      </w:r>
      <w:r w:rsidRPr="00F76EC9">
        <w:rPr>
          <w:rFonts w:ascii="Lato" w:hAnsi="Lato"/>
          <w:szCs w:val="22"/>
        </w:rPr>
        <w:t>gminie jest niska emisja zanieczyszczeń z palenisk p</w:t>
      </w:r>
      <w:r w:rsidR="00D03562">
        <w:rPr>
          <w:rFonts w:ascii="Lato" w:hAnsi="Lato"/>
          <w:szCs w:val="22"/>
        </w:rPr>
        <w:t>rzydomowych, która wyraża się w </w:t>
      </w:r>
      <w:r w:rsidRPr="00F76EC9">
        <w:rPr>
          <w:rFonts w:ascii="Lato" w:hAnsi="Lato"/>
          <w:szCs w:val="22"/>
        </w:rPr>
        <w:t>podwyższonym stężeniu pyłu zawieszonego. Udział emisji zastępczej z poszczególnych źródeł emisji w całkowitej emisji substancji szkodliwych przeliczonych na emisję równoważną SO</w:t>
      </w:r>
      <w:r w:rsidRPr="00F76EC9">
        <w:rPr>
          <w:rFonts w:ascii="Lato" w:hAnsi="Lato"/>
          <w:szCs w:val="22"/>
          <w:vertAlign w:val="subscript"/>
        </w:rPr>
        <w:t>2</w:t>
      </w:r>
      <w:r w:rsidR="00D03562">
        <w:rPr>
          <w:rFonts w:ascii="Lato" w:hAnsi="Lato"/>
          <w:szCs w:val="22"/>
        </w:rPr>
        <w:t xml:space="preserve"> w </w:t>
      </w:r>
      <w:r w:rsidRPr="00F76EC9">
        <w:rPr>
          <w:rFonts w:ascii="Lato" w:hAnsi="Lato"/>
          <w:szCs w:val="22"/>
        </w:rPr>
        <w:t xml:space="preserve">Gminie </w:t>
      </w:r>
      <w:r>
        <w:rPr>
          <w:rFonts w:ascii="Lato" w:hAnsi="Lato"/>
          <w:szCs w:val="22"/>
        </w:rPr>
        <w:t>Pabianice</w:t>
      </w:r>
      <w:r w:rsidRPr="00F76EC9">
        <w:rPr>
          <w:rFonts w:ascii="Lato" w:hAnsi="Lato"/>
          <w:szCs w:val="22"/>
        </w:rPr>
        <w:t xml:space="preserve"> w 2018 roku wynosi: niska emisja </w:t>
      </w:r>
      <w:r>
        <w:rPr>
          <w:rFonts w:ascii="Lato" w:hAnsi="Lato"/>
          <w:szCs w:val="22"/>
        </w:rPr>
        <w:t>67,0</w:t>
      </w:r>
      <w:r w:rsidRPr="00F76EC9">
        <w:rPr>
          <w:rFonts w:ascii="Lato" w:hAnsi="Lato"/>
          <w:szCs w:val="22"/>
        </w:rPr>
        <w:t xml:space="preserve">%, emisja liniowa </w:t>
      </w:r>
      <w:r>
        <w:rPr>
          <w:rFonts w:ascii="Lato" w:hAnsi="Lato"/>
          <w:szCs w:val="22"/>
        </w:rPr>
        <w:t>33,0</w:t>
      </w:r>
      <w:r w:rsidRPr="00F76EC9">
        <w:rPr>
          <w:rFonts w:ascii="Lato" w:hAnsi="Lato"/>
          <w:szCs w:val="22"/>
        </w:rPr>
        <w:t>%.</w:t>
      </w:r>
    </w:p>
    <w:p w:rsidR="003402A7" w:rsidRPr="00F76EC9" w:rsidRDefault="003402A7" w:rsidP="003402A7">
      <w:pPr>
        <w:ind w:left="360"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Z analizy kosztów ciepła wynika, że najtańszymi nośnikami energii w chwili obecnej są słoma, biomasa oraz węgiel. Umiarkowane koszt wiążą się z ogrze</w:t>
      </w:r>
      <w:r w:rsidR="00D03562">
        <w:rPr>
          <w:rFonts w:ascii="Lato" w:hAnsi="Lato"/>
          <w:szCs w:val="22"/>
        </w:rPr>
        <w:t>waniem budynków gazem ziemnym i </w:t>
      </w:r>
      <w:r w:rsidRPr="00F76EC9">
        <w:rPr>
          <w:rFonts w:ascii="Lato" w:hAnsi="Lato"/>
          <w:szCs w:val="22"/>
        </w:rPr>
        <w:t xml:space="preserve">olejem opałowym. Najdroższymi nośnikami energii jest energia elektryczna oraz gaz płynny (LPG). </w:t>
      </w:r>
    </w:p>
    <w:p w:rsidR="003402A7" w:rsidRPr="00F76EC9" w:rsidRDefault="003402A7" w:rsidP="003402A7">
      <w:pPr>
        <w:pStyle w:val="Tekstpodstawowy3"/>
        <w:suppressAutoHyphens/>
        <w:ind w:firstLine="0"/>
        <w:jc w:val="both"/>
        <w:rPr>
          <w:rFonts w:ascii="Lato" w:hAnsi="Lato"/>
          <w:b w:val="0"/>
          <w:bCs/>
          <w:i w:val="0"/>
          <w:iCs/>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 xml:space="preserve">Operatorem oraz właścicielem infrastruktury gazowej niskiego oraz średniego ciśnienia na terenie Gminy </w:t>
      </w:r>
      <w:r>
        <w:rPr>
          <w:rFonts w:ascii="Lato" w:hAnsi="Lato"/>
          <w:szCs w:val="22"/>
        </w:rPr>
        <w:t>Pabianice</w:t>
      </w:r>
      <w:r w:rsidRPr="00F76EC9">
        <w:rPr>
          <w:rFonts w:ascii="Lato" w:hAnsi="Lato"/>
          <w:szCs w:val="22"/>
        </w:rPr>
        <w:t xml:space="preserve"> jest Polska Spółka Gazownictwa sp. z o.o. Oddział w </w:t>
      </w:r>
      <w:r>
        <w:rPr>
          <w:rFonts w:ascii="Lato" w:hAnsi="Lato"/>
          <w:szCs w:val="22"/>
        </w:rPr>
        <w:t>Warszawie</w:t>
      </w:r>
      <w:r w:rsidRPr="00F76EC9">
        <w:rPr>
          <w:rFonts w:ascii="Lato" w:hAnsi="Lato"/>
          <w:szCs w:val="22"/>
        </w:rPr>
        <w:t xml:space="preserve"> (PSG). </w:t>
      </w:r>
    </w:p>
    <w:p w:rsidR="003402A7" w:rsidRPr="00F76EC9" w:rsidRDefault="003402A7" w:rsidP="003402A7">
      <w:pPr>
        <w:ind w:firstLine="0"/>
        <w:jc w:val="both"/>
        <w:rPr>
          <w:rFonts w:ascii="Lato" w:hAnsi="Lato"/>
          <w:szCs w:val="22"/>
        </w:rPr>
      </w:pPr>
    </w:p>
    <w:p w:rsidR="003402A7" w:rsidRDefault="003402A7" w:rsidP="003402A7">
      <w:pPr>
        <w:ind w:left="360" w:firstLine="0"/>
        <w:jc w:val="both"/>
        <w:rPr>
          <w:rFonts w:ascii="Lato" w:hAnsi="Lato"/>
          <w:szCs w:val="22"/>
        </w:rPr>
      </w:pPr>
      <w:r>
        <w:rPr>
          <w:rFonts w:ascii="Lato" w:hAnsi="Lato"/>
          <w:szCs w:val="22"/>
        </w:rPr>
        <w:t>Z</w:t>
      </w:r>
      <w:r w:rsidRPr="00237E1B">
        <w:rPr>
          <w:rFonts w:ascii="Lato" w:hAnsi="Lato"/>
          <w:szCs w:val="22"/>
        </w:rPr>
        <w:t>godnie z informacjami z dnia 3.04.2019 r., przesłanymi przez Pol</w:t>
      </w:r>
      <w:r w:rsidR="00A342D0">
        <w:rPr>
          <w:rFonts w:ascii="Lato" w:hAnsi="Lato"/>
          <w:szCs w:val="22"/>
        </w:rPr>
        <w:t>ską Spółkę Gazownictwa Sp. z o.</w:t>
      </w:r>
      <w:r w:rsidRPr="00237E1B">
        <w:rPr>
          <w:rFonts w:ascii="Lato" w:hAnsi="Lato"/>
          <w:szCs w:val="22"/>
        </w:rPr>
        <w:t>o.</w:t>
      </w:r>
      <w:r>
        <w:rPr>
          <w:rFonts w:ascii="Lato" w:hAnsi="Lato"/>
          <w:szCs w:val="22"/>
        </w:rPr>
        <w:t xml:space="preserve"> przedsiębiorstwo realizuje/planuje szereg inwestycji przedstawionych w rozdziale 2.4.3.2</w:t>
      </w:r>
    </w:p>
    <w:p w:rsidR="003402A7" w:rsidRPr="00F76EC9" w:rsidRDefault="003402A7" w:rsidP="003402A7">
      <w:pPr>
        <w:ind w:left="360" w:firstLine="0"/>
        <w:jc w:val="both"/>
        <w:rPr>
          <w:rFonts w:ascii="Lato" w:hAnsi="Lato"/>
          <w:szCs w:val="22"/>
        </w:rPr>
      </w:pPr>
      <w:r>
        <w:rPr>
          <w:rFonts w:ascii="Lato" w:hAnsi="Lato"/>
        </w:rPr>
        <w:t xml:space="preserve">Ponadto na terenie gminy realizowane jest przedsięwzięcie pod nazwą „Przebudowa sieci gazowej w ramach obwodnicy Łodzi”, polegające na przebudowie południowej części tzw. „pierścienia łódzkiego” na </w:t>
      </w:r>
      <w:r>
        <w:rPr>
          <w:rFonts w:ascii="Lato" w:hAnsi="Lato"/>
        </w:rPr>
        <w:lastRenderedPageBreak/>
        <w:t>gazociąg o średnicy DN 500 i ciśnieniu 5,5 MPa, na odcinku o długości ok. 46 km od węzła Rąbień do SRP I Łódź ul. Brzezińska, a także dostosowaniu stacji gazowych wysokiego ciśnienia oraz zespołów zaporowo-upustowych do funkcjonowania w ww. warunkach technologicznych. Zakończenie prac planowane jest na 2025 r.</w:t>
      </w:r>
    </w:p>
    <w:p w:rsidR="003402A7" w:rsidRPr="00F76EC9" w:rsidRDefault="003402A7" w:rsidP="003402A7">
      <w:pPr>
        <w:ind w:left="360"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 xml:space="preserve">Właścicielem poszczególnych elementów systemu elektroenergetycznego na obszarze Gminy </w:t>
      </w:r>
      <w:r>
        <w:rPr>
          <w:rFonts w:ascii="Lato" w:hAnsi="Lato"/>
          <w:szCs w:val="22"/>
        </w:rPr>
        <w:t>Pabianice</w:t>
      </w:r>
      <w:r w:rsidRPr="00F76EC9">
        <w:rPr>
          <w:rFonts w:ascii="Lato" w:hAnsi="Lato"/>
          <w:szCs w:val="22"/>
        </w:rPr>
        <w:t xml:space="preserve"> jest </w:t>
      </w:r>
      <w:r w:rsidRPr="00677E3A">
        <w:rPr>
          <w:rFonts w:ascii="Lato" w:hAnsi="Lato"/>
        </w:rPr>
        <w:t>PGE Dystrybucja S.A. Oddział Łódź</w:t>
      </w:r>
      <w:r w:rsidRPr="00F76EC9">
        <w:rPr>
          <w:rFonts w:ascii="Lato" w:hAnsi="Lato"/>
          <w:szCs w:val="22"/>
        </w:rPr>
        <w:t>.</w:t>
      </w:r>
    </w:p>
    <w:p w:rsidR="003402A7" w:rsidRPr="00F76EC9" w:rsidRDefault="003402A7" w:rsidP="003402A7">
      <w:pPr>
        <w:ind w:left="360" w:firstLine="0"/>
        <w:jc w:val="both"/>
        <w:rPr>
          <w:rFonts w:ascii="Lato" w:hAnsi="Lato"/>
          <w:szCs w:val="22"/>
        </w:rPr>
      </w:pPr>
    </w:p>
    <w:p w:rsidR="003402A7" w:rsidRPr="00F76EC9" w:rsidRDefault="003402A7" w:rsidP="003402A7">
      <w:pPr>
        <w:ind w:left="360" w:firstLine="0"/>
        <w:jc w:val="both"/>
        <w:rPr>
          <w:rFonts w:ascii="Lato" w:hAnsi="Lato"/>
          <w:szCs w:val="22"/>
        </w:rPr>
      </w:pPr>
      <w:r w:rsidRPr="00F76EC9">
        <w:rPr>
          <w:rFonts w:ascii="Lato" w:hAnsi="Lato"/>
          <w:szCs w:val="22"/>
        </w:rPr>
        <w:t xml:space="preserve">W układzie normalnym zasilanie odbiorców zlokalizowanych na terenie Gminy </w:t>
      </w:r>
      <w:r>
        <w:rPr>
          <w:rFonts w:ascii="Lato" w:hAnsi="Lato"/>
          <w:szCs w:val="22"/>
        </w:rPr>
        <w:t>Pabianice</w:t>
      </w:r>
      <w:r w:rsidRPr="00F76EC9">
        <w:rPr>
          <w:rFonts w:ascii="Lato" w:hAnsi="Lato"/>
          <w:szCs w:val="22"/>
        </w:rPr>
        <w:t xml:space="preserve"> </w:t>
      </w:r>
      <w:r>
        <w:rPr>
          <w:rFonts w:ascii="Lato" w:hAnsi="Lato"/>
        </w:rPr>
        <w:t>odbywa się</w:t>
      </w:r>
      <w:r w:rsidRPr="0003431E">
        <w:rPr>
          <w:rFonts w:ascii="Lato" w:hAnsi="Lato"/>
        </w:rPr>
        <w:t xml:space="preserve"> ze stacji 220/110/15 kV GPZ Pabianice oraz ze stacji 110/15 kV RPZ PZPB (zlokalizowanych na terenie Pabianic). W obydwu stacjach zainstalowane są po dwa transformatory 110/15 kV, każdy o mocy 25 MVA. Udział w zasilaniu Gminy w energię elektryczną bierze także stacja 110/15 kV RPZ Konstilana (zlokalizowana na terenie Konstantynowa Łódzkiego) oraz stacja 110/15 RPZ Lublinek (zlokalizowana na terenie Łodzi). W stacji RPZ Konstilana zainstalowane są dwa transformatory, każdy o mocy 16 MVA, a w stacji RPZ Lublinek  - dwa transformatory 110/15 kV, każdy o mocy 25 MVA. Dostawa i dystrybucja energii z tych stacji odbywa się za pośrednictwem sieci rozdzielczej napowietrznej i kablowej średniego napięcia 15 kV oraz stacji transformatorowych SN/nN. Indywidualni odbiorcy powiązani są ze stacjami transformatorowymi liniami napowietrznymi lub kablowymi, które pracują na napięciu 400/380 V.</w:t>
      </w:r>
    </w:p>
    <w:p w:rsidR="003402A7" w:rsidRPr="00F76EC9" w:rsidRDefault="003402A7" w:rsidP="003402A7">
      <w:pPr>
        <w:ind w:left="360" w:firstLine="0"/>
        <w:jc w:val="both"/>
        <w:rPr>
          <w:rFonts w:ascii="Lato" w:hAnsi="Lato"/>
          <w:szCs w:val="22"/>
        </w:rPr>
      </w:pPr>
    </w:p>
    <w:p w:rsidR="003402A7" w:rsidRPr="00237E1B" w:rsidRDefault="003402A7" w:rsidP="003402A7">
      <w:pPr>
        <w:pStyle w:val="tabela"/>
        <w:ind w:left="360" w:firstLine="0"/>
        <w:rPr>
          <w:rFonts w:ascii="Lato" w:hAnsi="Lato"/>
          <w:sz w:val="22"/>
          <w:szCs w:val="22"/>
        </w:rPr>
      </w:pPr>
      <w:r w:rsidRPr="00237E1B">
        <w:rPr>
          <w:rFonts w:ascii="Lato" w:hAnsi="Lato"/>
          <w:sz w:val="22"/>
          <w:szCs w:val="22"/>
        </w:rPr>
        <w:t>Na terenie gminy przedsiębiorstwo PGE Dystrybucja S.A. w latach  2019 - 2023 będzie realizowało Program zwiększenia udziału linii kablowych SN do 30%. Częściową przebudową linii napowietrznych na kablowe zostanie objęta także Gmina Pabianice. W Gminie będzie kontynuowany proces wymiany linii napowietrznych średnieg</w:t>
      </w:r>
      <w:r w:rsidR="00D03562">
        <w:rPr>
          <w:rFonts w:ascii="Lato" w:hAnsi="Lato"/>
          <w:sz w:val="22"/>
          <w:szCs w:val="22"/>
        </w:rPr>
        <w:t>o i niskiego napięcia gołych na </w:t>
      </w:r>
      <w:r w:rsidRPr="00237E1B">
        <w:rPr>
          <w:rFonts w:ascii="Lato" w:hAnsi="Lato"/>
          <w:sz w:val="22"/>
          <w:szCs w:val="22"/>
        </w:rPr>
        <w:t>izolowane. Wpłynie to istotnie na pewność zasilania odbiorców oraz zmniejszenie awaryjności sieci i czasu trwania przerw w dostawie energii elektrycznej.</w:t>
      </w:r>
    </w:p>
    <w:p w:rsidR="003402A7" w:rsidRPr="00237E1B" w:rsidRDefault="003402A7" w:rsidP="003402A7">
      <w:pPr>
        <w:pStyle w:val="tabela"/>
        <w:ind w:left="360" w:firstLine="0"/>
        <w:rPr>
          <w:rFonts w:ascii="Lato" w:hAnsi="Lato"/>
          <w:sz w:val="22"/>
          <w:szCs w:val="22"/>
        </w:rPr>
      </w:pPr>
      <w:r w:rsidRPr="00237E1B">
        <w:rPr>
          <w:rFonts w:ascii="Lato" w:hAnsi="Lato"/>
          <w:sz w:val="22"/>
          <w:szCs w:val="22"/>
        </w:rPr>
        <w:t>W latach 2023 - 2024 planowana jest przebudowa dwutorowych linii napowietrznych 110 kV relacji GPZ Pabianice - GPZ Janów na odcinku o długości ok. 17 km, polegająca n</w:t>
      </w:r>
      <w:r w:rsidR="00B41D16">
        <w:rPr>
          <w:rFonts w:ascii="Lato" w:hAnsi="Lato"/>
          <w:sz w:val="22"/>
          <w:szCs w:val="22"/>
        </w:rPr>
        <w:t>a zwiększeni</w:t>
      </w:r>
      <w:r w:rsidR="00D03562">
        <w:rPr>
          <w:rFonts w:ascii="Lato" w:hAnsi="Lato"/>
          <w:sz w:val="22"/>
          <w:szCs w:val="22"/>
        </w:rPr>
        <w:t>u </w:t>
      </w:r>
      <w:r w:rsidRPr="00237E1B">
        <w:rPr>
          <w:rFonts w:ascii="Lato" w:hAnsi="Lato"/>
          <w:sz w:val="22"/>
          <w:szCs w:val="22"/>
        </w:rPr>
        <w:t>przekroju linii z 180 mm2 na 300 mm2, celem zwiększenia ich przepustowości.</w:t>
      </w:r>
    </w:p>
    <w:p w:rsidR="003402A7" w:rsidRPr="00237E1B" w:rsidRDefault="003402A7" w:rsidP="003402A7">
      <w:pPr>
        <w:pStyle w:val="tabela"/>
        <w:ind w:left="360" w:firstLine="0"/>
        <w:rPr>
          <w:rFonts w:ascii="Lato" w:hAnsi="Lato"/>
          <w:sz w:val="22"/>
          <w:szCs w:val="22"/>
        </w:rPr>
      </w:pPr>
      <w:r w:rsidRPr="00237E1B">
        <w:rPr>
          <w:rFonts w:ascii="Lato" w:hAnsi="Lato"/>
          <w:sz w:val="22"/>
          <w:szCs w:val="22"/>
        </w:rPr>
        <w:t>W aktualnie obowiązującym Planie Rozwoju przewidziano środki finansowe na rozbudowę sieci średnich i niskich napięć celem umożliwienia sukcesywnego przyłączania nowych klientów.</w:t>
      </w:r>
    </w:p>
    <w:p w:rsidR="003402A7" w:rsidRPr="00237E1B" w:rsidRDefault="003402A7" w:rsidP="003402A7">
      <w:pPr>
        <w:pStyle w:val="tabela"/>
        <w:ind w:left="360" w:firstLine="0"/>
        <w:rPr>
          <w:rFonts w:ascii="Lato" w:hAnsi="Lato"/>
          <w:sz w:val="22"/>
          <w:szCs w:val="22"/>
        </w:rPr>
      </w:pPr>
    </w:p>
    <w:p w:rsidR="003402A7" w:rsidRPr="00F76EC9" w:rsidRDefault="003402A7" w:rsidP="003402A7">
      <w:pPr>
        <w:pStyle w:val="tabela"/>
        <w:spacing w:before="0" w:line="312" w:lineRule="auto"/>
        <w:ind w:left="360" w:firstLine="0"/>
        <w:rPr>
          <w:rFonts w:ascii="Lato" w:hAnsi="Lato"/>
          <w:sz w:val="22"/>
          <w:szCs w:val="22"/>
        </w:rPr>
      </w:pPr>
      <w:r w:rsidRPr="00237E1B">
        <w:rPr>
          <w:rFonts w:ascii="Lato" w:hAnsi="Lato"/>
          <w:sz w:val="22"/>
          <w:szCs w:val="22"/>
        </w:rPr>
        <w:t xml:space="preserve">Zgodnie z informacjami przekazanymi przez przedsiębiorstwo w planach inwestycyjnych PSE S.A. do roku 2023 zakładana jest modernizacja linii 220 kV Rogowiec-Pabianice (lokalizacja istniejących linii 220 kV przedstawiona jest na mapie w załączniku nr 5 kolorem zielonym). Ponadto na terenie gminy Pabianice planowana jest inwestycja pn. "Budowa linii 400 kV relacji Rogowiec - Pabianice Bis - Pątnów" . Inwestycja ujęta jest w Koncepcji Przestrzennego Zagospodarowania Kraju do roku 2030, a także obowiązującym Planie Zagospodarowania Województwa Łódzkiego, przyjętym uchwałą Nr LV/679/1 8 Sejmiku </w:t>
      </w:r>
      <w:r w:rsidRPr="00237E1B">
        <w:rPr>
          <w:rFonts w:ascii="Lato" w:hAnsi="Lato"/>
          <w:sz w:val="22"/>
          <w:szCs w:val="22"/>
        </w:rPr>
        <w:lastRenderedPageBreak/>
        <w:t>Województwa Łódzkiego z dnia 28 sierpnia 2018 r. w sprawie uchwalenia „Planu zagospodarowania przestrzennego województwa łódzkiego oraz planu zagospodarowania przestrzennego miejskiego obszaru funkcjonalnego Łodzi".</w:t>
      </w:r>
    </w:p>
    <w:p w:rsidR="003402A7" w:rsidRPr="00F76EC9" w:rsidRDefault="003402A7" w:rsidP="003402A7">
      <w:pPr>
        <w:pStyle w:val="tabela"/>
        <w:spacing w:before="0" w:line="312" w:lineRule="auto"/>
        <w:ind w:left="360" w:firstLine="0"/>
        <w:rPr>
          <w:rFonts w:ascii="Lato" w:hAnsi="Lato"/>
          <w:sz w:val="22"/>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W zakresie zaopatrzenia w ciepło budownictwa przyjmuje się realizację następujących zadań:</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poprawa jakości powietrza, ograniczenie emisji zanieczyszczeń do powietrza ze źródeł niskiej emisji poprzez eliminowanie tych źródeł oraz realizację przedsięwzięć termomodernizacyjnych (realizacja Planu gospodarki niskoemisyjnej dla Gminy </w:t>
      </w:r>
      <w:r>
        <w:rPr>
          <w:rFonts w:ascii="Lato" w:hAnsi="Lato" w:cs="Times New Roman"/>
          <w:szCs w:val="22"/>
        </w:rPr>
        <w:t>Pabianice</w:t>
      </w:r>
      <w:r w:rsidRPr="00F76EC9">
        <w:rPr>
          <w:rFonts w:ascii="Lato" w:hAnsi="Lato" w:cs="Times New Roman"/>
          <w:szCs w:val="22"/>
        </w:rPr>
        <w:t>;  termomodernizacja budynków użyteczności publicznej; termomodernizacja budynków mieszkalnych);</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poprawa sposobu komunikowania się ze społeczeństwem, zmierzające do uzyskania większej akceptowalności zagadnień związanych z systemami zaopatrzenia gminy w ciepło, energię elektryczną i paliwa gazowe,</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promocja ekologicznych nośników energii (wspólnie z przedsiębiorstwami energetycznymi, dystrybutorami ekologicznych paliw oraz producentami niskoemisyjnych technologii) oraz technologii termomodernizacji budynków,</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wspólne występowanie (lub firmowanie programów przez gminę) o środki preferencyjne z właścicielami lub administratorami budynków, np. w ramach programów ograniczenia niskiej emisji (NFOŚiGW w Warszawie, krajowe, pomocowe – Unia Europejska i inne) w zakresie termomodernizacji tych budynków – gmina w ramach swojej działalności może wspierać merytorycznie wnioskodawców.</w:t>
      </w:r>
    </w:p>
    <w:p w:rsidR="003402A7" w:rsidRPr="00F76EC9" w:rsidRDefault="003402A7" w:rsidP="003402A7">
      <w:pPr>
        <w:ind w:left="720"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W zakresie działań, związanych z racjonalizacją użytkowania cie</w:t>
      </w:r>
      <w:r w:rsidR="00B41D16">
        <w:rPr>
          <w:rFonts w:ascii="Lato" w:hAnsi="Lato"/>
          <w:szCs w:val="22"/>
        </w:rPr>
        <w:t>pła oraz energii elektrycznej w </w:t>
      </w:r>
      <w:r w:rsidRPr="00F76EC9">
        <w:rPr>
          <w:rFonts w:ascii="Lato" w:hAnsi="Lato"/>
          <w:szCs w:val="22"/>
        </w:rPr>
        <w:t xml:space="preserve">obiektach należących do gminy, budynkach mieszkalnych i innych budynkach </w:t>
      </w:r>
      <w:r w:rsidR="00B41D16">
        <w:rPr>
          <w:rFonts w:ascii="Lato" w:hAnsi="Lato"/>
          <w:szCs w:val="22"/>
        </w:rPr>
        <w:t>należących do </w:t>
      </w:r>
      <w:r w:rsidRPr="00F76EC9">
        <w:rPr>
          <w:rFonts w:ascii="Lato" w:hAnsi="Lato"/>
          <w:szCs w:val="22"/>
        </w:rPr>
        <w:t>podmiotów gospodarczych przewiduje się:</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 xml:space="preserve">Realizację działań wynikających z Planu gospodarki niskoemisyjnej dla Gminy </w:t>
      </w:r>
      <w:r>
        <w:rPr>
          <w:rFonts w:ascii="Lato" w:hAnsi="Lato" w:cs="Times New Roman"/>
          <w:szCs w:val="22"/>
        </w:rPr>
        <w:t>Pabianice</w:t>
      </w:r>
      <w:r w:rsidRPr="00F76EC9">
        <w:rPr>
          <w:rFonts w:ascii="Lato" w:hAnsi="Lato" w:cs="Times New Roman"/>
          <w:szCs w:val="22"/>
        </w:rPr>
        <w:t>,</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popularyzowanie wśród indywidualnych mieszkańców działań mających na celu ograniczenie zużycia energii w budynkach mieszkalnych,</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zaleca się termomodernizację w budynkach należących do gminy tj. ocieplenie przegród zewnętrznych, montaż zaworów termostatycznych, montaż automatyki w kotłowniach zasilających budynki użyteczności publicznej oraz modernizacja źródeł ciepła, z wykorzystaniem zewnętrznych środków finansowych oferowanych w ramach oferty krajowych funduszy ochrony środowiska,</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Pr>
          <w:rFonts w:ascii="Lato" w:hAnsi="Lato" w:cs="Times New Roman"/>
          <w:szCs w:val="22"/>
        </w:rPr>
        <w:t xml:space="preserve">zaleca się </w:t>
      </w:r>
      <w:r w:rsidRPr="00F76EC9">
        <w:rPr>
          <w:rFonts w:ascii="Lato" w:hAnsi="Lato" w:cs="Times New Roman"/>
          <w:szCs w:val="22"/>
        </w:rPr>
        <w:t>prowadzić monitoring zużycia energii, pali</w:t>
      </w:r>
      <w:r w:rsidR="00B41D16">
        <w:rPr>
          <w:rFonts w:ascii="Lato" w:hAnsi="Lato" w:cs="Times New Roman"/>
          <w:szCs w:val="22"/>
        </w:rPr>
        <w:t>w (również wody) oraz kosztów w </w:t>
      </w:r>
      <w:r w:rsidRPr="00F76EC9">
        <w:rPr>
          <w:rFonts w:ascii="Lato" w:hAnsi="Lato" w:cs="Times New Roman"/>
          <w:szCs w:val="22"/>
        </w:rPr>
        <w:t>budynkach użyteczności publicznej (np. poprzez wdrożenie</w:t>
      </w:r>
      <w:r w:rsidR="00B41D16">
        <w:rPr>
          <w:rFonts w:ascii="Lato" w:hAnsi="Lato" w:cs="Times New Roman"/>
          <w:szCs w:val="22"/>
        </w:rPr>
        <w:t xml:space="preserve"> Programu Zarządzania Energią w </w:t>
      </w:r>
      <w:r w:rsidRPr="00F76EC9">
        <w:rPr>
          <w:rFonts w:ascii="Lato" w:hAnsi="Lato" w:cs="Times New Roman"/>
          <w:szCs w:val="22"/>
        </w:rPr>
        <w:t>Budynkach Użyteczności Publicznej),</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organizację, planowanie i finansowanie działań związanych z modernizacją źródeł ciepła i działań termomodernizacyjnych.</w:t>
      </w:r>
    </w:p>
    <w:p w:rsidR="003402A7" w:rsidRPr="00F76EC9" w:rsidRDefault="003402A7" w:rsidP="003402A7">
      <w:pPr>
        <w:ind w:left="720"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W zakresie rozwoju energetyki odnawialnej na terenie gminy proponuje się:</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lastRenderedPageBreak/>
        <w:t xml:space="preserve">zastosowanie urządzeń wykorzystujących odnawialne źródła energii w części budynków zarządzanych przez Urząd Gminy oraz popularyzację tego typu urządzeń wśród właścicieli budynków jednorodzinnych oraz podmiotów gospodarczych, </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zastosowanie pomp ciepła czy układów wentylacji mechanicznej współpracujących z gruntowymi wymiennikami ciepła (np. w budynkach mieszkalnych, budynkach użyteczności publicznej czy budynkach handlowo – usługowych),</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wykorzystanie istniejącego energetycznego potencjału biomasy (drewno, słoma) na miejscu (np. w gospodarstwach rolnych),</w:t>
      </w:r>
    </w:p>
    <w:p w:rsidR="003402A7" w:rsidRPr="00F76EC9" w:rsidRDefault="003402A7" w:rsidP="003402A7">
      <w:pPr>
        <w:pStyle w:val="Tekstpodstawowy"/>
        <w:numPr>
          <w:ilvl w:val="0"/>
          <w:numId w:val="83"/>
        </w:numPr>
        <w:tabs>
          <w:tab w:val="clear" w:pos="360"/>
        </w:tabs>
        <w:ind w:left="709" w:hanging="425"/>
        <w:rPr>
          <w:rFonts w:ascii="Lato" w:hAnsi="Lato" w:cs="Times New Roman"/>
          <w:szCs w:val="22"/>
        </w:rPr>
      </w:pPr>
      <w:r w:rsidRPr="00F76EC9">
        <w:rPr>
          <w:rFonts w:ascii="Lato" w:hAnsi="Lato" w:cs="Times New Roman"/>
          <w:szCs w:val="22"/>
        </w:rPr>
        <w:t>możliwość montażu ogniw fotowoltaicznych na dachach budynków użyteczności publicznej, budynków mieszkalnych, usługowych, handlowych i innych.</w:t>
      </w:r>
    </w:p>
    <w:p w:rsidR="003402A7" w:rsidRPr="00F76EC9" w:rsidRDefault="003402A7" w:rsidP="003402A7">
      <w:pPr>
        <w:ind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 xml:space="preserve">Niniejszy Projekt aktualizacji założeń do planu zaopatrzenia w ciepło, energię elektryczną i paliwa gazowe dla Gminy </w:t>
      </w:r>
      <w:r>
        <w:rPr>
          <w:rFonts w:ascii="Lato" w:hAnsi="Lato"/>
          <w:szCs w:val="22"/>
        </w:rPr>
        <w:t>Pabianice</w:t>
      </w:r>
      <w:r w:rsidRPr="00F76EC9">
        <w:rPr>
          <w:rFonts w:ascii="Lato" w:hAnsi="Lato"/>
          <w:szCs w:val="22"/>
        </w:rPr>
        <w:t xml:space="preserve">” stanowi dla Wójta Gminy </w:t>
      </w:r>
      <w:r>
        <w:rPr>
          <w:rFonts w:ascii="Lato" w:hAnsi="Lato"/>
          <w:szCs w:val="22"/>
        </w:rPr>
        <w:t>Pabianice</w:t>
      </w:r>
      <w:r w:rsidRPr="00F76EC9">
        <w:rPr>
          <w:rFonts w:ascii="Lato" w:hAnsi="Lato"/>
          <w:szCs w:val="22"/>
        </w:rPr>
        <w:t xml:space="preserve"> podstawę do przeprowadzenia procesu legislacyjnego zgodnie z art. 19. Ustawy - Prawo energetyczne, który zakończy się uchwaleniem „Aktualizacji założeń do planu zaopatrzenia w ciepło, energię elektryczną i paliwa gazowe dla Gminy </w:t>
      </w:r>
      <w:r w:rsidR="00E608EF">
        <w:rPr>
          <w:rFonts w:ascii="Lato" w:hAnsi="Lato"/>
          <w:szCs w:val="22"/>
        </w:rPr>
        <w:t>Pabianice</w:t>
      </w:r>
      <w:r w:rsidRPr="00F76EC9">
        <w:rPr>
          <w:rFonts w:ascii="Lato" w:hAnsi="Lato"/>
          <w:szCs w:val="22"/>
        </w:rPr>
        <w:t>”.</w:t>
      </w:r>
    </w:p>
    <w:p w:rsidR="003402A7" w:rsidRPr="00F76EC9" w:rsidRDefault="003402A7" w:rsidP="003402A7">
      <w:pPr>
        <w:ind w:left="360"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 xml:space="preserve">Plany rozwoju przedsiębiorstw energetycznych są zbieżne z niniejszymi założeniami, dlatego też zgodnie z Ustawą - Prawo energetyczne w chwili obecnej nie ma potrzeby realizacji „Projektu planu zaopatrzenia w ciepło, energię elektryczną i paliwa gazowe dla Gminy </w:t>
      </w:r>
      <w:r>
        <w:rPr>
          <w:rFonts w:ascii="Lato" w:hAnsi="Lato"/>
          <w:szCs w:val="22"/>
        </w:rPr>
        <w:t>Pabianice</w:t>
      </w:r>
      <w:r w:rsidRPr="00F76EC9">
        <w:rPr>
          <w:rFonts w:ascii="Lato" w:hAnsi="Lato"/>
          <w:szCs w:val="22"/>
        </w:rPr>
        <w:t>”.</w:t>
      </w:r>
    </w:p>
    <w:p w:rsidR="003402A7" w:rsidRPr="00F76EC9" w:rsidRDefault="003402A7" w:rsidP="003402A7">
      <w:pPr>
        <w:ind w:left="360" w:firstLine="0"/>
        <w:jc w:val="both"/>
        <w:rPr>
          <w:rFonts w:ascii="Lato" w:hAnsi="Lato"/>
          <w:szCs w:val="22"/>
        </w:rPr>
      </w:pPr>
    </w:p>
    <w:p w:rsidR="003402A7" w:rsidRPr="00F76EC9" w:rsidRDefault="003402A7" w:rsidP="003402A7">
      <w:pPr>
        <w:numPr>
          <w:ilvl w:val="0"/>
          <w:numId w:val="19"/>
        </w:numPr>
        <w:jc w:val="both"/>
        <w:rPr>
          <w:rFonts w:ascii="Lato" w:hAnsi="Lato"/>
          <w:szCs w:val="22"/>
        </w:rPr>
      </w:pPr>
      <w:r w:rsidRPr="00F76EC9">
        <w:rPr>
          <w:rFonts w:ascii="Lato" w:hAnsi="Lato"/>
          <w:szCs w:val="22"/>
        </w:rPr>
        <w:t xml:space="preserve">Uchwalona przez Radę Gminy „Aktualizacja założeń do planu zaopatrzenia w ciepło, energię elektryczną i paliwa gazowe dla Gminy </w:t>
      </w:r>
      <w:r>
        <w:rPr>
          <w:rFonts w:ascii="Lato" w:hAnsi="Lato"/>
          <w:szCs w:val="22"/>
        </w:rPr>
        <w:t>Pabianice</w:t>
      </w:r>
      <w:r w:rsidRPr="00F76EC9">
        <w:rPr>
          <w:rFonts w:ascii="Lato" w:hAnsi="Lato"/>
          <w:szCs w:val="22"/>
        </w:rPr>
        <w:t>” zgodnie z aktualnym brzmieniem Ustawy Prawo energetyczne obowiązuje przez okres 15 lat od momentu ich uchwalenia i wymaga aktualizacji co najmniej raz na 3 lata.</w:t>
      </w:r>
    </w:p>
    <w:p w:rsidR="006B024A" w:rsidRPr="008B70DC" w:rsidRDefault="001D5961" w:rsidP="00AB431C">
      <w:pPr>
        <w:pStyle w:val="Nagwek1"/>
        <w:numPr>
          <w:ilvl w:val="0"/>
          <w:numId w:val="38"/>
        </w:numPr>
        <w:spacing w:after="480" w:line="276" w:lineRule="auto"/>
        <w:ind w:left="425" w:hanging="425"/>
        <w:jc w:val="both"/>
        <w:rPr>
          <w:rFonts w:ascii="Lato" w:hAnsi="Lato"/>
          <w:b w:val="0"/>
          <w:i w:val="0"/>
          <w:color w:val="365F91"/>
        </w:rPr>
      </w:pPr>
      <w:bookmarkStart w:id="606" w:name="_Toc272527128"/>
      <w:bookmarkStart w:id="607" w:name="_Toc336419351"/>
      <w:bookmarkStart w:id="608" w:name="_Toc336943606"/>
      <w:bookmarkEnd w:id="603"/>
      <w:bookmarkEnd w:id="604"/>
      <w:bookmarkEnd w:id="605"/>
      <w:r w:rsidRPr="00D352C4">
        <w:rPr>
          <w:rFonts w:ascii="Lato" w:hAnsi="Lato"/>
          <w:b w:val="0"/>
          <w:i w:val="0"/>
          <w:color w:val="365F91"/>
          <w:highlight w:val="yellow"/>
        </w:rPr>
        <w:br w:type="column"/>
      </w:r>
      <w:bookmarkStart w:id="609" w:name="_Toc20218545"/>
      <w:r w:rsidR="006B024A" w:rsidRPr="008B70DC">
        <w:rPr>
          <w:rFonts w:ascii="Lato" w:hAnsi="Lato"/>
          <w:b w:val="0"/>
          <w:i w:val="0"/>
          <w:color w:val="365F91"/>
        </w:rPr>
        <w:lastRenderedPageBreak/>
        <w:t>Załączniki</w:t>
      </w:r>
      <w:bookmarkEnd w:id="606"/>
      <w:bookmarkEnd w:id="607"/>
      <w:bookmarkEnd w:id="608"/>
      <w:bookmarkEnd w:id="609"/>
    </w:p>
    <w:p w:rsidR="00601928" w:rsidRPr="008D7DA8" w:rsidRDefault="00601928" w:rsidP="00601928">
      <w:pPr>
        <w:ind w:firstLine="0"/>
        <w:jc w:val="both"/>
        <w:rPr>
          <w:rFonts w:ascii="Lato" w:hAnsi="Lato"/>
        </w:rPr>
      </w:pPr>
      <w:r w:rsidRPr="008D7DA8">
        <w:rPr>
          <w:rFonts w:ascii="Lato" w:hAnsi="Lato"/>
        </w:rPr>
        <w:t>Załącznik 1</w:t>
      </w:r>
      <w:r w:rsidR="00E608EF">
        <w:rPr>
          <w:rFonts w:ascii="Lato" w:hAnsi="Lato"/>
        </w:rPr>
        <w:tab/>
      </w:r>
      <w:r w:rsidRPr="008D7DA8">
        <w:rPr>
          <w:rFonts w:ascii="Lato" w:hAnsi="Lato"/>
        </w:rPr>
        <w:t>Lista budynków użyteczności publicznej</w:t>
      </w:r>
    </w:p>
    <w:p w:rsidR="0003431E" w:rsidRPr="008D7DA8" w:rsidRDefault="00E608EF" w:rsidP="00601928">
      <w:pPr>
        <w:ind w:firstLine="0"/>
        <w:jc w:val="both"/>
        <w:rPr>
          <w:rFonts w:ascii="Lato" w:hAnsi="Lato"/>
        </w:rPr>
      </w:pPr>
      <w:r>
        <w:rPr>
          <w:rFonts w:ascii="Lato" w:hAnsi="Lato"/>
        </w:rPr>
        <w:t>Załącznik 2</w:t>
      </w:r>
      <w:r>
        <w:rPr>
          <w:rFonts w:ascii="Lato" w:hAnsi="Lato"/>
        </w:rPr>
        <w:tab/>
      </w:r>
      <w:r w:rsidR="0003431E" w:rsidRPr="008D7DA8">
        <w:rPr>
          <w:rFonts w:ascii="Lato" w:hAnsi="Lato"/>
        </w:rPr>
        <w:t>Mapa sieci wysokich i średnich napięć eksploatowanych przez PGE Dystrybucja S.A.</w:t>
      </w:r>
    </w:p>
    <w:p w:rsidR="00601928" w:rsidRPr="008D7DA8" w:rsidRDefault="00601928" w:rsidP="00601928">
      <w:pPr>
        <w:ind w:firstLine="0"/>
        <w:jc w:val="both"/>
        <w:rPr>
          <w:rFonts w:ascii="Lato" w:hAnsi="Lato"/>
        </w:rPr>
      </w:pPr>
      <w:r w:rsidRPr="008D7DA8">
        <w:rPr>
          <w:rFonts w:ascii="Lato" w:hAnsi="Lato"/>
        </w:rPr>
        <w:t xml:space="preserve">Załącznik </w:t>
      </w:r>
      <w:r w:rsidR="008835DA" w:rsidRPr="008D7DA8">
        <w:rPr>
          <w:rFonts w:ascii="Lato" w:hAnsi="Lato"/>
        </w:rPr>
        <w:t>3</w:t>
      </w:r>
      <w:r w:rsidR="00E608EF">
        <w:rPr>
          <w:rFonts w:ascii="Lato" w:hAnsi="Lato"/>
        </w:rPr>
        <w:tab/>
      </w:r>
      <w:r w:rsidRPr="008D7DA8">
        <w:rPr>
          <w:rFonts w:ascii="Lato" w:hAnsi="Lato"/>
        </w:rPr>
        <w:t xml:space="preserve">Wykaz stacji transformatorowych zlokalizowanych na terenie Gminy </w:t>
      </w:r>
      <w:r w:rsidR="008D7DA8" w:rsidRPr="008D7DA8">
        <w:rPr>
          <w:rFonts w:ascii="Lato" w:hAnsi="Lato"/>
        </w:rPr>
        <w:t>Pabianice</w:t>
      </w:r>
      <w:r w:rsidRPr="008D7DA8">
        <w:rPr>
          <w:rFonts w:ascii="Lato" w:hAnsi="Lato"/>
        </w:rPr>
        <w:t xml:space="preserve"> </w:t>
      </w:r>
      <w:r w:rsidR="00E608EF">
        <w:rPr>
          <w:rFonts w:ascii="Lato" w:hAnsi="Lato"/>
        </w:rPr>
        <w:tab/>
      </w:r>
      <w:r w:rsidR="00E608EF">
        <w:rPr>
          <w:rFonts w:ascii="Lato" w:hAnsi="Lato"/>
        </w:rPr>
        <w:tab/>
      </w:r>
      <w:r w:rsidR="00E608EF">
        <w:rPr>
          <w:rFonts w:ascii="Lato" w:hAnsi="Lato"/>
        </w:rPr>
        <w:tab/>
      </w:r>
      <w:r w:rsidR="008D7DA8" w:rsidRPr="008D7DA8">
        <w:rPr>
          <w:rFonts w:ascii="Lato" w:hAnsi="Lato"/>
        </w:rPr>
        <w:t>eksploatowane przez PGE Dystrybucja S.A.</w:t>
      </w:r>
    </w:p>
    <w:p w:rsidR="00B10964" w:rsidRDefault="004D33AF" w:rsidP="00601928">
      <w:pPr>
        <w:ind w:firstLine="0"/>
        <w:jc w:val="both"/>
        <w:rPr>
          <w:rFonts w:ascii="Lato" w:hAnsi="Lato"/>
        </w:rPr>
      </w:pPr>
      <w:r w:rsidRPr="008D7DA8">
        <w:rPr>
          <w:rFonts w:ascii="Lato" w:hAnsi="Lato"/>
        </w:rPr>
        <w:t xml:space="preserve">Załącznik </w:t>
      </w:r>
      <w:r w:rsidR="0003431E" w:rsidRPr="008D7DA8">
        <w:rPr>
          <w:rFonts w:ascii="Lato" w:hAnsi="Lato"/>
        </w:rPr>
        <w:t>4</w:t>
      </w:r>
      <w:r w:rsidR="00E608EF">
        <w:rPr>
          <w:rFonts w:ascii="Lato" w:hAnsi="Lato"/>
        </w:rPr>
        <w:tab/>
      </w:r>
      <w:r w:rsidRPr="008D7DA8">
        <w:rPr>
          <w:rFonts w:ascii="Lato" w:hAnsi="Lato"/>
        </w:rPr>
        <w:t>Mapa poglądowa przebiegu gazociągów wysokiego</w:t>
      </w:r>
      <w:r w:rsidR="0003431E" w:rsidRPr="008D7DA8">
        <w:rPr>
          <w:rFonts w:ascii="Lato" w:hAnsi="Lato"/>
        </w:rPr>
        <w:t xml:space="preserve"> i średniego</w:t>
      </w:r>
      <w:r w:rsidRPr="008D7DA8">
        <w:rPr>
          <w:rFonts w:ascii="Lato" w:hAnsi="Lato"/>
        </w:rPr>
        <w:t xml:space="preserve"> ciśnienia na terenie </w:t>
      </w:r>
      <w:r w:rsidR="00E608EF">
        <w:rPr>
          <w:rFonts w:ascii="Lato" w:hAnsi="Lato"/>
        </w:rPr>
        <w:tab/>
      </w:r>
      <w:r w:rsidR="00E608EF">
        <w:rPr>
          <w:rFonts w:ascii="Lato" w:hAnsi="Lato"/>
        </w:rPr>
        <w:tab/>
      </w:r>
      <w:r w:rsidRPr="008D7DA8">
        <w:rPr>
          <w:rFonts w:ascii="Lato" w:hAnsi="Lato"/>
        </w:rPr>
        <w:t xml:space="preserve">Gminy </w:t>
      </w:r>
      <w:r w:rsidR="0003431E" w:rsidRPr="008D7DA8">
        <w:rPr>
          <w:rFonts w:ascii="Lato" w:hAnsi="Lato"/>
        </w:rPr>
        <w:t>Pabianice</w:t>
      </w:r>
      <w:r w:rsidR="00C94A8A" w:rsidRPr="008D7DA8">
        <w:rPr>
          <w:rFonts w:ascii="Lato" w:hAnsi="Lato"/>
        </w:rPr>
        <w:t xml:space="preserve"> – </w:t>
      </w:r>
      <w:r w:rsidR="0003431E" w:rsidRPr="008D7DA8">
        <w:rPr>
          <w:rFonts w:ascii="Lato" w:hAnsi="Lato"/>
        </w:rPr>
        <w:t>Polska Spó</w:t>
      </w:r>
      <w:r w:rsidR="008D7DA8" w:rsidRPr="008D7DA8">
        <w:rPr>
          <w:rFonts w:ascii="Lato" w:hAnsi="Lato"/>
        </w:rPr>
        <w:t>ł</w:t>
      </w:r>
      <w:r w:rsidR="0003431E" w:rsidRPr="008D7DA8">
        <w:rPr>
          <w:rFonts w:ascii="Lato" w:hAnsi="Lato"/>
        </w:rPr>
        <w:t>ka Gazownictwa Sp. z o.o.</w:t>
      </w:r>
    </w:p>
    <w:p w:rsidR="0063660B" w:rsidRPr="008D7DA8" w:rsidRDefault="0063660B" w:rsidP="00601928">
      <w:pPr>
        <w:ind w:firstLine="0"/>
        <w:jc w:val="both"/>
        <w:rPr>
          <w:rFonts w:ascii="Lato" w:hAnsi="Lato"/>
        </w:rPr>
      </w:pPr>
      <w:r w:rsidRPr="008D7DA8">
        <w:rPr>
          <w:rFonts w:ascii="Lato" w:hAnsi="Lato"/>
        </w:rPr>
        <w:t xml:space="preserve">Załącznik </w:t>
      </w:r>
      <w:r>
        <w:rPr>
          <w:rFonts w:ascii="Lato" w:hAnsi="Lato"/>
        </w:rPr>
        <w:t>5</w:t>
      </w:r>
      <w:r w:rsidR="00E608EF">
        <w:rPr>
          <w:rFonts w:ascii="Lato" w:hAnsi="Lato"/>
        </w:rPr>
        <w:tab/>
      </w:r>
      <w:r>
        <w:rPr>
          <w:rFonts w:ascii="Lato" w:hAnsi="Lato"/>
        </w:rPr>
        <w:t xml:space="preserve">Lokalizacja linii elektroenergetycznych 220 kV na terenie Gminy Pabianice </w:t>
      </w:r>
      <w:r w:rsidR="00E608EF">
        <w:rPr>
          <w:rFonts w:ascii="Lato" w:hAnsi="Lato"/>
        </w:rPr>
        <w:tab/>
      </w:r>
      <w:r w:rsidR="00E608EF">
        <w:rPr>
          <w:rFonts w:ascii="Lato" w:hAnsi="Lato"/>
        </w:rPr>
        <w:tab/>
      </w:r>
      <w:r w:rsidR="00E608EF">
        <w:rPr>
          <w:rFonts w:ascii="Lato" w:hAnsi="Lato"/>
        </w:rPr>
        <w:tab/>
      </w:r>
      <w:r>
        <w:rPr>
          <w:rFonts w:ascii="Lato" w:hAnsi="Lato"/>
        </w:rPr>
        <w:t>eksploatowanych przez Polskie Sieci Elektroenergetyczne S.A.</w:t>
      </w:r>
    </w:p>
    <w:p w:rsidR="00E608EF" w:rsidRDefault="00B10964" w:rsidP="00601928">
      <w:pPr>
        <w:ind w:firstLine="0"/>
        <w:jc w:val="both"/>
        <w:rPr>
          <w:rFonts w:ascii="Lato" w:hAnsi="Lato"/>
        </w:rPr>
      </w:pPr>
      <w:r w:rsidRPr="008D7DA8">
        <w:rPr>
          <w:rFonts w:ascii="Lato" w:hAnsi="Lato"/>
        </w:rPr>
        <w:t xml:space="preserve">Załącznik </w:t>
      </w:r>
      <w:r w:rsidR="0063660B">
        <w:rPr>
          <w:rFonts w:ascii="Lato" w:hAnsi="Lato"/>
        </w:rPr>
        <w:t>6</w:t>
      </w:r>
      <w:r w:rsidR="00E608EF">
        <w:rPr>
          <w:rFonts w:ascii="Lato" w:hAnsi="Lato"/>
        </w:rPr>
        <w:tab/>
      </w:r>
      <w:r w:rsidR="0003431E" w:rsidRPr="008D7DA8">
        <w:rPr>
          <w:rFonts w:ascii="Lato" w:hAnsi="Lato"/>
        </w:rPr>
        <w:t xml:space="preserve">Działania naprawcze zgodnie z Uchwałą Zarządu Województwa Łódzkiego Nr 1128/18 </w:t>
      </w:r>
      <w:r w:rsidR="00E608EF">
        <w:rPr>
          <w:rFonts w:ascii="Lato" w:hAnsi="Lato"/>
        </w:rPr>
        <w:tab/>
      </w:r>
      <w:r w:rsidR="00E608EF">
        <w:rPr>
          <w:rFonts w:ascii="Lato" w:hAnsi="Lato"/>
        </w:rPr>
        <w:tab/>
      </w:r>
      <w:r w:rsidR="0003431E" w:rsidRPr="008D7DA8">
        <w:rPr>
          <w:rFonts w:ascii="Lato" w:hAnsi="Lato"/>
        </w:rPr>
        <w:t xml:space="preserve">z dnia 13 sierpnia 2018 roku w sprawie przyjęcia, przekazania do zaopiniowania oraz </w:t>
      </w:r>
      <w:r w:rsidR="00E608EF">
        <w:rPr>
          <w:rFonts w:ascii="Lato" w:hAnsi="Lato"/>
        </w:rPr>
        <w:tab/>
      </w:r>
      <w:r w:rsidR="00E608EF">
        <w:rPr>
          <w:rFonts w:ascii="Lato" w:hAnsi="Lato"/>
        </w:rPr>
        <w:tab/>
      </w:r>
      <w:r w:rsidR="0003431E" w:rsidRPr="008D7DA8">
        <w:rPr>
          <w:rFonts w:ascii="Lato" w:hAnsi="Lato"/>
        </w:rPr>
        <w:t>udostępnienia społeczeństwu projektu uchwały S</w:t>
      </w:r>
      <w:r w:rsidR="00E608EF">
        <w:rPr>
          <w:rFonts w:ascii="Lato" w:hAnsi="Lato"/>
        </w:rPr>
        <w:t xml:space="preserve">ejmiku Województwa Łódzkiego </w:t>
      </w:r>
    </w:p>
    <w:p w:rsidR="00B10964" w:rsidRPr="008D7DA8" w:rsidRDefault="00E608EF" w:rsidP="00601928">
      <w:pPr>
        <w:ind w:firstLine="0"/>
        <w:jc w:val="both"/>
        <w:rPr>
          <w:rFonts w:ascii="Lato" w:hAnsi="Lato"/>
        </w:rPr>
      </w:pPr>
      <w:r>
        <w:rPr>
          <w:rFonts w:ascii="Lato" w:hAnsi="Lato"/>
        </w:rPr>
        <w:tab/>
      </w:r>
      <w:r>
        <w:rPr>
          <w:rFonts w:ascii="Lato" w:hAnsi="Lato"/>
        </w:rPr>
        <w:tab/>
        <w:t xml:space="preserve">„w </w:t>
      </w:r>
      <w:r w:rsidR="0003431E" w:rsidRPr="008D7DA8">
        <w:rPr>
          <w:rFonts w:ascii="Lato" w:hAnsi="Lato"/>
        </w:rPr>
        <w:t xml:space="preserve">sprawie aktualizacji i zmiany programu ochrony powietrza oraz planu działań </w:t>
      </w:r>
      <w:r>
        <w:rPr>
          <w:rFonts w:ascii="Lato" w:hAnsi="Lato"/>
        </w:rPr>
        <w:tab/>
      </w:r>
      <w:r>
        <w:rPr>
          <w:rFonts w:ascii="Lato" w:hAnsi="Lato"/>
        </w:rPr>
        <w:tab/>
      </w:r>
      <w:r>
        <w:rPr>
          <w:rFonts w:ascii="Lato" w:hAnsi="Lato"/>
        </w:rPr>
        <w:tab/>
      </w:r>
      <w:r w:rsidR="0003431E" w:rsidRPr="008D7DA8">
        <w:rPr>
          <w:rFonts w:ascii="Lato" w:hAnsi="Lato"/>
        </w:rPr>
        <w:t>krótkoterminowych dla strefy łódzkiej”</w:t>
      </w:r>
    </w:p>
    <w:p w:rsidR="00601928" w:rsidRPr="001B37C7" w:rsidRDefault="00601928" w:rsidP="00601928">
      <w:pPr>
        <w:ind w:firstLine="0"/>
        <w:jc w:val="both"/>
        <w:rPr>
          <w:rFonts w:ascii="Lato" w:hAnsi="Lato"/>
        </w:rPr>
      </w:pPr>
      <w:r w:rsidRPr="008D7DA8">
        <w:rPr>
          <w:rFonts w:ascii="Lato" w:hAnsi="Lato"/>
        </w:rPr>
        <w:t xml:space="preserve">Załącznik </w:t>
      </w:r>
      <w:r w:rsidR="0063660B">
        <w:rPr>
          <w:rFonts w:ascii="Lato" w:hAnsi="Lato"/>
        </w:rPr>
        <w:t>7</w:t>
      </w:r>
      <w:r w:rsidR="00E608EF">
        <w:rPr>
          <w:rFonts w:ascii="Lato" w:hAnsi="Lato"/>
        </w:rPr>
        <w:tab/>
      </w:r>
      <w:r w:rsidRPr="008D7DA8">
        <w:rPr>
          <w:rFonts w:ascii="Lato" w:hAnsi="Lato"/>
        </w:rPr>
        <w:t>Odpowiedzi od gmin ościennych</w:t>
      </w:r>
    </w:p>
    <w:p w:rsidR="00D24EC9" w:rsidRPr="001B37C7" w:rsidRDefault="00D24EC9" w:rsidP="00601928">
      <w:pPr>
        <w:ind w:firstLine="0"/>
        <w:jc w:val="both"/>
        <w:rPr>
          <w:rFonts w:ascii="Lato" w:hAnsi="Lato"/>
        </w:rPr>
      </w:pPr>
    </w:p>
    <w:sectPr w:rsidR="00D24EC9" w:rsidRPr="001B37C7" w:rsidSect="00D0655E">
      <w:headerReference w:type="default" r:id="rId112"/>
      <w:pgSz w:w="11907" w:h="16840" w:code="9"/>
      <w:pgMar w:top="1418" w:right="1021" w:bottom="992" w:left="1021" w:header="709" w:footer="68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C70" w:rsidRDefault="00755C70">
      <w:r>
        <w:separator/>
      </w:r>
    </w:p>
  </w:endnote>
  <w:endnote w:type="continuationSeparator" w:id="0">
    <w:p w:rsidR="00755C70" w:rsidRDefault="00755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legro B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Arabic Typesetting">
    <w:charset w:val="EE"/>
    <w:family w:val="script"/>
    <w:pitch w:val="variable"/>
    <w:sig w:usb0="A000206F" w:usb1="C0000000" w:usb2="00000008" w:usb3="00000000" w:csb0="000000D3" w:csb1="00000000"/>
  </w:font>
  <w:font w:name="@MingLiU-ExtB">
    <w:panose1 w:val="02020500000000000000"/>
    <w:charset w:val="88"/>
    <w:family w:val="roman"/>
    <w:pitch w:val="variable"/>
    <w:sig w:usb0="8000002F" w:usb1="0A080008" w:usb2="00000010" w:usb3="00000000" w:csb0="00100001"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00000001" w:usb1="5000ECF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rbel">
    <w:panose1 w:val="020B0503020204020204"/>
    <w:charset w:val="EE"/>
    <w:family w:val="swiss"/>
    <w:pitch w:val="variable"/>
    <w:sig w:usb0="A00002EF" w:usb1="4000A44B" w:usb2="00000000" w:usb3="00000000" w:csb0="0000019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AD" w:rsidRDefault="002B07AD">
    <w:pPr>
      <w:pStyle w:val="Stopka"/>
      <w:jc w:val="center"/>
    </w:pPr>
  </w:p>
  <w:p w:rsidR="002B07AD" w:rsidRDefault="002B07A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AD" w:rsidRDefault="002B07AD">
    <w:pPr>
      <w:pStyle w:val="Stopka"/>
      <w:jc w:val="right"/>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AD" w:rsidRDefault="002B07AD" w:rsidP="00AF4EF7">
    <w:pPr>
      <w:pStyle w:val="Stopka"/>
      <w:ind w:firstLine="0"/>
      <w:jc w:val="center"/>
    </w:pPr>
    <w:r>
      <w:fldChar w:fldCharType="begin"/>
    </w:r>
    <w:r>
      <w:instrText>PAGE   \* MERGEFORMAT</w:instrText>
    </w:r>
    <w:r>
      <w:fldChar w:fldCharType="separate"/>
    </w:r>
    <w:r w:rsidR="00C2066D">
      <w:rPr>
        <w:noProof/>
      </w:rPr>
      <w:t>17</w:t>
    </w:r>
    <w:r>
      <w:fldChar w:fldCharType="end"/>
    </w:r>
  </w:p>
  <w:p w:rsidR="002B07AD" w:rsidRDefault="002B07A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AD" w:rsidRDefault="002B07AD">
    <w:pPr>
      <w:pStyle w:val="Stopka"/>
      <w:jc w:val="right"/>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AD" w:rsidRPr="009730D2" w:rsidRDefault="002B07AD" w:rsidP="000A40CE">
    <w:pPr>
      <w:pStyle w:val="Stopka"/>
      <w:ind w:firstLine="0"/>
      <w:jc w:val="center"/>
      <w:rPr>
        <w:rFonts w:ascii="Lato" w:hAnsi="Lato"/>
      </w:rPr>
    </w:pPr>
    <w:r w:rsidRPr="009730D2">
      <w:rPr>
        <w:rFonts w:ascii="Lato" w:hAnsi="Lato"/>
      </w:rPr>
      <w:fldChar w:fldCharType="begin"/>
    </w:r>
    <w:r w:rsidRPr="009730D2">
      <w:rPr>
        <w:rFonts w:ascii="Lato" w:hAnsi="Lato"/>
      </w:rPr>
      <w:instrText>PAGE   \* MERGEFORMAT</w:instrText>
    </w:r>
    <w:r w:rsidRPr="009730D2">
      <w:rPr>
        <w:rFonts w:ascii="Lato" w:hAnsi="Lato"/>
      </w:rPr>
      <w:fldChar w:fldCharType="separate"/>
    </w:r>
    <w:r w:rsidR="00C2066D">
      <w:rPr>
        <w:rFonts w:ascii="Lato" w:hAnsi="Lato"/>
        <w:noProof/>
      </w:rPr>
      <w:t>87</w:t>
    </w:r>
    <w:r w:rsidRPr="009730D2">
      <w:rPr>
        <w:rFonts w:ascii="Lato" w:hAnsi="Lato"/>
      </w:rPr>
      <w:fldChar w:fldCharType="end"/>
    </w:r>
  </w:p>
  <w:p w:rsidR="002B07AD" w:rsidRDefault="002B07AD" w:rsidP="00673762">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C70" w:rsidRDefault="00755C70">
      <w:r>
        <w:separator/>
      </w:r>
    </w:p>
  </w:footnote>
  <w:footnote w:type="continuationSeparator" w:id="0">
    <w:p w:rsidR="00755C70" w:rsidRDefault="00755C70">
      <w:r>
        <w:continuationSeparator/>
      </w:r>
    </w:p>
  </w:footnote>
  <w:footnote w:id="1">
    <w:p w:rsidR="002B07AD" w:rsidRPr="00DA35BE" w:rsidRDefault="002B07AD" w:rsidP="00DA35BE">
      <w:pPr>
        <w:pStyle w:val="Tekstprzypisudolnego"/>
        <w:ind w:firstLine="0"/>
        <w:jc w:val="both"/>
        <w:rPr>
          <w:rFonts w:ascii="Times New Roman" w:hAnsi="Times New Roman"/>
          <w:sz w:val="18"/>
          <w:szCs w:val="18"/>
        </w:rPr>
      </w:pPr>
      <w:r w:rsidRPr="00DA35BE">
        <w:rPr>
          <w:rStyle w:val="Odwoanieprzypisudolnego"/>
          <w:rFonts w:ascii="Times New Roman" w:hAnsi="Times New Roman"/>
          <w:sz w:val="18"/>
          <w:szCs w:val="18"/>
        </w:rPr>
        <w:footnoteRef/>
      </w:r>
      <w:r w:rsidRPr="00DA35BE">
        <w:rPr>
          <w:rFonts w:ascii="Times New Roman" w:hAnsi="Times New Roman"/>
          <w:sz w:val="18"/>
          <w:szCs w:val="18"/>
        </w:rPr>
        <w:t xml:space="preserve"> bezpieczeństwo energetyczne - zapewnienie środków i możliwości efektywnego wytwarzania, przesyłania i dystrybucji energii odbiorcom, w sposób technicznie i ekonomicznie uzasadniony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AD" w:rsidRPr="00207400" w:rsidRDefault="002B07AD" w:rsidP="00311ED4">
    <w:pPr>
      <w:spacing w:line="240" w:lineRule="auto"/>
      <w:ind w:firstLine="0"/>
      <w:jc w:val="center"/>
      <w:rPr>
        <w:rFonts w:ascii="Lato" w:hAnsi="Lato"/>
        <w:color w:val="365F91"/>
        <w:spacing w:val="20"/>
        <w:sz w:val="20"/>
        <w:szCs w:val="18"/>
      </w:rPr>
    </w:pPr>
    <w:r w:rsidRPr="00207400">
      <w:rPr>
        <w:rFonts w:ascii="Lato" w:hAnsi="Lato"/>
        <w:color w:val="365F91"/>
        <w:spacing w:val="20"/>
        <w:sz w:val="20"/>
        <w:szCs w:val="18"/>
      </w:rPr>
      <w:t xml:space="preserve">Aktualizacja założeń do planu zaopatrzenia w ciepło energię elektryczną i paliwa gazowe </w:t>
    </w:r>
  </w:p>
  <w:p w:rsidR="002B07AD" w:rsidRPr="00207400" w:rsidRDefault="002B07AD" w:rsidP="00311ED4">
    <w:pPr>
      <w:spacing w:line="240" w:lineRule="auto"/>
      <w:ind w:firstLine="0"/>
      <w:jc w:val="center"/>
      <w:rPr>
        <w:rFonts w:ascii="Lato" w:hAnsi="Lato"/>
        <w:color w:val="365F91"/>
        <w:spacing w:val="20"/>
        <w:sz w:val="20"/>
        <w:szCs w:val="18"/>
      </w:rPr>
    </w:pPr>
    <w:r w:rsidRPr="00207400">
      <w:rPr>
        <w:rFonts w:ascii="Lato" w:hAnsi="Lato"/>
        <w:color w:val="365F91"/>
        <w:spacing w:val="20"/>
        <w:sz w:val="20"/>
        <w:szCs w:val="18"/>
      </w:rPr>
      <w:t>dla Gminy Pabianice</w:t>
    </w:r>
  </w:p>
  <w:p w:rsidR="002B07AD" w:rsidRDefault="002B07AD" w:rsidP="00F80846">
    <w:pPr>
      <w:pStyle w:val="Nagwek"/>
    </w:pPr>
    <w:r>
      <w:rPr>
        <w:rFonts w:cs="Arial"/>
        <w:noProof/>
        <w:color w:val="365F91"/>
        <w:sz w:val="18"/>
        <w:szCs w:val="18"/>
      </w:rPr>
      <mc:AlternateContent>
        <mc:Choice Requires="wps">
          <w:drawing>
            <wp:anchor distT="4294967294" distB="4294967294" distL="114300" distR="114300" simplePos="0" relativeHeight="251656192" behindDoc="0" locked="0" layoutInCell="1" allowOverlap="1" wp14:anchorId="796728A9" wp14:editId="058FCD11">
              <wp:simplePos x="0" y="0"/>
              <wp:positionH relativeFrom="column">
                <wp:posOffset>-20320</wp:posOffset>
              </wp:positionH>
              <wp:positionV relativeFrom="paragraph">
                <wp:posOffset>15239</wp:posOffset>
              </wp:positionV>
              <wp:extent cx="9182100" cy="0"/>
              <wp:effectExtent l="0" t="0" r="19050" b="19050"/>
              <wp:wrapNone/>
              <wp:docPr id="9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2100" cy="0"/>
                      </a:xfrm>
                      <a:prstGeom prst="line">
                        <a:avLst/>
                      </a:prstGeom>
                      <a:noFill/>
                      <a:ln w="63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E66C5" id="Line 8"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pt,1.2pt" to="721.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" strokecolor="#365f91" strokeweight=".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AD" w:rsidRPr="006F1764" w:rsidRDefault="002B07AD" w:rsidP="006F1764">
    <w:pPr>
      <w:spacing w:line="240" w:lineRule="auto"/>
      <w:ind w:firstLine="0"/>
      <w:jc w:val="center"/>
      <w:rPr>
        <w:rFonts w:ascii="Lato" w:hAnsi="Lato"/>
        <w:color w:val="365F91"/>
        <w:spacing w:val="20"/>
        <w:sz w:val="20"/>
        <w:szCs w:val="18"/>
      </w:rPr>
    </w:pPr>
    <w:r>
      <w:rPr>
        <w:rFonts w:ascii="Lato" w:hAnsi="Lato"/>
        <w:noProof/>
        <w:color w:val="365F91"/>
        <w:spacing w:val="20"/>
        <w:sz w:val="20"/>
        <w:szCs w:val="18"/>
      </w:rPr>
      <mc:AlternateContent>
        <mc:Choice Requires="wps">
          <w:drawing>
            <wp:anchor distT="4294967294" distB="4294967294" distL="114300" distR="114300" simplePos="0" relativeHeight="251657216" behindDoc="0" locked="0" layoutInCell="1" allowOverlap="1" wp14:anchorId="1B6A77DE" wp14:editId="5E852E2D">
              <wp:simplePos x="0" y="0"/>
              <wp:positionH relativeFrom="column">
                <wp:posOffset>-20320</wp:posOffset>
              </wp:positionH>
              <wp:positionV relativeFrom="paragraph">
                <wp:posOffset>348615</wp:posOffset>
              </wp:positionV>
              <wp:extent cx="6000750" cy="0"/>
              <wp:effectExtent l="0" t="0" r="19050" b="1905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63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27E4B" id="Line 8"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pt,27.45pt" to="470.9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" strokecolor="#365f91" strokeweight=".5pt"/>
          </w:pict>
        </mc:Fallback>
      </mc:AlternateContent>
    </w:r>
    <w:r w:rsidRPr="001B37C7">
      <w:rPr>
        <w:rFonts w:ascii="Lato" w:hAnsi="Lato"/>
        <w:color w:val="365F91"/>
        <w:spacing w:val="20"/>
        <w:sz w:val="20"/>
        <w:szCs w:val="18"/>
      </w:rPr>
      <w:t>Aktualizacja założeń do planu zaopatrzenia w ciepło energię elektryczną i paliwa gazowe dla Gminy Pabianice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AD" w:rsidRDefault="002B07AD" w:rsidP="005A356D">
    <w:pPr>
      <w:spacing w:line="240" w:lineRule="auto"/>
      <w:ind w:firstLine="0"/>
      <w:jc w:val="center"/>
      <w:rPr>
        <w:rFonts w:ascii="Lato" w:hAnsi="Lato"/>
        <w:color w:val="365F91"/>
        <w:spacing w:val="20"/>
        <w:sz w:val="20"/>
        <w:szCs w:val="18"/>
      </w:rPr>
    </w:pPr>
    <w:r w:rsidRPr="001B37C7">
      <w:rPr>
        <w:rFonts w:ascii="Lato" w:hAnsi="Lato"/>
        <w:color w:val="365F91"/>
        <w:spacing w:val="20"/>
        <w:sz w:val="20"/>
        <w:szCs w:val="18"/>
      </w:rPr>
      <w:t xml:space="preserve">Aktualizacja założeń do planu zaopatrzenia w ciepło energię elektryczną i paliwa gazowe </w:t>
    </w:r>
    <w:r>
      <w:rPr>
        <w:rFonts w:ascii="Lato" w:hAnsi="Lato" w:cs="Arial"/>
        <w:noProof/>
        <w:color w:val="365F91"/>
        <w:sz w:val="20"/>
        <w:szCs w:val="18"/>
      </w:rPr>
      <mc:AlternateContent>
        <mc:Choice Requires="wps">
          <w:drawing>
            <wp:anchor distT="4294967294" distB="4294967294" distL="114300" distR="114300" simplePos="0" relativeHeight="251658240" behindDoc="0" locked="0" layoutInCell="1" allowOverlap="1" wp14:anchorId="36496CD5" wp14:editId="39E10437">
              <wp:simplePos x="0" y="0"/>
              <wp:positionH relativeFrom="column">
                <wp:posOffset>-20320</wp:posOffset>
              </wp:positionH>
              <wp:positionV relativeFrom="paragraph">
                <wp:posOffset>178434</wp:posOffset>
              </wp:positionV>
              <wp:extent cx="9244330" cy="0"/>
              <wp:effectExtent l="0" t="0" r="13970" b="19050"/>
              <wp:wrapNone/>
              <wp:docPr id="3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44330" cy="0"/>
                      </a:xfrm>
                      <a:prstGeom prst="line">
                        <a:avLst/>
                      </a:prstGeom>
                      <a:noFill/>
                      <a:ln w="63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6F0CC" id="Line 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pt,14.05pt" to="726.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" strokecolor="#365f91" strokeweight=".5pt"/>
          </w:pict>
        </mc:Fallback>
      </mc:AlternateContent>
    </w:r>
    <w:r w:rsidRPr="001B37C7">
      <w:rPr>
        <w:rFonts w:ascii="Lato" w:hAnsi="Lato"/>
        <w:color w:val="365F91"/>
        <w:spacing w:val="20"/>
        <w:sz w:val="20"/>
        <w:szCs w:val="18"/>
      </w:rPr>
      <w:t>dla Gminy Pabianice</w:t>
    </w:r>
  </w:p>
  <w:p w:rsidR="002B07AD" w:rsidRPr="008F3D61" w:rsidRDefault="002B07AD" w:rsidP="008F3D61">
    <w:pPr>
      <w:spacing w:before="120"/>
      <w:ind w:firstLine="0"/>
      <w:rPr>
        <w:rFonts w:cs="Arial"/>
        <w:spacing w:val="20"/>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AD" w:rsidRPr="001B37C7" w:rsidRDefault="002B07AD" w:rsidP="005A356D">
    <w:pPr>
      <w:spacing w:line="240" w:lineRule="auto"/>
      <w:ind w:firstLine="0"/>
      <w:jc w:val="center"/>
      <w:rPr>
        <w:rFonts w:ascii="Lato" w:hAnsi="Lato"/>
        <w:color w:val="365F91"/>
        <w:spacing w:val="20"/>
        <w:sz w:val="20"/>
        <w:szCs w:val="18"/>
      </w:rPr>
    </w:pPr>
    <w:r w:rsidRPr="001B37C7">
      <w:rPr>
        <w:rFonts w:ascii="Lato" w:hAnsi="Lato"/>
        <w:color w:val="365F91"/>
        <w:spacing w:val="20"/>
        <w:sz w:val="20"/>
        <w:szCs w:val="18"/>
      </w:rPr>
      <w:t xml:space="preserve">Aktualizacja założeń do planu zaopatrzenia w ciepło energię elektryczną i paliwa gazowe </w:t>
    </w:r>
  </w:p>
  <w:p w:rsidR="002B07AD" w:rsidRDefault="002B07AD" w:rsidP="005A356D">
    <w:pPr>
      <w:spacing w:line="240" w:lineRule="auto"/>
      <w:ind w:firstLine="0"/>
      <w:jc w:val="center"/>
      <w:rPr>
        <w:rFonts w:ascii="Lato" w:hAnsi="Lato"/>
        <w:color w:val="365F91"/>
        <w:spacing w:val="20"/>
        <w:sz w:val="20"/>
        <w:szCs w:val="18"/>
      </w:rPr>
    </w:pPr>
    <w:r>
      <w:rPr>
        <w:rFonts w:ascii="Lato" w:hAnsi="Lato" w:cs="Arial"/>
        <w:noProof/>
        <w:color w:val="365F91"/>
        <w:sz w:val="20"/>
        <w:szCs w:val="18"/>
      </w:rPr>
      <mc:AlternateContent>
        <mc:Choice Requires="wps">
          <w:drawing>
            <wp:anchor distT="4294967295" distB="4294967295" distL="114300" distR="114300" simplePos="0" relativeHeight="251659264" behindDoc="0" locked="0" layoutInCell="1" allowOverlap="1">
              <wp:simplePos x="0" y="0"/>
              <wp:positionH relativeFrom="column">
                <wp:posOffset>-635</wp:posOffset>
              </wp:positionH>
              <wp:positionV relativeFrom="paragraph">
                <wp:posOffset>180340</wp:posOffset>
              </wp:positionV>
              <wp:extent cx="6162675" cy="0"/>
              <wp:effectExtent l="8890" t="8890" r="10160" b="1016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62675" cy="0"/>
                      </a:xfrm>
                      <a:prstGeom prst="line">
                        <a:avLst/>
                      </a:prstGeom>
                      <a:noFill/>
                      <a:ln w="63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B09BC" id="Line 8"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4.2pt" to="485.2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" strokecolor="#365f91" strokeweight=".5pt"/>
          </w:pict>
        </mc:Fallback>
      </mc:AlternateContent>
    </w:r>
    <w:r w:rsidRPr="001B37C7">
      <w:rPr>
        <w:rFonts w:ascii="Lato" w:hAnsi="Lato"/>
        <w:color w:val="365F91"/>
        <w:spacing w:val="20"/>
        <w:sz w:val="20"/>
        <w:szCs w:val="18"/>
      </w:rPr>
      <w:t>dla Gminy Pabianice</w:t>
    </w:r>
  </w:p>
  <w:p w:rsidR="002B07AD" w:rsidRPr="008F3D61" w:rsidRDefault="002B07AD" w:rsidP="008F3D61">
    <w:pPr>
      <w:spacing w:before="120"/>
      <w:ind w:firstLine="0"/>
      <w:rPr>
        <w:rFonts w:cs="Arial"/>
        <w:spacing w:val="20"/>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FC0E266"/>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76F4E164"/>
    <w:lvl w:ilvl="0">
      <w:start w:val="1"/>
      <w:numFmt w:val="decimal"/>
      <w:pStyle w:val="Styl3NEDE"/>
      <w:lvlText w:val="%1."/>
      <w:lvlJc w:val="left"/>
      <w:pPr>
        <w:tabs>
          <w:tab w:val="num" w:pos="360"/>
        </w:tabs>
        <w:ind w:left="360" w:hanging="360"/>
      </w:pPr>
      <w:rPr>
        <w:rFonts w:cs="Times New Roman"/>
      </w:r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rPr>
        <w:sz w:val="20"/>
        <w:szCs w:val="20"/>
      </w:rPr>
    </w:lvl>
  </w:abstractNum>
  <w:abstractNum w:abstractNumId="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4" w15:restartNumberingAfterBreak="0">
    <w:nsid w:val="00FC7C48"/>
    <w:multiLevelType w:val="hybridMultilevel"/>
    <w:tmpl w:val="74A41C7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01F07AF2"/>
    <w:multiLevelType w:val="hybridMultilevel"/>
    <w:tmpl w:val="B93259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25D660B"/>
    <w:multiLevelType w:val="hybridMultilevel"/>
    <w:tmpl w:val="50089792"/>
    <w:lvl w:ilvl="0" w:tplc="FC0266D4">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33730B"/>
    <w:multiLevelType w:val="hybridMultilevel"/>
    <w:tmpl w:val="67604C96"/>
    <w:lvl w:ilvl="0" w:tplc="CDC6AAEC">
      <w:start w:val="1"/>
      <w:numFmt w:val="bullet"/>
      <w:lvlText w:val=""/>
      <w:lvlJc w:val="left"/>
      <w:pPr>
        <w:ind w:left="720" w:hanging="360"/>
      </w:pPr>
      <w:rPr>
        <w:rFonts w:ascii="Symbol" w:hAnsi="Symbol" w:hint="default"/>
      </w:rPr>
    </w:lvl>
    <w:lvl w:ilvl="1" w:tplc="CDC6AAE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C77B3A"/>
    <w:multiLevelType w:val="hybridMultilevel"/>
    <w:tmpl w:val="887EC3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7DF30C9"/>
    <w:multiLevelType w:val="hybridMultilevel"/>
    <w:tmpl w:val="BD6A26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743A23"/>
    <w:multiLevelType w:val="hybridMultilevel"/>
    <w:tmpl w:val="3A5EA8F2"/>
    <w:lvl w:ilvl="0" w:tplc="FC0266D4">
      <w:start w:val="589"/>
      <w:numFmt w:val="bullet"/>
      <w:lvlText w:val=""/>
      <w:lvlJc w:val="left"/>
      <w:pPr>
        <w:tabs>
          <w:tab w:val="num" w:pos="361"/>
        </w:tabs>
        <w:ind w:left="361"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8E7876"/>
    <w:multiLevelType w:val="hybridMultilevel"/>
    <w:tmpl w:val="54221F42"/>
    <w:lvl w:ilvl="0" w:tplc="04150001">
      <w:start w:val="1"/>
      <w:numFmt w:val="bullet"/>
      <w:lvlText w:val=""/>
      <w:lvlJc w:val="left"/>
      <w:pPr>
        <w:tabs>
          <w:tab w:val="num" w:pos="720"/>
        </w:tabs>
        <w:ind w:left="720" w:hanging="360"/>
      </w:pPr>
      <w:rPr>
        <w:rFonts w:ascii="Symbol" w:hAnsi="Symbol" w:hint="default"/>
      </w:rPr>
    </w:lvl>
    <w:lvl w:ilvl="1" w:tplc="04150003">
      <w:start w:val="1989"/>
      <w:numFmt w:val="bullet"/>
      <w:lvlText w:val=""/>
      <w:lvlJc w:val="left"/>
      <w:pPr>
        <w:tabs>
          <w:tab w:val="num" w:pos="1440"/>
        </w:tabs>
        <w:ind w:left="1440" w:hanging="360"/>
      </w:pPr>
      <w:rPr>
        <w:rFonts w:ascii="Symbol" w:eastAsia="Times New Roman" w:hAnsi="Symbol"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B25D3D"/>
    <w:multiLevelType w:val="hybridMultilevel"/>
    <w:tmpl w:val="91063336"/>
    <w:lvl w:ilvl="0" w:tplc="4F70EA9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221924"/>
    <w:multiLevelType w:val="hybridMultilevel"/>
    <w:tmpl w:val="442A8B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FF4426"/>
    <w:multiLevelType w:val="hybridMultilevel"/>
    <w:tmpl w:val="66262644"/>
    <w:lvl w:ilvl="0" w:tplc="FC0266D4">
      <w:start w:val="589"/>
      <w:numFmt w:val="bullet"/>
      <w:lvlText w:val=""/>
      <w:lvlJc w:val="left"/>
      <w:pPr>
        <w:tabs>
          <w:tab w:val="num" w:pos="361"/>
        </w:tabs>
        <w:ind w:left="361"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EE4F59"/>
    <w:multiLevelType w:val="hybridMultilevel"/>
    <w:tmpl w:val="8BA83D6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CA1541"/>
    <w:multiLevelType w:val="hybridMultilevel"/>
    <w:tmpl w:val="10A010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2D52A55"/>
    <w:multiLevelType w:val="hybridMultilevel"/>
    <w:tmpl w:val="7C4274EE"/>
    <w:lvl w:ilvl="0" w:tplc="547C92C4">
      <w:start w:val="3"/>
      <w:numFmt w:val="decimal"/>
      <w:pStyle w:val="Listapunktowana3"/>
      <w:lvlText w:val="%1."/>
      <w:lvlJc w:val="left"/>
      <w:pPr>
        <w:tabs>
          <w:tab w:val="num" w:pos="360"/>
        </w:tabs>
        <w:ind w:left="360" w:hanging="360"/>
      </w:pPr>
      <w:rPr>
        <w:rFonts w:ascii="Arial" w:hAnsi="Arial" w:hint="default"/>
        <w:sz w:val="24"/>
      </w:rPr>
    </w:lvl>
    <w:lvl w:ilvl="1" w:tplc="0AB407C2">
      <w:start w:val="3"/>
      <w:numFmt w:val="decimal"/>
      <w:lvlText w:val="%2."/>
      <w:lvlJc w:val="left"/>
      <w:pPr>
        <w:tabs>
          <w:tab w:val="num" w:pos="1440"/>
        </w:tabs>
        <w:ind w:left="1440" w:hanging="360"/>
      </w:pPr>
      <w:rPr>
        <w:rFonts w:hint="default"/>
      </w:rPr>
    </w:lvl>
    <w:lvl w:ilvl="2" w:tplc="0DD863B6" w:tentative="1">
      <w:start w:val="1"/>
      <w:numFmt w:val="bullet"/>
      <w:lvlText w:val=""/>
      <w:lvlJc w:val="left"/>
      <w:pPr>
        <w:tabs>
          <w:tab w:val="num" w:pos="2160"/>
        </w:tabs>
        <w:ind w:left="2160" w:hanging="360"/>
      </w:pPr>
      <w:rPr>
        <w:rFonts w:ascii="Wingdings" w:hAnsi="Wingdings" w:hint="default"/>
      </w:rPr>
    </w:lvl>
    <w:lvl w:ilvl="3" w:tplc="C136AECE" w:tentative="1">
      <w:start w:val="1"/>
      <w:numFmt w:val="bullet"/>
      <w:lvlText w:val=""/>
      <w:lvlJc w:val="left"/>
      <w:pPr>
        <w:tabs>
          <w:tab w:val="num" w:pos="2880"/>
        </w:tabs>
        <w:ind w:left="2880" w:hanging="360"/>
      </w:pPr>
      <w:rPr>
        <w:rFonts w:ascii="Symbol" w:hAnsi="Symbol" w:hint="default"/>
      </w:rPr>
    </w:lvl>
    <w:lvl w:ilvl="4" w:tplc="C54A2F66" w:tentative="1">
      <w:start w:val="1"/>
      <w:numFmt w:val="bullet"/>
      <w:lvlText w:val="o"/>
      <w:lvlJc w:val="left"/>
      <w:pPr>
        <w:tabs>
          <w:tab w:val="num" w:pos="3600"/>
        </w:tabs>
        <w:ind w:left="3600" w:hanging="360"/>
      </w:pPr>
      <w:rPr>
        <w:rFonts w:ascii="Courier New" w:hAnsi="Courier New" w:hint="default"/>
      </w:rPr>
    </w:lvl>
    <w:lvl w:ilvl="5" w:tplc="D2E08920" w:tentative="1">
      <w:start w:val="1"/>
      <w:numFmt w:val="bullet"/>
      <w:lvlText w:val=""/>
      <w:lvlJc w:val="left"/>
      <w:pPr>
        <w:tabs>
          <w:tab w:val="num" w:pos="4320"/>
        </w:tabs>
        <w:ind w:left="4320" w:hanging="360"/>
      </w:pPr>
      <w:rPr>
        <w:rFonts w:ascii="Wingdings" w:hAnsi="Wingdings" w:hint="default"/>
      </w:rPr>
    </w:lvl>
    <w:lvl w:ilvl="6" w:tplc="323690C6" w:tentative="1">
      <w:start w:val="1"/>
      <w:numFmt w:val="bullet"/>
      <w:lvlText w:val=""/>
      <w:lvlJc w:val="left"/>
      <w:pPr>
        <w:tabs>
          <w:tab w:val="num" w:pos="5040"/>
        </w:tabs>
        <w:ind w:left="5040" w:hanging="360"/>
      </w:pPr>
      <w:rPr>
        <w:rFonts w:ascii="Symbol" w:hAnsi="Symbol" w:hint="default"/>
      </w:rPr>
    </w:lvl>
    <w:lvl w:ilvl="7" w:tplc="8C9A6410" w:tentative="1">
      <w:start w:val="1"/>
      <w:numFmt w:val="bullet"/>
      <w:lvlText w:val="o"/>
      <w:lvlJc w:val="left"/>
      <w:pPr>
        <w:tabs>
          <w:tab w:val="num" w:pos="5760"/>
        </w:tabs>
        <w:ind w:left="5760" w:hanging="360"/>
      </w:pPr>
      <w:rPr>
        <w:rFonts w:ascii="Courier New" w:hAnsi="Courier New" w:hint="default"/>
      </w:rPr>
    </w:lvl>
    <w:lvl w:ilvl="8" w:tplc="335A581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183F94"/>
    <w:multiLevelType w:val="hybridMultilevel"/>
    <w:tmpl w:val="4490C8C2"/>
    <w:lvl w:ilvl="0" w:tplc="6352C08C">
      <w:start w:val="1"/>
      <w:numFmt w:val="bullet"/>
      <w:lvlText w:val=""/>
      <w:lvlJc w:val="left"/>
      <w:pPr>
        <w:tabs>
          <w:tab w:val="num" w:pos="720"/>
        </w:tabs>
        <w:ind w:left="720" w:hanging="360"/>
      </w:pPr>
      <w:rPr>
        <w:rFonts w:ascii="Symbol" w:hAnsi="Symbol" w:hint="default"/>
        <w:color w:val="FFFFFF"/>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B35FEF"/>
    <w:multiLevelType w:val="hybridMultilevel"/>
    <w:tmpl w:val="50F890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906C2B"/>
    <w:multiLevelType w:val="hybridMultilevel"/>
    <w:tmpl w:val="4BBE5058"/>
    <w:lvl w:ilvl="0" w:tplc="F95CD1AE">
      <w:numFmt w:val="bullet"/>
      <w:lvlText w:val="-"/>
      <w:lvlJc w:val="left"/>
      <w:pPr>
        <w:tabs>
          <w:tab w:val="num" w:pos="720"/>
        </w:tabs>
        <w:ind w:left="720" w:hanging="360"/>
      </w:pPr>
      <w:rPr>
        <w:rFonts w:ascii="Arial" w:eastAsia="Arabic Typesetting" w:hAnsi="Arial" w:cs="Arial" w:hint="default"/>
      </w:rPr>
    </w:lvl>
    <w:lvl w:ilvl="1" w:tplc="E5B4A69C">
      <w:start w:val="1"/>
      <w:numFmt w:val="bullet"/>
      <w:lvlText w:val="-"/>
      <w:lvlJc w:val="left"/>
      <w:pPr>
        <w:tabs>
          <w:tab w:val="num" w:pos="1440"/>
        </w:tabs>
        <w:ind w:left="1440" w:hanging="360"/>
      </w:pPr>
      <w:rPr>
        <w:rFonts w:ascii="@MingLiU-ExtB" w:hAnsi="@MingLiU-ExtB" w:cs="@MingLiU-ExtB"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782CF5"/>
    <w:multiLevelType w:val="hybridMultilevel"/>
    <w:tmpl w:val="A51CA2A2"/>
    <w:lvl w:ilvl="0" w:tplc="0415000F">
      <w:start w:val="1"/>
      <w:numFmt w:val="decimal"/>
      <w:lvlText w:val="%1."/>
      <w:lvlJc w:val="left"/>
      <w:pPr>
        <w:tabs>
          <w:tab w:val="num" w:pos="360"/>
        </w:tabs>
        <w:ind w:left="360" w:hanging="360"/>
      </w:pPr>
    </w:lvl>
    <w:lvl w:ilvl="1" w:tplc="F95CD1AE">
      <w:numFmt w:val="bullet"/>
      <w:lvlText w:val="-"/>
      <w:lvlJc w:val="left"/>
      <w:pPr>
        <w:tabs>
          <w:tab w:val="num" w:pos="1080"/>
        </w:tabs>
        <w:ind w:left="1080" w:hanging="360"/>
      </w:pPr>
      <w:rPr>
        <w:rFonts w:ascii="Arial" w:eastAsia="Arabic Typesetting" w:hAnsi="Arial" w:cs="Arial" w:hint="default"/>
      </w:rPr>
    </w:lvl>
    <w:lvl w:ilvl="2" w:tplc="04150005">
      <w:start w:val="1"/>
      <w:numFmt w:val="bullet"/>
      <w:lvlText w:val=""/>
      <w:lvlJc w:val="left"/>
      <w:pPr>
        <w:tabs>
          <w:tab w:val="num" w:pos="1980"/>
        </w:tabs>
        <w:ind w:left="1980" w:hanging="360"/>
      </w:pPr>
      <w:rPr>
        <w:rFonts w:ascii="Wingdings" w:hAnsi="Wingding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2" w15:restartNumberingAfterBreak="0">
    <w:nsid w:val="18400FBB"/>
    <w:multiLevelType w:val="hybridMultilevel"/>
    <w:tmpl w:val="65A2669C"/>
    <w:lvl w:ilvl="0" w:tplc="04150001">
      <w:start w:val="1"/>
      <w:numFmt w:val="bullet"/>
      <w:lvlText w:val=""/>
      <w:lvlJc w:val="left"/>
      <w:pPr>
        <w:tabs>
          <w:tab w:val="num" w:pos="360"/>
        </w:tabs>
        <w:ind w:left="360" w:hanging="360"/>
      </w:pPr>
      <w:rPr>
        <w:rFonts w:ascii="Symbol" w:hAnsi="Symbol" w:hint="default"/>
      </w:rPr>
    </w:lvl>
    <w:lvl w:ilvl="1" w:tplc="B5F062FC">
      <w:numFmt w:val="bullet"/>
      <w:lvlText w:val="•"/>
      <w:lvlJc w:val="left"/>
      <w:pPr>
        <w:ind w:left="1425" w:hanging="705"/>
      </w:pPr>
      <w:rPr>
        <w:rFonts w:ascii="Times New Roman" w:eastAsia="Times New Roman" w:hAnsi="Times New Roman"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84D7BBF"/>
    <w:multiLevelType w:val="hybridMultilevel"/>
    <w:tmpl w:val="24D690D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18E425BC"/>
    <w:multiLevelType w:val="hybridMultilevel"/>
    <w:tmpl w:val="C544581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CE82BF0"/>
    <w:multiLevelType w:val="hybridMultilevel"/>
    <w:tmpl w:val="A21CAF8E"/>
    <w:lvl w:ilvl="0" w:tplc="83EEBE5C">
      <w:start w:val="1"/>
      <w:numFmt w:val="bullet"/>
      <w:pStyle w:val="StylLegend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E171557"/>
    <w:multiLevelType w:val="hybridMultilevel"/>
    <w:tmpl w:val="FE743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4042E8"/>
    <w:multiLevelType w:val="hybridMultilevel"/>
    <w:tmpl w:val="AAC24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F2039EA"/>
    <w:multiLevelType w:val="hybridMultilevel"/>
    <w:tmpl w:val="ED7EA7B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1E638F"/>
    <w:multiLevelType w:val="hybridMultilevel"/>
    <w:tmpl w:val="7C9A9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0AE6859"/>
    <w:multiLevelType w:val="hybridMultilevel"/>
    <w:tmpl w:val="F9386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1B83645"/>
    <w:multiLevelType w:val="multilevel"/>
    <w:tmpl w:val="5BD8C9E6"/>
    <w:lvl w:ilvl="0">
      <w:start w:val="1"/>
      <w:numFmt w:val="decimal"/>
      <w:pStyle w:val="Nagwek1"/>
      <w:lvlText w:val="%1"/>
      <w:lvlJc w:val="left"/>
      <w:pPr>
        <w:tabs>
          <w:tab w:val="num" w:pos="680"/>
        </w:tabs>
        <w:ind w:left="680" w:hanging="680"/>
      </w:pPr>
      <w:rPr>
        <w:rFonts w:ascii="Tahoma" w:hAnsi="Tahoma" w:cs="Tahoma" w:hint="default"/>
        <w:b/>
        <w:i/>
        <w:sz w:val="32"/>
        <w:szCs w:val="32"/>
      </w:rPr>
    </w:lvl>
    <w:lvl w:ilvl="1">
      <w:start w:val="1"/>
      <w:numFmt w:val="decimal"/>
      <w:lvlText w:val="%1.%2"/>
      <w:lvlJc w:val="left"/>
      <w:pPr>
        <w:tabs>
          <w:tab w:val="num" w:pos="576"/>
        </w:tabs>
        <w:ind w:left="576" w:hanging="576"/>
      </w:pPr>
      <w:rPr>
        <w:rFonts w:ascii="Tahoma" w:hAnsi="Tahoma" w:cs="Tahoma" w:hint="default"/>
        <w:b/>
        <w:i/>
        <w:sz w:val="28"/>
        <w:szCs w:val="28"/>
      </w:rPr>
    </w:lvl>
    <w:lvl w:ilvl="2">
      <w:start w:val="1"/>
      <w:numFmt w:val="decimal"/>
      <w:pStyle w:val="Nagwek3"/>
      <w:lvlText w:val="%1.%2.%3"/>
      <w:lvlJc w:val="left"/>
      <w:pPr>
        <w:tabs>
          <w:tab w:val="num" w:pos="793"/>
        </w:tabs>
        <w:ind w:left="793" w:hanging="793"/>
      </w:pPr>
      <w:rPr>
        <w:rFonts w:ascii="Tahoma" w:hAnsi="Tahoma" w:cs="Tahoma" w:hint="default"/>
        <w:b/>
        <w:i/>
        <w:sz w:val="28"/>
        <w:szCs w:val="24"/>
      </w:rPr>
    </w:lvl>
    <w:lvl w:ilvl="3">
      <w:start w:val="1"/>
      <w:numFmt w:val="decimal"/>
      <w:pStyle w:val="Nagwek4"/>
      <w:lvlText w:val="%1.%2.%3.%4"/>
      <w:lvlJc w:val="left"/>
      <w:pPr>
        <w:tabs>
          <w:tab w:val="num" w:pos="2460"/>
        </w:tabs>
        <w:ind w:left="2460" w:hanging="1020"/>
      </w:pPr>
      <w:rPr>
        <w:rFonts w:ascii="Tahoma" w:hAnsi="Tahoma" w:cs="Tahoma" w:hint="default"/>
        <w:b/>
        <w:i/>
        <w:sz w:val="24"/>
        <w:szCs w:val="24"/>
      </w:rPr>
    </w:lvl>
    <w:lvl w:ilvl="4">
      <w:start w:val="1"/>
      <w:numFmt w:val="decimal"/>
      <w:pStyle w:val="Nagwek5"/>
      <w:lvlText w:val="%1.%2.%3.%4.%5"/>
      <w:lvlJc w:val="left"/>
      <w:pPr>
        <w:tabs>
          <w:tab w:val="num" w:pos="1008"/>
        </w:tabs>
        <w:ind w:left="1008" w:hanging="1008"/>
      </w:pPr>
      <w:rPr>
        <w:rFonts w:hint="default"/>
        <w:b/>
        <w:i/>
        <w:sz w:val="24"/>
        <w:szCs w:val="24"/>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32" w15:restartNumberingAfterBreak="0">
    <w:nsid w:val="23790CA0"/>
    <w:multiLevelType w:val="hybridMultilevel"/>
    <w:tmpl w:val="0ECCF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3FE7EEE"/>
    <w:multiLevelType w:val="hybridMultilevel"/>
    <w:tmpl w:val="741CC072"/>
    <w:lvl w:ilvl="0" w:tplc="A8F6893E">
      <w:start w:val="1"/>
      <w:numFmt w:val="bullet"/>
      <w:lvlText w:val=""/>
      <w:lvlJc w:val="left"/>
      <w:pPr>
        <w:tabs>
          <w:tab w:val="num" w:pos="360"/>
        </w:tabs>
        <w:ind w:left="360" w:hanging="360"/>
      </w:pPr>
      <w:rPr>
        <w:rFonts w:ascii="Symbol" w:hAnsi="Symbol" w:hint="default"/>
      </w:rPr>
    </w:lvl>
    <w:lvl w:ilvl="1" w:tplc="B5F062FC">
      <w:numFmt w:val="bullet"/>
      <w:lvlText w:val="•"/>
      <w:lvlJc w:val="left"/>
      <w:pPr>
        <w:ind w:left="1425" w:hanging="705"/>
      </w:pPr>
      <w:rPr>
        <w:rFonts w:ascii="Times New Roman" w:eastAsia="Times New Roman" w:hAnsi="Times New Roman"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44A73C6"/>
    <w:multiLevelType w:val="hybridMultilevel"/>
    <w:tmpl w:val="3FD6734E"/>
    <w:lvl w:ilvl="0" w:tplc="04150017">
      <w:start w:val="1"/>
      <w:numFmt w:val="lowerLetter"/>
      <w:lvlText w:val="%1)"/>
      <w:lvlJc w:val="left"/>
      <w:pPr>
        <w:ind w:left="1117" w:hanging="360"/>
      </w:pPr>
    </w:lvl>
    <w:lvl w:ilvl="1" w:tplc="04150017">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35" w15:restartNumberingAfterBreak="0">
    <w:nsid w:val="26036A5B"/>
    <w:multiLevelType w:val="hybridMultilevel"/>
    <w:tmpl w:val="33FA7820"/>
    <w:lvl w:ilvl="0" w:tplc="3FB0ACC4">
      <w:start w:val="1"/>
      <w:numFmt w:val="decimal"/>
      <w:lvlText w:val="(%1)"/>
      <w:lvlJc w:val="left"/>
      <w:pPr>
        <w:tabs>
          <w:tab w:val="num" w:pos="397"/>
        </w:tabs>
        <w:ind w:left="397" w:hanging="397"/>
      </w:pPr>
      <w:rPr>
        <w:rFonts w:hint="default"/>
      </w:rPr>
    </w:lvl>
    <w:lvl w:ilvl="1" w:tplc="FA4A717E">
      <w:start w:val="1"/>
      <w:numFmt w:val="bullet"/>
      <w:lvlText w:val=""/>
      <w:lvlJc w:val="left"/>
      <w:pPr>
        <w:tabs>
          <w:tab w:val="num" w:pos="794"/>
        </w:tabs>
        <w:ind w:left="794" w:hanging="397"/>
      </w:pPr>
      <w:rPr>
        <w:rFonts w:ascii="Wingdings" w:hAnsi="Wingdings" w:hint="default"/>
      </w:rPr>
    </w:lvl>
    <w:lvl w:ilvl="2" w:tplc="09B25536">
      <w:start w:val="1"/>
      <w:numFmt w:val="decimal"/>
      <w:lvlText w:val="%3)"/>
      <w:lvlJc w:val="left"/>
      <w:pPr>
        <w:tabs>
          <w:tab w:val="num" w:pos="2377"/>
        </w:tabs>
        <w:ind w:left="2377" w:hanging="360"/>
      </w:pPr>
      <w:rPr>
        <w:rFonts w:hint="default"/>
      </w:rPr>
    </w:lvl>
    <w:lvl w:ilvl="3" w:tplc="0415000F" w:tentative="1">
      <w:start w:val="1"/>
      <w:numFmt w:val="decimal"/>
      <w:lvlText w:val="%4."/>
      <w:lvlJc w:val="left"/>
      <w:pPr>
        <w:tabs>
          <w:tab w:val="num" w:pos="2917"/>
        </w:tabs>
        <w:ind w:left="2917" w:hanging="360"/>
      </w:pPr>
    </w:lvl>
    <w:lvl w:ilvl="4" w:tplc="04150019" w:tentative="1">
      <w:start w:val="1"/>
      <w:numFmt w:val="lowerLetter"/>
      <w:lvlText w:val="%5."/>
      <w:lvlJc w:val="left"/>
      <w:pPr>
        <w:tabs>
          <w:tab w:val="num" w:pos="3637"/>
        </w:tabs>
        <w:ind w:left="3637" w:hanging="360"/>
      </w:pPr>
    </w:lvl>
    <w:lvl w:ilvl="5" w:tplc="0415001B" w:tentative="1">
      <w:start w:val="1"/>
      <w:numFmt w:val="lowerRoman"/>
      <w:lvlText w:val="%6."/>
      <w:lvlJc w:val="right"/>
      <w:pPr>
        <w:tabs>
          <w:tab w:val="num" w:pos="4357"/>
        </w:tabs>
        <w:ind w:left="4357" w:hanging="180"/>
      </w:pPr>
    </w:lvl>
    <w:lvl w:ilvl="6" w:tplc="0415000F" w:tentative="1">
      <w:start w:val="1"/>
      <w:numFmt w:val="decimal"/>
      <w:lvlText w:val="%7."/>
      <w:lvlJc w:val="left"/>
      <w:pPr>
        <w:tabs>
          <w:tab w:val="num" w:pos="5077"/>
        </w:tabs>
        <w:ind w:left="5077" w:hanging="360"/>
      </w:pPr>
    </w:lvl>
    <w:lvl w:ilvl="7" w:tplc="04150019" w:tentative="1">
      <w:start w:val="1"/>
      <w:numFmt w:val="lowerLetter"/>
      <w:lvlText w:val="%8."/>
      <w:lvlJc w:val="left"/>
      <w:pPr>
        <w:tabs>
          <w:tab w:val="num" w:pos="5797"/>
        </w:tabs>
        <w:ind w:left="5797" w:hanging="360"/>
      </w:pPr>
    </w:lvl>
    <w:lvl w:ilvl="8" w:tplc="0415001B" w:tentative="1">
      <w:start w:val="1"/>
      <w:numFmt w:val="lowerRoman"/>
      <w:lvlText w:val="%9."/>
      <w:lvlJc w:val="right"/>
      <w:pPr>
        <w:tabs>
          <w:tab w:val="num" w:pos="6517"/>
        </w:tabs>
        <w:ind w:left="6517" w:hanging="180"/>
      </w:pPr>
    </w:lvl>
  </w:abstractNum>
  <w:abstractNum w:abstractNumId="36" w15:restartNumberingAfterBreak="0">
    <w:nsid w:val="26D91B6A"/>
    <w:multiLevelType w:val="hybridMultilevel"/>
    <w:tmpl w:val="D7103E8A"/>
    <w:lvl w:ilvl="0" w:tplc="A8F6893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2ABB7A54"/>
    <w:multiLevelType w:val="hybridMultilevel"/>
    <w:tmpl w:val="88F829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2ACB67AC"/>
    <w:multiLevelType w:val="hybridMultilevel"/>
    <w:tmpl w:val="0FB85CB0"/>
    <w:lvl w:ilvl="0" w:tplc="04150001">
      <w:start w:val="1"/>
      <w:numFmt w:val="bullet"/>
      <w:lvlText w:val=""/>
      <w:lvlJc w:val="left"/>
      <w:pPr>
        <w:ind w:left="721" w:hanging="360"/>
      </w:pPr>
      <w:rPr>
        <w:rFonts w:ascii="Symbol" w:hAnsi="Symbol"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39" w15:restartNumberingAfterBreak="0">
    <w:nsid w:val="2B1864DB"/>
    <w:multiLevelType w:val="hybridMultilevel"/>
    <w:tmpl w:val="BDE45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F255991"/>
    <w:multiLevelType w:val="hybridMultilevel"/>
    <w:tmpl w:val="CF8CC174"/>
    <w:lvl w:ilvl="0" w:tplc="FC0266D4">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F8C4F2E"/>
    <w:multiLevelType w:val="hybridMultilevel"/>
    <w:tmpl w:val="D0EA3212"/>
    <w:lvl w:ilvl="0" w:tplc="FFFFFFFF">
      <w:start w:val="1"/>
      <w:numFmt w:val="decimal"/>
      <w:lvlText w:val="%1."/>
      <w:lvlJc w:val="left"/>
      <w:pPr>
        <w:tabs>
          <w:tab w:val="num" w:pos="360"/>
        </w:tabs>
        <w:ind w:left="360" w:hanging="360"/>
      </w:pPr>
      <w:rPr>
        <w:rFonts w:hint="default"/>
      </w:rPr>
    </w:lvl>
    <w:lvl w:ilvl="1" w:tplc="4B102DC6">
      <w:start w:val="1"/>
      <w:numFmt w:val="lowerLetter"/>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2FA03FEF"/>
    <w:multiLevelType w:val="hybridMultilevel"/>
    <w:tmpl w:val="D542003A"/>
    <w:lvl w:ilvl="0" w:tplc="7A2C633C">
      <w:start w:val="1"/>
      <w:numFmt w:val="bullet"/>
      <w:lvlText w:val=""/>
      <w:lvlJc w:val="left"/>
      <w:pPr>
        <w:ind w:left="720" w:hanging="360"/>
      </w:pPr>
      <w:rPr>
        <w:rFonts w:ascii="Symbol" w:hAnsi="Symbol" w:hint="default"/>
      </w:rPr>
    </w:lvl>
    <w:lvl w:ilvl="1" w:tplc="856874E0" w:tentative="1">
      <w:start w:val="1"/>
      <w:numFmt w:val="bullet"/>
      <w:lvlText w:val="o"/>
      <w:lvlJc w:val="left"/>
      <w:pPr>
        <w:ind w:left="1440" w:hanging="360"/>
      </w:pPr>
      <w:rPr>
        <w:rFonts w:ascii="Courier New" w:hAnsi="Courier New" w:cs="Courier New" w:hint="default"/>
      </w:rPr>
    </w:lvl>
    <w:lvl w:ilvl="2" w:tplc="40102E5E" w:tentative="1">
      <w:start w:val="1"/>
      <w:numFmt w:val="bullet"/>
      <w:lvlText w:val=""/>
      <w:lvlJc w:val="left"/>
      <w:pPr>
        <w:ind w:left="2160" w:hanging="360"/>
      </w:pPr>
      <w:rPr>
        <w:rFonts w:ascii="Wingdings" w:hAnsi="Wingdings" w:hint="default"/>
      </w:rPr>
    </w:lvl>
    <w:lvl w:ilvl="3" w:tplc="17DCD398" w:tentative="1">
      <w:start w:val="1"/>
      <w:numFmt w:val="bullet"/>
      <w:lvlText w:val=""/>
      <w:lvlJc w:val="left"/>
      <w:pPr>
        <w:ind w:left="2880" w:hanging="360"/>
      </w:pPr>
      <w:rPr>
        <w:rFonts w:ascii="Symbol" w:hAnsi="Symbol" w:hint="default"/>
      </w:rPr>
    </w:lvl>
    <w:lvl w:ilvl="4" w:tplc="141E0A14" w:tentative="1">
      <w:start w:val="1"/>
      <w:numFmt w:val="bullet"/>
      <w:lvlText w:val="o"/>
      <w:lvlJc w:val="left"/>
      <w:pPr>
        <w:ind w:left="3600" w:hanging="360"/>
      </w:pPr>
      <w:rPr>
        <w:rFonts w:ascii="Courier New" w:hAnsi="Courier New" w:cs="Courier New" w:hint="default"/>
      </w:rPr>
    </w:lvl>
    <w:lvl w:ilvl="5" w:tplc="0638CAFC" w:tentative="1">
      <w:start w:val="1"/>
      <w:numFmt w:val="bullet"/>
      <w:lvlText w:val=""/>
      <w:lvlJc w:val="left"/>
      <w:pPr>
        <w:ind w:left="4320" w:hanging="360"/>
      </w:pPr>
      <w:rPr>
        <w:rFonts w:ascii="Wingdings" w:hAnsi="Wingdings" w:hint="default"/>
      </w:rPr>
    </w:lvl>
    <w:lvl w:ilvl="6" w:tplc="9FAC29C4" w:tentative="1">
      <w:start w:val="1"/>
      <w:numFmt w:val="bullet"/>
      <w:lvlText w:val=""/>
      <w:lvlJc w:val="left"/>
      <w:pPr>
        <w:ind w:left="5040" w:hanging="360"/>
      </w:pPr>
      <w:rPr>
        <w:rFonts w:ascii="Symbol" w:hAnsi="Symbol" w:hint="default"/>
      </w:rPr>
    </w:lvl>
    <w:lvl w:ilvl="7" w:tplc="C3042148" w:tentative="1">
      <w:start w:val="1"/>
      <w:numFmt w:val="bullet"/>
      <w:lvlText w:val="o"/>
      <w:lvlJc w:val="left"/>
      <w:pPr>
        <w:ind w:left="5760" w:hanging="360"/>
      </w:pPr>
      <w:rPr>
        <w:rFonts w:ascii="Courier New" w:hAnsi="Courier New" w:cs="Courier New" w:hint="default"/>
      </w:rPr>
    </w:lvl>
    <w:lvl w:ilvl="8" w:tplc="37D6904C" w:tentative="1">
      <w:start w:val="1"/>
      <w:numFmt w:val="bullet"/>
      <w:lvlText w:val=""/>
      <w:lvlJc w:val="left"/>
      <w:pPr>
        <w:ind w:left="6480" w:hanging="360"/>
      </w:pPr>
      <w:rPr>
        <w:rFonts w:ascii="Wingdings" w:hAnsi="Wingdings" w:hint="default"/>
      </w:rPr>
    </w:lvl>
  </w:abstractNum>
  <w:abstractNum w:abstractNumId="43" w15:restartNumberingAfterBreak="0">
    <w:nsid w:val="31345488"/>
    <w:multiLevelType w:val="hybridMultilevel"/>
    <w:tmpl w:val="72E2BEAA"/>
    <w:lvl w:ilvl="0" w:tplc="8F56567E">
      <w:numFmt w:val="bullet"/>
      <w:lvlText w:val="-"/>
      <w:lvlJc w:val="left"/>
      <w:pPr>
        <w:tabs>
          <w:tab w:val="num" w:pos="720"/>
        </w:tabs>
        <w:ind w:left="720" w:hanging="360"/>
      </w:pPr>
      <w:rPr>
        <w:rFonts w:ascii="Arial" w:eastAsia="Arabic Typesetting" w:hAnsi="Arial"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2691456"/>
    <w:multiLevelType w:val="hybridMultilevel"/>
    <w:tmpl w:val="B60C89CC"/>
    <w:name w:val="WW8Num502"/>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33370F83"/>
    <w:multiLevelType w:val="hybridMultilevel"/>
    <w:tmpl w:val="26587A84"/>
    <w:lvl w:ilvl="0" w:tplc="F95CD1AE">
      <w:start w:val="1"/>
      <w:numFmt w:val="bullet"/>
      <w:lvlText w:val=""/>
      <w:lvlJc w:val="left"/>
      <w:pPr>
        <w:tabs>
          <w:tab w:val="num" w:pos="360"/>
        </w:tabs>
        <w:ind w:left="360" w:hanging="360"/>
      </w:pPr>
      <w:rPr>
        <w:rFonts w:ascii="Wingdings" w:hAnsi="Wingdings" w:hint="default"/>
      </w:rPr>
    </w:lvl>
    <w:lvl w:ilvl="1" w:tplc="B5F062FC">
      <w:numFmt w:val="bullet"/>
      <w:lvlText w:val="•"/>
      <w:lvlJc w:val="left"/>
      <w:pPr>
        <w:ind w:left="1425" w:hanging="705"/>
      </w:pPr>
      <w:rPr>
        <w:rFonts w:ascii="Times New Roman" w:eastAsia="Times New Roman" w:hAnsi="Times New Roman"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6924396"/>
    <w:multiLevelType w:val="hybridMultilevel"/>
    <w:tmpl w:val="F79CC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B7C3315"/>
    <w:multiLevelType w:val="hybridMultilevel"/>
    <w:tmpl w:val="E2846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C356DFA"/>
    <w:multiLevelType w:val="hybridMultilevel"/>
    <w:tmpl w:val="CC20743C"/>
    <w:lvl w:ilvl="0" w:tplc="04150001">
      <w:start w:val="1"/>
      <w:numFmt w:val="bullet"/>
      <w:lvlText w:val=""/>
      <w:lvlJc w:val="left"/>
      <w:pPr>
        <w:ind w:left="1230" w:hanging="360"/>
      </w:pPr>
      <w:rPr>
        <w:rFonts w:ascii="Symbol" w:hAnsi="Symbol" w:hint="default"/>
      </w:rPr>
    </w:lvl>
    <w:lvl w:ilvl="1" w:tplc="04150003" w:tentative="1">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49" w15:restartNumberingAfterBreak="0">
    <w:nsid w:val="3C5D70BC"/>
    <w:multiLevelType w:val="hybridMultilevel"/>
    <w:tmpl w:val="F99EC966"/>
    <w:lvl w:ilvl="0" w:tplc="3FB0ACC4">
      <w:start w:val="1"/>
      <w:numFmt w:val="decimal"/>
      <w:lvlText w:val="(%1)"/>
      <w:lvlJc w:val="left"/>
      <w:pPr>
        <w:tabs>
          <w:tab w:val="num" w:pos="397"/>
        </w:tabs>
        <w:ind w:left="397" w:hanging="397"/>
      </w:pPr>
      <w:rPr>
        <w:rFonts w:hint="default"/>
      </w:rPr>
    </w:lvl>
    <w:lvl w:ilvl="1" w:tplc="CDC0EF56">
      <w:start w:val="1"/>
      <w:numFmt w:val="bullet"/>
      <w:lvlText w:val=""/>
      <w:lvlJc w:val="left"/>
      <w:pPr>
        <w:tabs>
          <w:tab w:val="num" w:pos="794"/>
        </w:tabs>
        <w:ind w:left="794" w:hanging="397"/>
      </w:pPr>
      <w:rPr>
        <w:rFonts w:ascii="Wingdings" w:hAnsi="Wingdings" w:hint="default"/>
      </w:rPr>
    </w:lvl>
    <w:lvl w:ilvl="2" w:tplc="0415001B" w:tentative="1">
      <w:start w:val="1"/>
      <w:numFmt w:val="lowerRoman"/>
      <w:lvlText w:val="%3."/>
      <w:lvlJc w:val="right"/>
      <w:pPr>
        <w:tabs>
          <w:tab w:val="num" w:pos="2197"/>
        </w:tabs>
        <w:ind w:left="2197" w:hanging="180"/>
      </w:pPr>
    </w:lvl>
    <w:lvl w:ilvl="3" w:tplc="0415000F" w:tentative="1">
      <w:start w:val="1"/>
      <w:numFmt w:val="decimal"/>
      <w:lvlText w:val="%4."/>
      <w:lvlJc w:val="left"/>
      <w:pPr>
        <w:tabs>
          <w:tab w:val="num" w:pos="2917"/>
        </w:tabs>
        <w:ind w:left="2917" w:hanging="360"/>
      </w:pPr>
    </w:lvl>
    <w:lvl w:ilvl="4" w:tplc="04150019" w:tentative="1">
      <w:start w:val="1"/>
      <w:numFmt w:val="lowerLetter"/>
      <w:lvlText w:val="%5."/>
      <w:lvlJc w:val="left"/>
      <w:pPr>
        <w:tabs>
          <w:tab w:val="num" w:pos="3637"/>
        </w:tabs>
        <w:ind w:left="3637" w:hanging="360"/>
      </w:pPr>
    </w:lvl>
    <w:lvl w:ilvl="5" w:tplc="0415001B" w:tentative="1">
      <w:start w:val="1"/>
      <w:numFmt w:val="lowerRoman"/>
      <w:lvlText w:val="%6."/>
      <w:lvlJc w:val="right"/>
      <w:pPr>
        <w:tabs>
          <w:tab w:val="num" w:pos="4357"/>
        </w:tabs>
        <w:ind w:left="4357" w:hanging="180"/>
      </w:pPr>
    </w:lvl>
    <w:lvl w:ilvl="6" w:tplc="0415000F" w:tentative="1">
      <w:start w:val="1"/>
      <w:numFmt w:val="decimal"/>
      <w:lvlText w:val="%7."/>
      <w:lvlJc w:val="left"/>
      <w:pPr>
        <w:tabs>
          <w:tab w:val="num" w:pos="5077"/>
        </w:tabs>
        <w:ind w:left="5077" w:hanging="360"/>
      </w:pPr>
    </w:lvl>
    <w:lvl w:ilvl="7" w:tplc="04150019" w:tentative="1">
      <w:start w:val="1"/>
      <w:numFmt w:val="lowerLetter"/>
      <w:lvlText w:val="%8."/>
      <w:lvlJc w:val="left"/>
      <w:pPr>
        <w:tabs>
          <w:tab w:val="num" w:pos="5797"/>
        </w:tabs>
        <w:ind w:left="5797" w:hanging="360"/>
      </w:pPr>
    </w:lvl>
    <w:lvl w:ilvl="8" w:tplc="0415001B" w:tentative="1">
      <w:start w:val="1"/>
      <w:numFmt w:val="lowerRoman"/>
      <w:lvlText w:val="%9."/>
      <w:lvlJc w:val="right"/>
      <w:pPr>
        <w:tabs>
          <w:tab w:val="num" w:pos="6517"/>
        </w:tabs>
        <w:ind w:left="6517" w:hanging="180"/>
      </w:pPr>
    </w:lvl>
  </w:abstractNum>
  <w:abstractNum w:abstractNumId="50" w15:restartNumberingAfterBreak="0">
    <w:nsid w:val="3DED7CF5"/>
    <w:multiLevelType w:val="hybridMultilevel"/>
    <w:tmpl w:val="0A780CCE"/>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1970527"/>
    <w:multiLevelType w:val="hybridMultilevel"/>
    <w:tmpl w:val="A5F2E5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42336856"/>
    <w:multiLevelType w:val="hybridMultilevel"/>
    <w:tmpl w:val="CC58D9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45B74822"/>
    <w:multiLevelType w:val="hybridMultilevel"/>
    <w:tmpl w:val="29924CD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6BE1748"/>
    <w:multiLevelType w:val="hybridMultilevel"/>
    <w:tmpl w:val="D93460FC"/>
    <w:lvl w:ilvl="0" w:tplc="A8F6893E">
      <w:start w:val="1"/>
      <w:numFmt w:val="bullet"/>
      <w:lvlText w:val=""/>
      <w:lvlJc w:val="left"/>
      <w:pPr>
        <w:tabs>
          <w:tab w:val="num" w:pos="360"/>
        </w:tabs>
        <w:ind w:left="360" w:hanging="360"/>
      </w:pPr>
      <w:rPr>
        <w:rFonts w:ascii="Symbol" w:hAnsi="Symbol" w:hint="default"/>
      </w:rPr>
    </w:lvl>
    <w:lvl w:ilvl="1" w:tplc="A8F6893E">
      <w:start w:val="1"/>
      <w:numFmt w:val="bullet"/>
      <w:lvlText w:val=""/>
      <w:lvlJc w:val="left"/>
      <w:pPr>
        <w:ind w:left="1425" w:hanging="705"/>
      </w:pPr>
      <w:rPr>
        <w:rFonts w:ascii="Symbol" w:hAnsi="Symbol"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6D35DD3"/>
    <w:multiLevelType w:val="hybridMultilevel"/>
    <w:tmpl w:val="88689D6C"/>
    <w:lvl w:ilvl="0" w:tplc="04150001">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E842F4"/>
    <w:multiLevelType w:val="multilevel"/>
    <w:tmpl w:val="175ECE7A"/>
    <w:lvl w:ilvl="0">
      <w:start w:val="1"/>
      <w:numFmt w:val="decimal"/>
      <w:lvlText w:val="%1."/>
      <w:lvlJc w:val="left"/>
      <w:pPr>
        <w:ind w:left="720" w:hanging="360"/>
      </w:pPr>
      <w:rPr>
        <w:rFonts w:hint="default"/>
        <w:color w:val="365F91"/>
      </w:rPr>
    </w:lvl>
    <w:lvl w:ilvl="1">
      <w:start w:val="1"/>
      <w:numFmt w:val="decimal"/>
      <w:pStyle w:val="Nagwek2"/>
      <w:isLgl/>
      <w:lvlText w:val="%1.%2"/>
      <w:lvlJc w:val="left"/>
      <w:pPr>
        <w:ind w:left="435" w:hanging="435"/>
      </w:pPr>
      <w:rPr>
        <w:rFonts w:hint="default"/>
        <w:color w:val="365F91"/>
      </w:rPr>
    </w:lvl>
    <w:lvl w:ilvl="2">
      <w:start w:val="1"/>
      <w:numFmt w:val="decimal"/>
      <w:isLgl/>
      <w:lvlText w:val="%1.%2.%3"/>
      <w:lvlJc w:val="left"/>
      <w:pPr>
        <w:ind w:left="1080" w:hanging="720"/>
      </w:pPr>
      <w:rPr>
        <w:rFonts w:ascii="Lato" w:hAnsi="Lato" w:cs="Times New Roman" w:hint="default"/>
        <w:color w:val="365F91"/>
        <w:sz w:val="24"/>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49237EDD"/>
    <w:multiLevelType w:val="hybridMultilevel"/>
    <w:tmpl w:val="7158B878"/>
    <w:lvl w:ilvl="0" w:tplc="E5B4A6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BD56E41"/>
    <w:multiLevelType w:val="hybridMultilevel"/>
    <w:tmpl w:val="2452D31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CD839C3"/>
    <w:multiLevelType w:val="hybridMultilevel"/>
    <w:tmpl w:val="666EFD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F553618"/>
    <w:multiLevelType w:val="hybridMultilevel"/>
    <w:tmpl w:val="CA78D5F6"/>
    <w:lvl w:ilvl="0" w:tplc="04150001">
      <w:start w:val="1"/>
      <w:numFmt w:val="bullet"/>
      <w:lvlText w:val=""/>
      <w:lvlJc w:val="left"/>
      <w:pPr>
        <w:tabs>
          <w:tab w:val="num" w:pos="360"/>
        </w:tabs>
        <w:ind w:left="360" w:hanging="360"/>
      </w:pPr>
      <w:rPr>
        <w:rFonts w:ascii="Symbol" w:hAnsi="Symbol" w:hint="default"/>
      </w:rPr>
    </w:lvl>
    <w:lvl w:ilvl="1" w:tplc="B5F062FC">
      <w:numFmt w:val="bullet"/>
      <w:lvlText w:val="•"/>
      <w:lvlJc w:val="left"/>
      <w:pPr>
        <w:ind w:left="1425" w:hanging="705"/>
      </w:pPr>
      <w:rPr>
        <w:rFonts w:ascii="Times New Roman" w:eastAsia="Times New Roman" w:hAnsi="Times New Roman"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500F25D7"/>
    <w:multiLevelType w:val="hybridMultilevel"/>
    <w:tmpl w:val="F3C6B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2FA7F8D"/>
    <w:multiLevelType w:val="multilevel"/>
    <w:tmpl w:val="EBEC5014"/>
    <w:lvl w:ilvl="0">
      <w:start w:val="1"/>
      <w:numFmt w:val="decimal"/>
      <w:lvlText w:val="%1"/>
      <w:lvlJc w:val="left"/>
      <w:pPr>
        <w:tabs>
          <w:tab w:val="num" w:pos="680"/>
        </w:tabs>
        <w:ind w:left="680" w:hanging="680"/>
      </w:pPr>
      <w:rPr>
        <w:rFonts w:ascii="Arial" w:hAnsi="Arial" w:hint="default"/>
        <w:b/>
        <w:i/>
        <w:sz w:val="36"/>
      </w:rPr>
    </w:lvl>
    <w:lvl w:ilvl="1">
      <w:start w:val="1"/>
      <w:numFmt w:val="decimal"/>
      <w:lvlText w:val="%1.%2"/>
      <w:lvlJc w:val="left"/>
      <w:pPr>
        <w:tabs>
          <w:tab w:val="num" w:pos="860"/>
        </w:tabs>
        <w:ind w:left="860"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tylNagwek2Arial10ptPo0pt"/>
      <w:lvlText w:val="%1.%2.%3"/>
      <w:lvlJc w:val="left"/>
      <w:pPr>
        <w:tabs>
          <w:tab w:val="num" w:pos="720"/>
        </w:tabs>
        <w:ind w:left="720" w:hanging="720"/>
      </w:pPr>
      <w:rPr>
        <w:rFonts w:ascii="Arial" w:hAnsi="Arial" w:hint="default"/>
        <w:b/>
        <w:i/>
        <w:sz w:val="28"/>
      </w:rPr>
    </w:lvl>
    <w:lvl w:ilvl="3">
      <w:start w:val="1"/>
      <w:numFmt w:val="decimal"/>
      <w:lvlText w:val="%1.%2.%3.%4"/>
      <w:lvlJc w:val="left"/>
      <w:pPr>
        <w:tabs>
          <w:tab w:val="num" w:pos="864"/>
        </w:tabs>
        <w:ind w:left="864" w:hanging="864"/>
      </w:pPr>
      <w:rPr>
        <w:rFonts w:ascii="Arial" w:hAnsi="Arial" w:hint="default"/>
        <w:b/>
        <w:i/>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3" w15:restartNumberingAfterBreak="0">
    <w:nsid w:val="56BB0C1C"/>
    <w:multiLevelType w:val="hybridMultilevel"/>
    <w:tmpl w:val="727800EC"/>
    <w:lvl w:ilvl="0" w:tplc="A8F6893E">
      <w:start w:val="1"/>
      <w:numFmt w:val="bullet"/>
      <w:lvlText w:val=""/>
      <w:lvlJc w:val="left"/>
      <w:pPr>
        <w:tabs>
          <w:tab w:val="num" w:pos="720"/>
        </w:tabs>
        <w:ind w:left="720" w:hanging="360"/>
      </w:pPr>
      <w:rPr>
        <w:rFonts w:ascii="Symbol" w:hAnsi="Symbol" w:hint="default"/>
      </w:rPr>
    </w:lvl>
    <w:lvl w:ilvl="1" w:tplc="04150003">
      <w:start w:val="1989"/>
      <w:numFmt w:val="bullet"/>
      <w:lvlText w:val=""/>
      <w:lvlJc w:val="left"/>
      <w:pPr>
        <w:tabs>
          <w:tab w:val="num" w:pos="1440"/>
        </w:tabs>
        <w:ind w:left="1440" w:hanging="360"/>
      </w:pPr>
      <w:rPr>
        <w:rFonts w:ascii="Symbol" w:eastAsia="Times New Roman" w:hAnsi="Symbol"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89108A3"/>
    <w:multiLevelType w:val="hybridMultilevel"/>
    <w:tmpl w:val="1B8AE704"/>
    <w:lvl w:ilvl="0" w:tplc="04150001">
      <w:start w:val="1"/>
      <w:numFmt w:val="bullet"/>
      <w:lvlText w:val=""/>
      <w:lvlJc w:val="left"/>
      <w:pPr>
        <w:tabs>
          <w:tab w:val="num" w:pos="360"/>
        </w:tabs>
        <w:ind w:left="360" w:hanging="360"/>
      </w:pPr>
      <w:rPr>
        <w:rFonts w:ascii="Symbol" w:hAnsi="Symbol" w:hint="default"/>
        <w:color w:val="auto"/>
      </w:rPr>
    </w:lvl>
    <w:lvl w:ilvl="1" w:tplc="12F0CE02"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B522982"/>
    <w:multiLevelType w:val="hybridMultilevel"/>
    <w:tmpl w:val="95AC8184"/>
    <w:lvl w:ilvl="0" w:tplc="3FB0ACC4">
      <w:start w:val="1"/>
      <w:numFmt w:val="decimal"/>
      <w:lvlText w:val="(%1)"/>
      <w:lvlJc w:val="left"/>
      <w:pPr>
        <w:tabs>
          <w:tab w:val="num" w:pos="397"/>
        </w:tabs>
        <w:ind w:left="397" w:hanging="397"/>
      </w:pPr>
      <w:rPr>
        <w:rFonts w:hint="default"/>
      </w:rPr>
    </w:lvl>
    <w:lvl w:ilvl="1" w:tplc="FFBA4B3E">
      <w:start w:val="1"/>
      <w:numFmt w:val="bullet"/>
      <w:lvlText w:val=""/>
      <w:lvlJc w:val="left"/>
      <w:pPr>
        <w:tabs>
          <w:tab w:val="num" w:pos="1191"/>
        </w:tabs>
        <w:ind w:left="1191" w:hanging="397"/>
      </w:pPr>
      <w:rPr>
        <w:rFonts w:ascii="Wingdings" w:hAnsi="Wingdings" w:hint="default"/>
      </w:rPr>
    </w:lvl>
    <w:lvl w:ilvl="2" w:tplc="A8288EF2">
      <w:start w:val="1"/>
      <w:numFmt w:val="decimal"/>
      <w:lvlText w:val="%3."/>
      <w:lvlJc w:val="left"/>
      <w:pPr>
        <w:tabs>
          <w:tab w:val="num" w:pos="397"/>
        </w:tabs>
        <w:ind w:left="397" w:hanging="397"/>
      </w:pPr>
      <w:rPr>
        <w:rFonts w:hint="default"/>
      </w:rPr>
    </w:lvl>
    <w:lvl w:ilvl="3" w:tplc="00200810">
      <w:start w:val="1"/>
      <w:numFmt w:val="bullet"/>
      <w:lvlText w:val=""/>
      <w:lvlJc w:val="left"/>
      <w:pPr>
        <w:tabs>
          <w:tab w:val="num" w:pos="2954"/>
        </w:tabs>
        <w:ind w:left="2954" w:hanging="397"/>
      </w:pPr>
      <w:rPr>
        <w:rFonts w:ascii="Wingdings" w:hAnsi="Wingdings" w:hint="default"/>
      </w:rPr>
    </w:lvl>
    <w:lvl w:ilvl="4" w:tplc="5398538E">
      <w:start w:val="1"/>
      <w:numFmt w:val="decimal"/>
      <w:lvlText w:val="%5)"/>
      <w:lvlJc w:val="left"/>
      <w:pPr>
        <w:tabs>
          <w:tab w:val="num" w:pos="397"/>
        </w:tabs>
        <w:ind w:left="397" w:hanging="397"/>
      </w:pPr>
      <w:rPr>
        <w:rFonts w:hint="default"/>
      </w:rPr>
    </w:lvl>
    <w:lvl w:ilvl="5" w:tplc="149E5D42">
      <w:start w:val="1"/>
      <w:numFmt w:val="decimal"/>
      <w:lvlText w:val="(%6)"/>
      <w:lvlJc w:val="left"/>
      <w:pPr>
        <w:tabs>
          <w:tab w:val="num" w:pos="397"/>
        </w:tabs>
        <w:ind w:left="397" w:hanging="397"/>
      </w:pPr>
      <w:rPr>
        <w:rFonts w:hint="default"/>
      </w:rPr>
    </w:lvl>
    <w:lvl w:ilvl="6" w:tplc="0415000F" w:tentative="1">
      <w:start w:val="1"/>
      <w:numFmt w:val="decimal"/>
      <w:lvlText w:val="%7."/>
      <w:lvlJc w:val="left"/>
      <w:pPr>
        <w:tabs>
          <w:tab w:val="num" w:pos="5077"/>
        </w:tabs>
        <w:ind w:left="5077" w:hanging="360"/>
      </w:pPr>
    </w:lvl>
    <w:lvl w:ilvl="7" w:tplc="04150019" w:tentative="1">
      <w:start w:val="1"/>
      <w:numFmt w:val="lowerLetter"/>
      <w:lvlText w:val="%8."/>
      <w:lvlJc w:val="left"/>
      <w:pPr>
        <w:tabs>
          <w:tab w:val="num" w:pos="5797"/>
        </w:tabs>
        <w:ind w:left="5797" w:hanging="360"/>
      </w:pPr>
    </w:lvl>
    <w:lvl w:ilvl="8" w:tplc="0415001B" w:tentative="1">
      <w:start w:val="1"/>
      <w:numFmt w:val="lowerRoman"/>
      <w:lvlText w:val="%9."/>
      <w:lvlJc w:val="right"/>
      <w:pPr>
        <w:tabs>
          <w:tab w:val="num" w:pos="6517"/>
        </w:tabs>
        <w:ind w:left="6517" w:hanging="180"/>
      </w:pPr>
    </w:lvl>
  </w:abstractNum>
  <w:abstractNum w:abstractNumId="66" w15:restartNumberingAfterBreak="0">
    <w:nsid w:val="5D83395E"/>
    <w:multiLevelType w:val="hybridMultilevel"/>
    <w:tmpl w:val="04DAA25A"/>
    <w:lvl w:ilvl="0" w:tplc="6BFE8F74">
      <w:start w:val="1"/>
      <w:numFmt w:val="bullet"/>
      <w:lvlText w:val=""/>
      <w:lvlJc w:val="left"/>
      <w:pPr>
        <w:tabs>
          <w:tab w:val="num" w:pos="794"/>
        </w:tabs>
        <w:ind w:left="794" w:hanging="397"/>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DF53A9A"/>
    <w:multiLevelType w:val="hybridMultilevel"/>
    <w:tmpl w:val="B1629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35D2EC3"/>
    <w:multiLevelType w:val="hybridMultilevel"/>
    <w:tmpl w:val="49DAB10A"/>
    <w:name w:val="WW8Num5023"/>
    <w:lvl w:ilvl="0" w:tplc="04150011">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9" w15:restartNumberingAfterBreak="0">
    <w:nsid w:val="63603197"/>
    <w:multiLevelType w:val="hybridMultilevel"/>
    <w:tmpl w:val="36803EE8"/>
    <w:lvl w:ilvl="0" w:tplc="04150005">
      <w:start w:val="1"/>
      <w:numFmt w:val="bullet"/>
      <w:lvlText w:val=""/>
      <w:lvlJc w:val="left"/>
      <w:pPr>
        <w:ind w:left="360" w:hanging="360"/>
      </w:pPr>
      <w:rPr>
        <w:rFonts w:ascii="Symbol" w:hAnsi="Symbol" w:hint="default"/>
      </w:rPr>
    </w:lvl>
    <w:lvl w:ilvl="1" w:tplc="04150003">
      <w:start w:val="1"/>
      <w:numFmt w:val="bullet"/>
      <w:lvlText w:val=""/>
      <w:lvlJc w:val="left"/>
      <w:pPr>
        <w:tabs>
          <w:tab w:val="num" w:pos="1080"/>
        </w:tabs>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63673FA6"/>
    <w:multiLevelType w:val="hybridMultilevel"/>
    <w:tmpl w:val="0060D80C"/>
    <w:lvl w:ilvl="0" w:tplc="04150001">
      <w:start w:val="589"/>
      <w:numFmt w:val="bullet"/>
      <w:lvlText w:val=""/>
      <w:lvlJc w:val="left"/>
      <w:pPr>
        <w:tabs>
          <w:tab w:val="num" w:pos="871"/>
        </w:tabs>
        <w:ind w:left="871" w:hanging="360"/>
      </w:pPr>
      <w:rPr>
        <w:rFonts w:ascii="Symbol" w:eastAsia="Times New Roman" w:hAnsi="Symbol" w:cs="Times New Roman" w:hint="default"/>
      </w:rPr>
    </w:lvl>
    <w:lvl w:ilvl="1" w:tplc="04150005" w:tentative="1">
      <w:start w:val="1"/>
      <w:numFmt w:val="bullet"/>
      <w:lvlText w:val="o"/>
      <w:lvlJc w:val="left"/>
      <w:pPr>
        <w:tabs>
          <w:tab w:val="num" w:pos="1950"/>
        </w:tabs>
        <w:ind w:left="1950" w:hanging="360"/>
      </w:pPr>
      <w:rPr>
        <w:rFonts w:ascii="Courier New" w:hAnsi="Courier New" w:cs="Courier New" w:hint="default"/>
      </w:rPr>
    </w:lvl>
    <w:lvl w:ilvl="2" w:tplc="04150005" w:tentative="1">
      <w:start w:val="1"/>
      <w:numFmt w:val="bullet"/>
      <w:lvlText w:val=""/>
      <w:lvlJc w:val="left"/>
      <w:pPr>
        <w:tabs>
          <w:tab w:val="num" w:pos="2670"/>
        </w:tabs>
        <w:ind w:left="2670" w:hanging="360"/>
      </w:pPr>
      <w:rPr>
        <w:rFonts w:ascii="Wingdings" w:hAnsi="Wingdings" w:hint="default"/>
      </w:rPr>
    </w:lvl>
    <w:lvl w:ilvl="3" w:tplc="04150001" w:tentative="1">
      <w:start w:val="1"/>
      <w:numFmt w:val="bullet"/>
      <w:lvlText w:val=""/>
      <w:lvlJc w:val="left"/>
      <w:pPr>
        <w:tabs>
          <w:tab w:val="num" w:pos="3390"/>
        </w:tabs>
        <w:ind w:left="3390" w:hanging="360"/>
      </w:pPr>
      <w:rPr>
        <w:rFonts w:ascii="Symbol" w:hAnsi="Symbol" w:hint="default"/>
      </w:rPr>
    </w:lvl>
    <w:lvl w:ilvl="4" w:tplc="04150003" w:tentative="1">
      <w:start w:val="1"/>
      <w:numFmt w:val="bullet"/>
      <w:lvlText w:val="o"/>
      <w:lvlJc w:val="left"/>
      <w:pPr>
        <w:tabs>
          <w:tab w:val="num" w:pos="4110"/>
        </w:tabs>
        <w:ind w:left="4110" w:hanging="360"/>
      </w:pPr>
      <w:rPr>
        <w:rFonts w:ascii="Courier New" w:hAnsi="Courier New" w:cs="Courier New" w:hint="default"/>
      </w:rPr>
    </w:lvl>
    <w:lvl w:ilvl="5" w:tplc="04150005" w:tentative="1">
      <w:start w:val="1"/>
      <w:numFmt w:val="bullet"/>
      <w:lvlText w:val=""/>
      <w:lvlJc w:val="left"/>
      <w:pPr>
        <w:tabs>
          <w:tab w:val="num" w:pos="4830"/>
        </w:tabs>
        <w:ind w:left="4830" w:hanging="360"/>
      </w:pPr>
      <w:rPr>
        <w:rFonts w:ascii="Wingdings" w:hAnsi="Wingdings" w:hint="default"/>
      </w:rPr>
    </w:lvl>
    <w:lvl w:ilvl="6" w:tplc="04150001" w:tentative="1">
      <w:start w:val="1"/>
      <w:numFmt w:val="bullet"/>
      <w:lvlText w:val=""/>
      <w:lvlJc w:val="left"/>
      <w:pPr>
        <w:tabs>
          <w:tab w:val="num" w:pos="5550"/>
        </w:tabs>
        <w:ind w:left="5550" w:hanging="360"/>
      </w:pPr>
      <w:rPr>
        <w:rFonts w:ascii="Symbol" w:hAnsi="Symbol" w:hint="default"/>
      </w:rPr>
    </w:lvl>
    <w:lvl w:ilvl="7" w:tplc="04150003" w:tentative="1">
      <w:start w:val="1"/>
      <w:numFmt w:val="bullet"/>
      <w:lvlText w:val="o"/>
      <w:lvlJc w:val="left"/>
      <w:pPr>
        <w:tabs>
          <w:tab w:val="num" w:pos="6270"/>
        </w:tabs>
        <w:ind w:left="6270" w:hanging="360"/>
      </w:pPr>
      <w:rPr>
        <w:rFonts w:ascii="Courier New" w:hAnsi="Courier New" w:cs="Courier New" w:hint="default"/>
      </w:rPr>
    </w:lvl>
    <w:lvl w:ilvl="8" w:tplc="04150005" w:tentative="1">
      <w:start w:val="1"/>
      <w:numFmt w:val="bullet"/>
      <w:lvlText w:val=""/>
      <w:lvlJc w:val="left"/>
      <w:pPr>
        <w:tabs>
          <w:tab w:val="num" w:pos="6990"/>
        </w:tabs>
        <w:ind w:left="6990" w:hanging="360"/>
      </w:pPr>
      <w:rPr>
        <w:rFonts w:ascii="Wingdings" w:hAnsi="Wingdings" w:hint="default"/>
      </w:rPr>
    </w:lvl>
  </w:abstractNum>
  <w:abstractNum w:abstractNumId="71" w15:restartNumberingAfterBreak="0">
    <w:nsid w:val="65F06F42"/>
    <w:multiLevelType w:val="hybridMultilevel"/>
    <w:tmpl w:val="1C568202"/>
    <w:lvl w:ilvl="0" w:tplc="04150001">
      <w:start w:val="1"/>
      <w:numFmt w:val="bullet"/>
      <w:lvlText w:val=""/>
      <w:lvlJc w:val="left"/>
      <w:pPr>
        <w:tabs>
          <w:tab w:val="num" w:pos="360"/>
        </w:tabs>
        <w:ind w:left="360" w:hanging="360"/>
      </w:pPr>
      <w:rPr>
        <w:rFonts w:ascii="Symbol" w:hAnsi="Symbol" w:hint="default"/>
      </w:rPr>
    </w:lvl>
    <w:lvl w:ilvl="1" w:tplc="B5F062FC">
      <w:numFmt w:val="bullet"/>
      <w:lvlText w:val="•"/>
      <w:lvlJc w:val="left"/>
      <w:pPr>
        <w:ind w:left="1425" w:hanging="705"/>
      </w:pPr>
      <w:rPr>
        <w:rFonts w:ascii="Times New Roman" w:eastAsia="Times New Roman" w:hAnsi="Times New Roman"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664B25C8"/>
    <w:multiLevelType w:val="hybridMultilevel"/>
    <w:tmpl w:val="4FB8A4A2"/>
    <w:lvl w:ilvl="0" w:tplc="9E5E2D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A9C24DD"/>
    <w:multiLevelType w:val="hybridMultilevel"/>
    <w:tmpl w:val="0276B96E"/>
    <w:lvl w:ilvl="0" w:tplc="FC0266D4">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D8C6D0C"/>
    <w:multiLevelType w:val="hybridMultilevel"/>
    <w:tmpl w:val="5FC803CC"/>
    <w:lvl w:ilvl="0" w:tplc="04150005">
      <w:numFmt w:val="bullet"/>
      <w:lvlText w:val="-"/>
      <w:lvlJc w:val="left"/>
      <w:pPr>
        <w:tabs>
          <w:tab w:val="num" w:pos="720"/>
        </w:tabs>
        <w:ind w:left="720" w:hanging="360"/>
      </w:pPr>
      <w:rPr>
        <w:rFonts w:ascii="Arial" w:eastAsia="Arabic Typesetting" w:hAnsi="Arial"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F1254F5"/>
    <w:multiLevelType w:val="hybridMultilevel"/>
    <w:tmpl w:val="0BD40E94"/>
    <w:lvl w:ilvl="0" w:tplc="F95CD1AE">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19A7C3C"/>
    <w:multiLevelType w:val="hybridMultilevel"/>
    <w:tmpl w:val="BB925CC6"/>
    <w:lvl w:ilvl="0" w:tplc="04150005">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2C967D5"/>
    <w:multiLevelType w:val="hybridMultilevel"/>
    <w:tmpl w:val="5DBA0F3E"/>
    <w:lvl w:ilvl="0" w:tplc="A8F6893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8" w15:restartNumberingAfterBreak="0">
    <w:nsid w:val="74DD247D"/>
    <w:multiLevelType w:val="hybridMultilevel"/>
    <w:tmpl w:val="26EA4FB8"/>
    <w:lvl w:ilvl="0" w:tplc="04150001">
      <w:start w:val="1"/>
      <w:numFmt w:val="bullet"/>
      <w:lvlText w:val=""/>
      <w:lvlJc w:val="left"/>
      <w:pPr>
        <w:ind w:left="721" w:hanging="360"/>
      </w:pPr>
      <w:rPr>
        <w:rFonts w:ascii="Symbol" w:hAnsi="Symbol"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79" w15:restartNumberingAfterBreak="0">
    <w:nsid w:val="78687E90"/>
    <w:multiLevelType w:val="hybridMultilevel"/>
    <w:tmpl w:val="6EB8080E"/>
    <w:lvl w:ilvl="0" w:tplc="0415000F">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884F30"/>
    <w:multiLevelType w:val="hybridMultilevel"/>
    <w:tmpl w:val="43F8EE8A"/>
    <w:lvl w:ilvl="0" w:tplc="FC0266D4">
      <w:start w:val="589"/>
      <w:numFmt w:val="bullet"/>
      <w:lvlText w:val=""/>
      <w:lvlJc w:val="left"/>
      <w:pPr>
        <w:tabs>
          <w:tab w:val="num" w:pos="361"/>
        </w:tabs>
        <w:ind w:left="361" w:hanging="360"/>
      </w:pPr>
      <w:rPr>
        <w:rFonts w:ascii="Symbol" w:eastAsia="Allegro BT" w:hAnsi="Symbol" w:cs="Allegro BT"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93650D7"/>
    <w:multiLevelType w:val="hybridMultilevel"/>
    <w:tmpl w:val="FB429A18"/>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793834A2"/>
    <w:multiLevelType w:val="multilevel"/>
    <w:tmpl w:val="5F1C1208"/>
    <w:lvl w:ilvl="0">
      <w:start w:val="1"/>
      <w:numFmt w:val="decimal"/>
      <w:pStyle w:val="StylNagwek2Arial"/>
      <w:lvlText w:val="%1"/>
      <w:lvlJc w:val="left"/>
      <w:pPr>
        <w:tabs>
          <w:tab w:val="num" w:pos="1283"/>
        </w:tabs>
        <w:ind w:left="1283" w:hanging="716"/>
      </w:pPr>
      <w:rPr>
        <w:rFonts w:ascii="Arial" w:hAnsi="Arial" w:hint="default"/>
        <w:b/>
        <w:i/>
        <w:sz w:val="36"/>
        <w:szCs w:val="36"/>
      </w:rPr>
    </w:lvl>
    <w:lvl w:ilvl="1">
      <w:start w:val="1"/>
      <w:numFmt w:val="decimal"/>
      <w:pStyle w:val="StylNagwek2Arial10ptPo0ptInterlinia15wiersza"/>
      <w:lvlText w:val="%1.%2"/>
      <w:lvlJc w:val="left"/>
      <w:pPr>
        <w:tabs>
          <w:tab w:val="num" w:pos="567"/>
        </w:tabs>
        <w:ind w:left="567" w:hanging="567"/>
      </w:pPr>
      <w:rPr>
        <w:rFonts w:ascii="Arial" w:hAnsi="Arial" w:hint="default"/>
        <w:b/>
        <w:i/>
        <w:sz w:val="32"/>
        <w:szCs w:val="32"/>
      </w:rPr>
    </w:lvl>
    <w:lvl w:ilvl="2">
      <w:start w:val="1"/>
      <w:numFmt w:val="decimal"/>
      <w:lvlText w:val="%1.%2.%3"/>
      <w:lvlJc w:val="left"/>
      <w:pPr>
        <w:tabs>
          <w:tab w:val="num" w:pos="1571"/>
        </w:tabs>
        <w:ind w:left="1571" w:hanging="720"/>
      </w:pPr>
      <w:rPr>
        <w:rFonts w:ascii="Arial" w:hAnsi="Arial" w:hint="default"/>
        <w:b/>
        <w:i/>
        <w:sz w:val="28"/>
        <w:szCs w:val="28"/>
      </w:rPr>
    </w:lvl>
    <w:lvl w:ilvl="3">
      <w:start w:val="1"/>
      <w:numFmt w:val="decimal"/>
      <w:lvlRestart w:val="0"/>
      <w:pStyle w:val="StylNagwek2Arial10ptNiePogrubieniePo0pt"/>
      <w:lvlText w:val="%1.%2.%3.%4"/>
      <w:lvlJc w:val="left"/>
      <w:pPr>
        <w:tabs>
          <w:tab w:val="num" w:pos="1715"/>
        </w:tabs>
        <w:ind w:left="1715" w:hanging="864"/>
      </w:pPr>
      <w:rPr>
        <w:rFonts w:ascii="Times New Roman" w:hAnsi="Times New Roman" w:hint="default"/>
        <w:b/>
        <w:i/>
        <w:sz w:val="24"/>
        <w:szCs w:val="24"/>
      </w:rPr>
    </w:lvl>
    <w:lvl w:ilvl="4">
      <w:start w:val="1"/>
      <w:numFmt w:val="decimal"/>
      <w:lvlText w:val="%1.%2.%3.%4.%5"/>
      <w:lvlJc w:val="left"/>
      <w:pPr>
        <w:tabs>
          <w:tab w:val="num" w:pos="1859"/>
        </w:tabs>
        <w:ind w:left="1859" w:hanging="1008"/>
      </w:pPr>
      <w:rPr>
        <w:rFonts w:ascii="Arial" w:hAnsi="Arial" w:hint="default"/>
        <w:b/>
        <w:i/>
        <w:sz w:val="24"/>
        <w:szCs w:val="24"/>
      </w:rPr>
    </w:lvl>
    <w:lvl w:ilvl="5">
      <w:start w:val="1"/>
      <w:numFmt w:val="decimal"/>
      <w:lvlText w:val="%1.%2.%3.%4.%5.%6"/>
      <w:lvlJc w:val="left"/>
      <w:pPr>
        <w:tabs>
          <w:tab w:val="num" w:pos="2003"/>
        </w:tabs>
        <w:ind w:left="2003" w:hanging="1152"/>
      </w:pPr>
      <w:rPr>
        <w:rFonts w:hint="default"/>
      </w:rPr>
    </w:lvl>
    <w:lvl w:ilvl="6">
      <w:start w:val="1"/>
      <w:numFmt w:val="decimal"/>
      <w:lvlRestart w:val="3"/>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83" w15:restartNumberingAfterBreak="0">
    <w:nsid w:val="79E925CD"/>
    <w:multiLevelType w:val="hybridMultilevel"/>
    <w:tmpl w:val="ACF811A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A236291"/>
    <w:multiLevelType w:val="hybridMultilevel"/>
    <w:tmpl w:val="463846D2"/>
    <w:lvl w:ilvl="0" w:tplc="04150005">
      <w:start w:val="1"/>
      <w:numFmt w:val="bullet"/>
      <w:lvlText w:val=""/>
      <w:lvlJc w:val="left"/>
      <w:pPr>
        <w:ind w:left="720" w:hanging="360"/>
      </w:pPr>
      <w:rPr>
        <w:rFonts w:ascii="Symbol" w:hAnsi="Symbol" w:hint="default"/>
      </w:rPr>
    </w:lvl>
    <w:lvl w:ilvl="1" w:tplc="423C4CFA"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5" w15:restartNumberingAfterBreak="0">
    <w:nsid w:val="7B5E2322"/>
    <w:multiLevelType w:val="hybridMultilevel"/>
    <w:tmpl w:val="1026E082"/>
    <w:lvl w:ilvl="0" w:tplc="FF54C66C">
      <w:numFmt w:val="bullet"/>
      <w:lvlText w:val="-"/>
      <w:lvlJc w:val="left"/>
      <w:pPr>
        <w:tabs>
          <w:tab w:val="num" w:pos="720"/>
        </w:tabs>
        <w:ind w:left="720" w:hanging="360"/>
      </w:pPr>
      <w:rPr>
        <w:rFonts w:ascii="Arial" w:eastAsia="Arabic Typesetting" w:hAnsi="Arial" w:cs="Arial" w:hint="default"/>
      </w:rPr>
    </w:lvl>
    <w:lvl w:ilvl="1" w:tplc="C2723EB4">
      <w:numFmt w:val="bullet"/>
      <w:lvlText w:val="-"/>
      <w:lvlJc w:val="left"/>
      <w:pPr>
        <w:tabs>
          <w:tab w:val="num" w:pos="1440"/>
        </w:tabs>
        <w:ind w:left="1440" w:hanging="360"/>
      </w:pPr>
      <w:rPr>
        <w:rFonts w:ascii="Arial" w:eastAsia="Arabic Typesetting" w:hAnsi="Arial" w:cs="Arial" w:hint="default"/>
      </w:rPr>
    </w:lvl>
    <w:lvl w:ilvl="2" w:tplc="CB10D6AA" w:tentative="1">
      <w:start w:val="1"/>
      <w:numFmt w:val="lowerRoman"/>
      <w:lvlText w:val="%3."/>
      <w:lvlJc w:val="right"/>
      <w:pPr>
        <w:tabs>
          <w:tab w:val="num" w:pos="2160"/>
        </w:tabs>
        <w:ind w:left="2160" w:hanging="180"/>
      </w:pPr>
    </w:lvl>
    <w:lvl w:ilvl="3" w:tplc="E90E3D1E" w:tentative="1">
      <w:start w:val="1"/>
      <w:numFmt w:val="decimal"/>
      <w:lvlText w:val="%4."/>
      <w:lvlJc w:val="left"/>
      <w:pPr>
        <w:tabs>
          <w:tab w:val="num" w:pos="2880"/>
        </w:tabs>
        <w:ind w:left="2880" w:hanging="360"/>
      </w:pPr>
    </w:lvl>
    <w:lvl w:ilvl="4" w:tplc="17B855B0" w:tentative="1">
      <w:start w:val="1"/>
      <w:numFmt w:val="lowerLetter"/>
      <w:lvlText w:val="%5."/>
      <w:lvlJc w:val="left"/>
      <w:pPr>
        <w:tabs>
          <w:tab w:val="num" w:pos="3600"/>
        </w:tabs>
        <w:ind w:left="3600" w:hanging="360"/>
      </w:pPr>
    </w:lvl>
    <w:lvl w:ilvl="5" w:tplc="B78295D6" w:tentative="1">
      <w:start w:val="1"/>
      <w:numFmt w:val="lowerRoman"/>
      <w:lvlText w:val="%6."/>
      <w:lvlJc w:val="right"/>
      <w:pPr>
        <w:tabs>
          <w:tab w:val="num" w:pos="4320"/>
        </w:tabs>
        <w:ind w:left="4320" w:hanging="180"/>
      </w:pPr>
    </w:lvl>
    <w:lvl w:ilvl="6" w:tplc="BB624CB4" w:tentative="1">
      <w:start w:val="1"/>
      <w:numFmt w:val="decimal"/>
      <w:lvlText w:val="%7."/>
      <w:lvlJc w:val="left"/>
      <w:pPr>
        <w:tabs>
          <w:tab w:val="num" w:pos="5040"/>
        </w:tabs>
        <w:ind w:left="5040" w:hanging="360"/>
      </w:pPr>
    </w:lvl>
    <w:lvl w:ilvl="7" w:tplc="2D24079A" w:tentative="1">
      <w:start w:val="1"/>
      <w:numFmt w:val="lowerLetter"/>
      <w:lvlText w:val="%8."/>
      <w:lvlJc w:val="left"/>
      <w:pPr>
        <w:tabs>
          <w:tab w:val="num" w:pos="5760"/>
        </w:tabs>
        <w:ind w:left="5760" w:hanging="360"/>
      </w:pPr>
    </w:lvl>
    <w:lvl w:ilvl="8" w:tplc="E530FC4A" w:tentative="1">
      <w:start w:val="1"/>
      <w:numFmt w:val="lowerRoman"/>
      <w:lvlText w:val="%9."/>
      <w:lvlJc w:val="right"/>
      <w:pPr>
        <w:tabs>
          <w:tab w:val="num" w:pos="6480"/>
        </w:tabs>
        <w:ind w:left="6480" w:hanging="180"/>
      </w:pPr>
    </w:lvl>
  </w:abstractNum>
  <w:abstractNum w:abstractNumId="86" w15:restartNumberingAfterBreak="0">
    <w:nsid w:val="7E182A99"/>
    <w:multiLevelType w:val="hybridMultilevel"/>
    <w:tmpl w:val="DA00EE5C"/>
    <w:lvl w:ilvl="0" w:tplc="F95CD1AE">
      <w:start w:val="1"/>
      <w:numFmt w:val="bullet"/>
      <w:lvlText w:val=""/>
      <w:lvlJc w:val="left"/>
      <w:pPr>
        <w:tabs>
          <w:tab w:val="num" w:pos="360"/>
        </w:tabs>
        <w:ind w:left="360" w:hanging="360"/>
      </w:pPr>
      <w:rPr>
        <w:rFonts w:ascii="Wingdings" w:hAnsi="Wingdings" w:hint="default"/>
      </w:rPr>
    </w:lvl>
    <w:lvl w:ilvl="1" w:tplc="04150005">
      <w:start w:val="1"/>
      <w:numFmt w:val="bullet"/>
      <w:lvlText w:val=""/>
      <w:lvlJc w:val="left"/>
      <w:pPr>
        <w:ind w:left="1425" w:hanging="705"/>
      </w:pPr>
      <w:rPr>
        <w:rFonts w:ascii="Wingdings" w:hAnsi="Wingdings"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7E236990"/>
    <w:multiLevelType w:val="hybridMultilevel"/>
    <w:tmpl w:val="0D0A76A2"/>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2"/>
  </w:num>
  <w:num w:numId="2">
    <w:abstractNumId w:val="82"/>
  </w:num>
  <w:num w:numId="3">
    <w:abstractNumId w:val="17"/>
  </w:num>
  <w:num w:numId="4">
    <w:abstractNumId w:val="0"/>
  </w:num>
  <w:num w:numId="5">
    <w:abstractNumId w:val="31"/>
  </w:num>
  <w:num w:numId="6">
    <w:abstractNumId w:val="70"/>
  </w:num>
  <w:num w:numId="7">
    <w:abstractNumId w:val="10"/>
  </w:num>
  <w:num w:numId="8">
    <w:abstractNumId w:val="14"/>
  </w:num>
  <w:num w:numId="9">
    <w:abstractNumId w:val="13"/>
  </w:num>
  <w:num w:numId="10">
    <w:abstractNumId w:val="75"/>
  </w:num>
  <w:num w:numId="11">
    <w:abstractNumId w:val="55"/>
  </w:num>
  <w:num w:numId="12">
    <w:abstractNumId w:val="12"/>
  </w:num>
  <w:num w:numId="13">
    <w:abstractNumId w:val="18"/>
  </w:num>
  <w:num w:numId="14">
    <w:abstractNumId w:val="76"/>
  </w:num>
  <w:num w:numId="15">
    <w:abstractNumId w:val="24"/>
  </w:num>
  <w:num w:numId="16">
    <w:abstractNumId w:val="79"/>
  </w:num>
  <w:num w:numId="17">
    <w:abstractNumId w:val="64"/>
  </w:num>
  <w:num w:numId="18">
    <w:abstractNumId w:val="74"/>
  </w:num>
  <w:num w:numId="19">
    <w:abstractNumId w:val="21"/>
  </w:num>
  <w:num w:numId="20">
    <w:abstractNumId w:val="85"/>
  </w:num>
  <w:num w:numId="21">
    <w:abstractNumId w:val="20"/>
  </w:num>
  <w:num w:numId="22">
    <w:abstractNumId w:val="43"/>
  </w:num>
  <w:num w:numId="23">
    <w:abstractNumId w:val="16"/>
  </w:num>
  <w:num w:numId="24">
    <w:abstractNumId w:val="57"/>
  </w:num>
  <w:num w:numId="25">
    <w:abstractNumId w:val="32"/>
  </w:num>
  <w:num w:numId="26">
    <w:abstractNumId w:val="47"/>
  </w:num>
  <w:num w:numId="27">
    <w:abstractNumId w:val="72"/>
  </w:num>
  <w:num w:numId="28">
    <w:abstractNumId w:val="87"/>
  </w:num>
  <w:num w:numId="29">
    <w:abstractNumId w:val="69"/>
  </w:num>
  <w:num w:numId="30">
    <w:abstractNumId w:val="50"/>
  </w:num>
  <w:num w:numId="31">
    <w:abstractNumId w:val="53"/>
  </w:num>
  <w:num w:numId="32">
    <w:abstractNumId w:val="84"/>
  </w:num>
  <w:num w:numId="33">
    <w:abstractNumId w:val="29"/>
  </w:num>
  <w:num w:numId="34">
    <w:abstractNumId w:val="42"/>
  </w:num>
  <w:num w:numId="35">
    <w:abstractNumId w:val="81"/>
  </w:num>
  <w:num w:numId="36">
    <w:abstractNumId w:val="45"/>
  </w:num>
  <w:num w:numId="37">
    <w:abstractNumId w:val="15"/>
  </w:num>
  <w:num w:numId="38">
    <w:abstractNumId w:val="56"/>
  </w:num>
  <w:num w:numId="39">
    <w:abstractNumId w:val="1"/>
  </w:num>
  <w:num w:numId="40">
    <w:abstractNumId w:val="25"/>
  </w:num>
  <w:num w:numId="41">
    <w:abstractNumId w:val="83"/>
  </w:num>
  <w:num w:numId="42">
    <w:abstractNumId w:val="28"/>
  </w:num>
  <w:num w:numId="43">
    <w:abstractNumId w:val="58"/>
  </w:num>
  <w:num w:numId="44">
    <w:abstractNumId w:val="11"/>
  </w:num>
  <w:num w:numId="45">
    <w:abstractNumId w:val="65"/>
  </w:num>
  <w:num w:numId="46">
    <w:abstractNumId w:val="66"/>
  </w:num>
  <w:num w:numId="47">
    <w:abstractNumId w:val="35"/>
  </w:num>
  <w:num w:numId="48">
    <w:abstractNumId w:val="49"/>
  </w:num>
  <w:num w:numId="49">
    <w:abstractNumId w:val="51"/>
  </w:num>
  <w:num w:numId="50">
    <w:abstractNumId w:val="59"/>
  </w:num>
  <w:num w:numId="51">
    <w:abstractNumId w:val="5"/>
  </w:num>
  <w:num w:numId="52">
    <w:abstractNumId w:val="8"/>
  </w:num>
  <w:num w:numId="53">
    <w:abstractNumId w:val="41"/>
  </w:num>
  <w:num w:numId="54">
    <w:abstractNumId w:val="6"/>
  </w:num>
  <w:num w:numId="55">
    <w:abstractNumId w:val="40"/>
  </w:num>
  <w:num w:numId="56">
    <w:abstractNumId w:val="80"/>
  </w:num>
  <w:num w:numId="57">
    <w:abstractNumId w:val="73"/>
  </w:num>
  <w:num w:numId="58">
    <w:abstractNumId w:val="9"/>
  </w:num>
  <w:num w:numId="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26"/>
  </w:num>
  <w:num w:numId="62">
    <w:abstractNumId w:val="52"/>
  </w:num>
  <w:num w:numId="63">
    <w:abstractNumId w:val="27"/>
  </w:num>
  <w:num w:numId="64">
    <w:abstractNumId w:val="19"/>
  </w:num>
  <w:num w:numId="65">
    <w:abstractNumId w:val="48"/>
  </w:num>
  <w:num w:numId="66">
    <w:abstractNumId w:val="86"/>
  </w:num>
  <w:num w:numId="67">
    <w:abstractNumId w:val="61"/>
  </w:num>
  <w:num w:numId="68">
    <w:abstractNumId w:val="37"/>
  </w:num>
  <w:num w:numId="69">
    <w:abstractNumId w:val="23"/>
  </w:num>
  <w:num w:numId="70">
    <w:abstractNumId w:val="67"/>
  </w:num>
  <w:num w:numId="71">
    <w:abstractNumId w:val="30"/>
  </w:num>
  <w:num w:numId="72">
    <w:abstractNumId w:val="7"/>
  </w:num>
  <w:num w:numId="73">
    <w:abstractNumId w:val="78"/>
  </w:num>
  <w:num w:numId="74">
    <w:abstractNumId w:val="38"/>
  </w:num>
  <w:num w:numId="75">
    <w:abstractNumId w:val="39"/>
  </w:num>
  <w:num w:numId="76">
    <w:abstractNumId w:val="4"/>
  </w:num>
  <w:num w:numId="77">
    <w:abstractNumId w:val="34"/>
  </w:num>
  <w:num w:numId="78">
    <w:abstractNumId w:val="22"/>
  </w:num>
  <w:num w:numId="79">
    <w:abstractNumId w:val="71"/>
  </w:num>
  <w:num w:numId="80">
    <w:abstractNumId w:val="60"/>
  </w:num>
  <w:num w:numId="81">
    <w:abstractNumId w:val="36"/>
  </w:num>
  <w:num w:numId="82">
    <w:abstractNumId w:val="31"/>
  </w:num>
  <w:num w:numId="83">
    <w:abstractNumId w:val="33"/>
  </w:num>
  <w:num w:numId="84">
    <w:abstractNumId w:val="63"/>
  </w:num>
  <w:num w:numId="85">
    <w:abstractNumId w:val="77"/>
  </w:num>
  <w:num w:numId="86">
    <w:abstractNumId w:val="5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BBC"/>
    <w:rsid w:val="000025CF"/>
    <w:rsid w:val="00003716"/>
    <w:rsid w:val="00003988"/>
    <w:rsid w:val="000041B6"/>
    <w:rsid w:val="00005012"/>
    <w:rsid w:val="000062C2"/>
    <w:rsid w:val="00006891"/>
    <w:rsid w:val="00006A84"/>
    <w:rsid w:val="000104C7"/>
    <w:rsid w:val="00011960"/>
    <w:rsid w:val="0001362F"/>
    <w:rsid w:val="000136D1"/>
    <w:rsid w:val="00015DAC"/>
    <w:rsid w:val="0001647E"/>
    <w:rsid w:val="00021590"/>
    <w:rsid w:val="00022B1E"/>
    <w:rsid w:val="00023499"/>
    <w:rsid w:val="00023721"/>
    <w:rsid w:val="0002433A"/>
    <w:rsid w:val="0002481D"/>
    <w:rsid w:val="00024E05"/>
    <w:rsid w:val="00025221"/>
    <w:rsid w:val="00025F25"/>
    <w:rsid w:val="0002679A"/>
    <w:rsid w:val="00026809"/>
    <w:rsid w:val="00026ED9"/>
    <w:rsid w:val="00026F05"/>
    <w:rsid w:val="00026FFC"/>
    <w:rsid w:val="000271CE"/>
    <w:rsid w:val="000277B9"/>
    <w:rsid w:val="00030EB0"/>
    <w:rsid w:val="00031127"/>
    <w:rsid w:val="00032658"/>
    <w:rsid w:val="00032749"/>
    <w:rsid w:val="00032A3A"/>
    <w:rsid w:val="00032AF1"/>
    <w:rsid w:val="0003431E"/>
    <w:rsid w:val="00036A0B"/>
    <w:rsid w:val="00036A2A"/>
    <w:rsid w:val="00041962"/>
    <w:rsid w:val="00042F33"/>
    <w:rsid w:val="0004372E"/>
    <w:rsid w:val="00043957"/>
    <w:rsid w:val="00044BB0"/>
    <w:rsid w:val="00044F71"/>
    <w:rsid w:val="00045853"/>
    <w:rsid w:val="0004646C"/>
    <w:rsid w:val="000478F0"/>
    <w:rsid w:val="000504F2"/>
    <w:rsid w:val="00051BAE"/>
    <w:rsid w:val="00052275"/>
    <w:rsid w:val="00052617"/>
    <w:rsid w:val="00052C99"/>
    <w:rsid w:val="000533C9"/>
    <w:rsid w:val="00053A2A"/>
    <w:rsid w:val="00054027"/>
    <w:rsid w:val="00054064"/>
    <w:rsid w:val="00054661"/>
    <w:rsid w:val="00054F01"/>
    <w:rsid w:val="00055FCD"/>
    <w:rsid w:val="00056123"/>
    <w:rsid w:val="000571F0"/>
    <w:rsid w:val="00057E7F"/>
    <w:rsid w:val="00060488"/>
    <w:rsid w:val="00061DC8"/>
    <w:rsid w:val="00061ED1"/>
    <w:rsid w:val="0006260E"/>
    <w:rsid w:val="0006769E"/>
    <w:rsid w:val="00067C19"/>
    <w:rsid w:val="00067E07"/>
    <w:rsid w:val="00070164"/>
    <w:rsid w:val="00072181"/>
    <w:rsid w:val="000728E2"/>
    <w:rsid w:val="000743CF"/>
    <w:rsid w:val="0007485C"/>
    <w:rsid w:val="00074FD5"/>
    <w:rsid w:val="00075CB9"/>
    <w:rsid w:val="00075CDB"/>
    <w:rsid w:val="0007616D"/>
    <w:rsid w:val="00076DD8"/>
    <w:rsid w:val="000771AC"/>
    <w:rsid w:val="000773CE"/>
    <w:rsid w:val="000778E4"/>
    <w:rsid w:val="00082481"/>
    <w:rsid w:val="000825D6"/>
    <w:rsid w:val="0008265B"/>
    <w:rsid w:val="000829BF"/>
    <w:rsid w:val="00082F1B"/>
    <w:rsid w:val="00083199"/>
    <w:rsid w:val="0008420A"/>
    <w:rsid w:val="00084245"/>
    <w:rsid w:val="00084479"/>
    <w:rsid w:val="00084757"/>
    <w:rsid w:val="00085274"/>
    <w:rsid w:val="000862F6"/>
    <w:rsid w:val="00086A1E"/>
    <w:rsid w:val="0008797A"/>
    <w:rsid w:val="00087D9A"/>
    <w:rsid w:val="000925DD"/>
    <w:rsid w:val="00092D91"/>
    <w:rsid w:val="00093307"/>
    <w:rsid w:val="0009365F"/>
    <w:rsid w:val="000950A9"/>
    <w:rsid w:val="00097213"/>
    <w:rsid w:val="000A01DB"/>
    <w:rsid w:val="000A1465"/>
    <w:rsid w:val="000A1E69"/>
    <w:rsid w:val="000A397D"/>
    <w:rsid w:val="000A40CE"/>
    <w:rsid w:val="000A4BDC"/>
    <w:rsid w:val="000A65FD"/>
    <w:rsid w:val="000A725E"/>
    <w:rsid w:val="000A72D5"/>
    <w:rsid w:val="000A7536"/>
    <w:rsid w:val="000A7706"/>
    <w:rsid w:val="000A7915"/>
    <w:rsid w:val="000B0ACA"/>
    <w:rsid w:val="000B1060"/>
    <w:rsid w:val="000B1253"/>
    <w:rsid w:val="000B267A"/>
    <w:rsid w:val="000B2BBC"/>
    <w:rsid w:val="000B3B00"/>
    <w:rsid w:val="000B4885"/>
    <w:rsid w:val="000B521E"/>
    <w:rsid w:val="000B5D2C"/>
    <w:rsid w:val="000B7FDB"/>
    <w:rsid w:val="000C049B"/>
    <w:rsid w:val="000C04D3"/>
    <w:rsid w:val="000C057A"/>
    <w:rsid w:val="000C43AE"/>
    <w:rsid w:val="000C5DF0"/>
    <w:rsid w:val="000C63DC"/>
    <w:rsid w:val="000C7B7A"/>
    <w:rsid w:val="000D030E"/>
    <w:rsid w:val="000D169B"/>
    <w:rsid w:val="000D1A6B"/>
    <w:rsid w:val="000D3AD0"/>
    <w:rsid w:val="000D458C"/>
    <w:rsid w:val="000D47B7"/>
    <w:rsid w:val="000D4F4F"/>
    <w:rsid w:val="000D5A1A"/>
    <w:rsid w:val="000D614E"/>
    <w:rsid w:val="000D6FC2"/>
    <w:rsid w:val="000D7E5E"/>
    <w:rsid w:val="000E06FC"/>
    <w:rsid w:val="000E12EC"/>
    <w:rsid w:val="000E26DE"/>
    <w:rsid w:val="000E2AE3"/>
    <w:rsid w:val="000E2B81"/>
    <w:rsid w:val="000E2F69"/>
    <w:rsid w:val="000E319B"/>
    <w:rsid w:val="000E40EF"/>
    <w:rsid w:val="000E6663"/>
    <w:rsid w:val="000E6BB4"/>
    <w:rsid w:val="000E6F34"/>
    <w:rsid w:val="000E726B"/>
    <w:rsid w:val="000E7444"/>
    <w:rsid w:val="000F0CF6"/>
    <w:rsid w:val="000F223F"/>
    <w:rsid w:val="000F2422"/>
    <w:rsid w:val="000F2794"/>
    <w:rsid w:val="000F4BD8"/>
    <w:rsid w:val="000F617F"/>
    <w:rsid w:val="000F65C7"/>
    <w:rsid w:val="000F71DB"/>
    <w:rsid w:val="001002E9"/>
    <w:rsid w:val="00100DB7"/>
    <w:rsid w:val="001031ED"/>
    <w:rsid w:val="0010346E"/>
    <w:rsid w:val="0010429B"/>
    <w:rsid w:val="00104DB3"/>
    <w:rsid w:val="00104E35"/>
    <w:rsid w:val="00105209"/>
    <w:rsid w:val="00105643"/>
    <w:rsid w:val="001070FD"/>
    <w:rsid w:val="00107297"/>
    <w:rsid w:val="0010739F"/>
    <w:rsid w:val="001073C6"/>
    <w:rsid w:val="001100D6"/>
    <w:rsid w:val="00110B4A"/>
    <w:rsid w:val="00110EA6"/>
    <w:rsid w:val="001118B7"/>
    <w:rsid w:val="00112D81"/>
    <w:rsid w:val="001130AA"/>
    <w:rsid w:val="00116554"/>
    <w:rsid w:val="00120868"/>
    <w:rsid w:val="00121BC4"/>
    <w:rsid w:val="0012240A"/>
    <w:rsid w:val="001236F3"/>
    <w:rsid w:val="001244D5"/>
    <w:rsid w:val="00125260"/>
    <w:rsid w:val="00125462"/>
    <w:rsid w:val="0012653A"/>
    <w:rsid w:val="0012725E"/>
    <w:rsid w:val="00130BE0"/>
    <w:rsid w:val="00131AAF"/>
    <w:rsid w:val="00132DEB"/>
    <w:rsid w:val="001346D3"/>
    <w:rsid w:val="001350B4"/>
    <w:rsid w:val="0013534F"/>
    <w:rsid w:val="00135D96"/>
    <w:rsid w:val="0013671C"/>
    <w:rsid w:val="00137A8C"/>
    <w:rsid w:val="00140A77"/>
    <w:rsid w:val="00141576"/>
    <w:rsid w:val="00141B6E"/>
    <w:rsid w:val="0014210B"/>
    <w:rsid w:val="00142501"/>
    <w:rsid w:val="00143F34"/>
    <w:rsid w:val="00144373"/>
    <w:rsid w:val="00144A48"/>
    <w:rsid w:val="00144E94"/>
    <w:rsid w:val="00145E29"/>
    <w:rsid w:val="001462C4"/>
    <w:rsid w:val="001468DF"/>
    <w:rsid w:val="00146BE8"/>
    <w:rsid w:val="00150584"/>
    <w:rsid w:val="00150CD6"/>
    <w:rsid w:val="00150E79"/>
    <w:rsid w:val="001512CE"/>
    <w:rsid w:val="001517B5"/>
    <w:rsid w:val="00151813"/>
    <w:rsid w:val="001520D1"/>
    <w:rsid w:val="001527F4"/>
    <w:rsid w:val="001527F7"/>
    <w:rsid w:val="00154134"/>
    <w:rsid w:val="001546A7"/>
    <w:rsid w:val="00154B37"/>
    <w:rsid w:val="0015537F"/>
    <w:rsid w:val="00155A83"/>
    <w:rsid w:val="00155CDE"/>
    <w:rsid w:val="00157109"/>
    <w:rsid w:val="00157B9C"/>
    <w:rsid w:val="00160EFA"/>
    <w:rsid w:val="0016273C"/>
    <w:rsid w:val="00162F58"/>
    <w:rsid w:val="001641CD"/>
    <w:rsid w:val="001655D0"/>
    <w:rsid w:val="00166689"/>
    <w:rsid w:val="00167C3B"/>
    <w:rsid w:val="00167F53"/>
    <w:rsid w:val="001704A9"/>
    <w:rsid w:val="001704FC"/>
    <w:rsid w:val="00170B6C"/>
    <w:rsid w:val="00171C13"/>
    <w:rsid w:val="0017217E"/>
    <w:rsid w:val="00172248"/>
    <w:rsid w:val="001724EB"/>
    <w:rsid w:val="00173436"/>
    <w:rsid w:val="00173609"/>
    <w:rsid w:val="00173C59"/>
    <w:rsid w:val="0017506D"/>
    <w:rsid w:val="001806A0"/>
    <w:rsid w:val="0018101F"/>
    <w:rsid w:val="00181E38"/>
    <w:rsid w:val="00182177"/>
    <w:rsid w:val="00182231"/>
    <w:rsid w:val="00182A7C"/>
    <w:rsid w:val="00183750"/>
    <w:rsid w:val="0018428A"/>
    <w:rsid w:val="001842D8"/>
    <w:rsid w:val="001843B1"/>
    <w:rsid w:val="00186E86"/>
    <w:rsid w:val="00186F0C"/>
    <w:rsid w:val="00190648"/>
    <w:rsid w:val="00190EDC"/>
    <w:rsid w:val="00190F54"/>
    <w:rsid w:val="001913BA"/>
    <w:rsid w:val="00191967"/>
    <w:rsid w:val="001919E4"/>
    <w:rsid w:val="001920FD"/>
    <w:rsid w:val="0019236A"/>
    <w:rsid w:val="001951AF"/>
    <w:rsid w:val="0019785A"/>
    <w:rsid w:val="00197B5D"/>
    <w:rsid w:val="00197E75"/>
    <w:rsid w:val="001A10F7"/>
    <w:rsid w:val="001A3081"/>
    <w:rsid w:val="001A36F9"/>
    <w:rsid w:val="001A61C5"/>
    <w:rsid w:val="001A73D2"/>
    <w:rsid w:val="001A78AA"/>
    <w:rsid w:val="001A79C2"/>
    <w:rsid w:val="001B0141"/>
    <w:rsid w:val="001B23B1"/>
    <w:rsid w:val="001B37C7"/>
    <w:rsid w:val="001B4479"/>
    <w:rsid w:val="001B49D1"/>
    <w:rsid w:val="001B6267"/>
    <w:rsid w:val="001B7E52"/>
    <w:rsid w:val="001B7EDF"/>
    <w:rsid w:val="001C12E2"/>
    <w:rsid w:val="001C2244"/>
    <w:rsid w:val="001C2AB4"/>
    <w:rsid w:val="001C3A4B"/>
    <w:rsid w:val="001C3DEB"/>
    <w:rsid w:val="001C473F"/>
    <w:rsid w:val="001C5ABA"/>
    <w:rsid w:val="001C6816"/>
    <w:rsid w:val="001C6B63"/>
    <w:rsid w:val="001C7488"/>
    <w:rsid w:val="001D1506"/>
    <w:rsid w:val="001D151A"/>
    <w:rsid w:val="001D2048"/>
    <w:rsid w:val="001D246C"/>
    <w:rsid w:val="001D2ADA"/>
    <w:rsid w:val="001D2E5B"/>
    <w:rsid w:val="001D460A"/>
    <w:rsid w:val="001D474A"/>
    <w:rsid w:val="001D48F2"/>
    <w:rsid w:val="001D5961"/>
    <w:rsid w:val="001D5FC3"/>
    <w:rsid w:val="001D662F"/>
    <w:rsid w:val="001D752C"/>
    <w:rsid w:val="001D77EA"/>
    <w:rsid w:val="001E146C"/>
    <w:rsid w:val="001E22AA"/>
    <w:rsid w:val="001E23D6"/>
    <w:rsid w:val="001E2F41"/>
    <w:rsid w:val="001E3DB0"/>
    <w:rsid w:val="001E7177"/>
    <w:rsid w:val="001E765E"/>
    <w:rsid w:val="001E771F"/>
    <w:rsid w:val="001E784B"/>
    <w:rsid w:val="001F0C54"/>
    <w:rsid w:val="001F1500"/>
    <w:rsid w:val="001F2BEA"/>
    <w:rsid w:val="001F2F97"/>
    <w:rsid w:val="001F33F6"/>
    <w:rsid w:val="001F3406"/>
    <w:rsid w:val="001F34BC"/>
    <w:rsid w:val="001F3800"/>
    <w:rsid w:val="001F4C06"/>
    <w:rsid w:val="001F51DA"/>
    <w:rsid w:val="001F5C4A"/>
    <w:rsid w:val="001F628E"/>
    <w:rsid w:val="001F72F3"/>
    <w:rsid w:val="001F7415"/>
    <w:rsid w:val="00201BF7"/>
    <w:rsid w:val="00201FD6"/>
    <w:rsid w:val="0020251A"/>
    <w:rsid w:val="00203964"/>
    <w:rsid w:val="00204745"/>
    <w:rsid w:val="00204E8A"/>
    <w:rsid w:val="00205259"/>
    <w:rsid w:val="00205D1C"/>
    <w:rsid w:val="00205D6F"/>
    <w:rsid w:val="00205E26"/>
    <w:rsid w:val="002064F2"/>
    <w:rsid w:val="00206874"/>
    <w:rsid w:val="00207132"/>
    <w:rsid w:val="00207400"/>
    <w:rsid w:val="002077AD"/>
    <w:rsid w:val="00210022"/>
    <w:rsid w:val="00210C1C"/>
    <w:rsid w:val="0021109D"/>
    <w:rsid w:val="0021336D"/>
    <w:rsid w:val="00214BCC"/>
    <w:rsid w:val="00216090"/>
    <w:rsid w:val="0021616B"/>
    <w:rsid w:val="002166B6"/>
    <w:rsid w:val="002167DB"/>
    <w:rsid w:val="002200D7"/>
    <w:rsid w:val="002200DF"/>
    <w:rsid w:val="0022350B"/>
    <w:rsid w:val="00223E94"/>
    <w:rsid w:val="002244B2"/>
    <w:rsid w:val="00230247"/>
    <w:rsid w:val="00230823"/>
    <w:rsid w:val="00232B18"/>
    <w:rsid w:val="00233196"/>
    <w:rsid w:val="00236650"/>
    <w:rsid w:val="002372DB"/>
    <w:rsid w:val="0024178C"/>
    <w:rsid w:val="00242527"/>
    <w:rsid w:val="00242570"/>
    <w:rsid w:val="00243A57"/>
    <w:rsid w:val="00244200"/>
    <w:rsid w:val="0024616F"/>
    <w:rsid w:val="0024735E"/>
    <w:rsid w:val="00247552"/>
    <w:rsid w:val="0024770F"/>
    <w:rsid w:val="00247C45"/>
    <w:rsid w:val="00247E44"/>
    <w:rsid w:val="00250E61"/>
    <w:rsid w:val="0025142A"/>
    <w:rsid w:val="00251E81"/>
    <w:rsid w:val="00253808"/>
    <w:rsid w:val="00253CD1"/>
    <w:rsid w:val="002542F4"/>
    <w:rsid w:val="00254648"/>
    <w:rsid w:val="00255761"/>
    <w:rsid w:val="002562A2"/>
    <w:rsid w:val="00256959"/>
    <w:rsid w:val="00256C50"/>
    <w:rsid w:val="0025736A"/>
    <w:rsid w:val="00257649"/>
    <w:rsid w:val="002609A2"/>
    <w:rsid w:val="002619D3"/>
    <w:rsid w:val="002621B7"/>
    <w:rsid w:val="00265EB4"/>
    <w:rsid w:val="0026604A"/>
    <w:rsid w:val="00267450"/>
    <w:rsid w:val="002713D6"/>
    <w:rsid w:val="00273237"/>
    <w:rsid w:val="00273641"/>
    <w:rsid w:val="002736C4"/>
    <w:rsid w:val="002748C9"/>
    <w:rsid w:val="00276020"/>
    <w:rsid w:val="002760D6"/>
    <w:rsid w:val="002767CB"/>
    <w:rsid w:val="00280E1A"/>
    <w:rsid w:val="002810EF"/>
    <w:rsid w:val="00281998"/>
    <w:rsid w:val="0028200A"/>
    <w:rsid w:val="00283868"/>
    <w:rsid w:val="002858FC"/>
    <w:rsid w:val="002903EF"/>
    <w:rsid w:val="00291748"/>
    <w:rsid w:val="00291D28"/>
    <w:rsid w:val="00292A7E"/>
    <w:rsid w:val="00292EFB"/>
    <w:rsid w:val="00293F5A"/>
    <w:rsid w:val="0029506F"/>
    <w:rsid w:val="002953D4"/>
    <w:rsid w:val="00295432"/>
    <w:rsid w:val="00295DA3"/>
    <w:rsid w:val="00295FC3"/>
    <w:rsid w:val="002960D8"/>
    <w:rsid w:val="002A199F"/>
    <w:rsid w:val="002A1A70"/>
    <w:rsid w:val="002A313A"/>
    <w:rsid w:val="002A4A04"/>
    <w:rsid w:val="002A5341"/>
    <w:rsid w:val="002A5523"/>
    <w:rsid w:val="002A6BB0"/>
    <w:rsid w:val="002A7C70"/>
    <w:rsid w:val="002A7C8B"/>
    <w:rsid w:val="002B008B"/>
    <w:rsid w:val="002B04D4"/>
    <w:rsid w:val="002B070B"/>
    <w:rsid w:val="002B07AD"/>
    <w:rsid w:val="002B0B8D"/>
    <w:rsid w:val="002B1780"/>
    <w:rsid w:val="002B1D10"/>
    <w:rsid w:val="002B3F32"/>
    <w:rsid w:val="002B5AEC"/>
    <w:rsid w:val="002B5EB6"/>
    <w:rsid w:val="002B6371"/>
    <w:rsid w:val="002B6A79"/>
    <w:rsid w:val="002C0F33"/>
    <w:rsid w:val="002C1C15"/>
    <w:rsid w:val="002C1D92"/>
    <w:rsid w:val="002C34E6"/>
    <w:rsid w:val="002C3E76"/>
    <w:rsid w:val="002C3FAC"/>
    <w:rsid w:val="002C421E"/>
    <w:rsid w:val="002C4637"/>
    <w:rsid w:val="002C49EB"/>
    <w:rsid w:val="002C509C"/>
    <w:rsid w:val="002C62D3"/>
    <w:rsid w:val="002C7D53"/>
    <w:rsid w:val="002D05C8"/>
    <w:rsid w:val="002D06DB"/>
    <w:rsid w:val="002D0A79"/>
    <w:rsid w:val="002D0C74"/>
    <w:rsid w:val="002D0C88"/>
    <w:rsid w:val="002D1E15"/>
    <w:rsid w:val="002D228E"/>
    <w:rsid w:val="002D2365"/>
    <w:rsid w:val="002D238A"/>
    <w:rsid w:val="002D26E7"/>
    <w:rsid w:val="002D2F34"/>
    <w:rsid w:val="002D4BE8"/>
    <w:rsid w:val="002D4C47"/>
    <w:rsid w:val="002D58D1"/>
    <w:rsid w:val="002D68F3"/>
    <w:rsid w:val="002D7A7D"/>
    <w:rsid w:val="002E03A3"/>
    <w:rsid w:val="002E0F96"/>
    <w:rsid w:val="002E1ECD"/>
    <w:rsid w:val="002E2C10"/>
    <w:rsid w:val="002E4262"/>
    <w:rsid w:val="002E499D"/>
    <w:rsid w:val="002E4BFA"/>
    <w:rsid w:val="002E4EA3"/>
    <w:rsid w:val="002E5101"/>
    <w:rsid w:val="002F04D4"/>
    <w:rsid w:val="002F0A8F"/>
    <w:rsid w:val="002F0E1C"/>
    <w:rsid w:val="002F250E"/>
    <w:rsid w:val="002F2C2E"/>
    <w:rsid w:val="002F3023"/>
    <w:rsid w:val="002F39F6"/>
    <w:rsid w:val="002F491D"/>
    <w:rsid w:val="002F4931"/>
    <w:rsid w:val="002F538E"/>
    <w:rsid w:val="002F5734"/>
    <w:rsid w:val="002F760C"/>
    <w:rsid w:val="003006C4"/>
    <w:rsid w:val="00300D55"/>
    <w:rsid w:val="00301FA4"/>
    <w:rsid w:val="0030230C"/>
    <w:rsid w:val="0030318B"/>
    <w:rsid w:val="00303D33"/>
    <w:rsid w:val="00303E1C"/>
    <w:rsid w:val="00304824"/>
    <w:rsid w:val="00305149"/>
    <w:rsid w:val="003072E2"/>
    <w:rsid w:val="0031024F"/>
    <w:rsid w:val="00311845"/>
    <w:rsid w:val="00311DC7"/>
    <w:rsid w:val="00311ED4"/>
    <w:rsid w:val="00312128"/>
    <w:rsid w:val="00312485"/>
    <w:rsid w:val="00312749"/>
    <w:rsid w:val="00313C16"/>
    <w:rsid w:val="003146C9"/>
    <w:rsid w:val="00315129"/>
    <w:rsid w:val="00315C25"/>
    <w:rsid w:val="00315DD6"/>
    <w:rsid w:val="003177B6"/>
    <w:rsid w:val="00320CA3"/>
    <w:rsid w:val="00321E1A"/>
    <w:rsid w:val="0032363B"/>
    <w:rsid w:val="00323F88"/>
    <w:rsid w:val="003246E2"/>
    <w:rsid w:val="003256E4"/>
    <w:rsid w:val="00327293"/>
    <w:rsid w:val="003277EF"/>
    <w:rsid w:val="00331FFA"/>
    <w:rsid w:val="00332516"/>
    <w:rsid w:val="00332F0B"/>
    <w:rsid w:val="00334BEC"/>
    <w:rsid w:val="00334D5A"/>
    <w:rsid w:val="00335868"/>
    <w:rsid w:val="00336094"/>
    <w:rsid w:val="003402A7"/>
    <w:rsid w:val="003413C7"/>
    <w:rsid w:val="00341CAE"/>
    <w:rsid w:val="0034235E"/>
    <w:rsid w:val="003430B8"/>
    <w:rsid w:val="0034310C"/>
    <w:rsid w:val="00344F67"/>
    <w:rsid w:val="003451BC"/>
    <w:rsid w:val="00345A49"/>
    <w:rsid w:val="0034630D"/>
    <w:rsid w:val="00346900"/>
    <w:rsid w:val="0034728D"/>
    <w:rsid w:val="00347BDF"/>
    <w:rsid w:val="00347CD2"/>
    <w:rsid w:val="0035064F"/>
    <w:rsid w:val="003513B9"/>
    <w:rsid w:val="003514E5"/>
    <w:rsid w:val="0035189A"/>
    <w:rsid w:val="00351B80"/>
    <w:rsid w:val="00351C8D"/>
    <w:rsid w:val="00351EDB"/>
    <w:rsid w:val="00352877"/>
    <w:rsid w:val="0035310C"/>
    <w:rsid w:val="00353AC2"/>
    <w:rsid w:val="00353F0F"/>
    <w:rsid w:val="00354FF2"/>
    <w:rsid w:val="00355293"/>
    <w:rsid w:val="00356DC0"/>
    <w:rsid w:val="00357879"/>
    <w:rsid w:val="0036035E"/>
    <w:rsid w:val="003606D5"/>
    <w:rsid w:val="00362922"/>
    <w:rsid w:val="003631D6"/>
    <w:rsid w:val="0036328A"/>
    <w:rsid w:val="003634DC"/>
    <w:rsid w:val="00363C04"/>
    <w:rsid w:val="00363C6B"/>
    <w:rsid w:val="003667EC"/>
    <w:rsid w:val="00366FE2"/>
    <w:rsid w:val="00370F51"/>
    <w:rsid w:val="00371BB5"/>
    <w:rsid w:val="00372020"/>
    <w:rsid w:val="0037312B"/>
    <w:rsid w:val="003732D0"/>
    <w:rsid w:val="00373476"/>
    <w:rsid w:val="00373671"/>
    <w:rsid w:val="003742E3"/>
    <w:rsid w:val="003749B9"/>
    <w:rsid w:val="00374FC0"/>
    <w:rsid w:val="00375C89"/>
    <w:rsid w:val="003764A1"/>
    <w:rsid w:val="00381633"/>
    <w:rsid w:val="0038199E"/>
    <w:rsid w:val="00382172"/>
    <w:rsid w:val="003826DD"/>
    <w:rsid w:val="003827ED"/>
    <w:rsid w:val="003847EC"/>
    <w:rsid w:val="00384DB2"/>
    <w:rsid w:val="00385D15"/>
    <w:rsid w:val="0038680C"/>
    <w:rsid w:val="00387E9F"/>
    <w:rsid w:val="00390FFA"/>
    <w:rsid w:val="00391912"/>
    <w:rsid w:val="00391ABD"/>
    <w:rsid w:val="003937C0"/>
    <w:rsid w:val="00394356"/>
    <w:rsid w:val="0039445A"/>
    <w:rsid w:val="00395025"/>
    <w:rsid w:val="00395836"/>
    <w:rsid w:val="003960A2"/>
    <w:rsid w:val="00397A9A"/>
    <w:rsid w:val="003A0A34"/>
    <w:rsid w:val="003A145E"/>
    <w:rsid w:val="003A1829"/>
    <w:rsid w:val="003A314F"/>
    <w:rsid w:val="003A35AA"/>
    <w:rsid w:val="003A39B8"/>
    <w:rsid w:val="003A4B72"/>
    <w:rsid w:val="003A4FE9"/>
    <w:rsid w:val="003A7B38"/>
    <w:rsid w:val="003B205E"/>
    <w:rsid w:val="003B22A8"/>
    <w:rsid w:val="003B253A"/>
    <w:rsid w:val="003B28B6"/>
    <w:rsid w:val="003B2D9C"/>
    <w:rsid w:val="003B3DDD"/>
    <w:rsid w:val="003B487B"/>
    <w:rsid w:val="003B4E32"/>
    <w:rsid w:val="003B4F30"/>
    <w:rsid w:val="003B5B35"/>
    <w:rsid w:val="003B5D51"/>
    <w:rsid w:val="003B6881"/>
    <w:rsid w:val="003B6D8E"/>
    <w:rsid w:val="003B7317"/>
    <w:rsid w:val="003C06B6"/>
    <w:rsid w:val="003C08BF"/>
    <w:rsid w:val="003C18FA"/>
    <w:rsid w:val="003C325F"/>
    <w:rsid w:val="003C3274"/>
    <w:rsid w:val="003C3A19"/>
    <w:rsid w:val="003C3A56"/>
    <w:rsid w:val="003C442F"/>
    <w:rsid w:val="003C4F20"/>
    <w:rsid w:val="003C6188"/>
    <w:rsid w:val="003C6A06"/>
    <w:rsid w:val="003C6C5C"/>
    <w:rsid w:val="003C703D"/>
    <w:rsid w:val="003D0990"/>
    <w:rsid w:val="003D0EFD"/>
    <w:rsid w:val="003D1744"/>
    <w:rsid w:val="003D31F1"/>
    <w:rsid w:val="003D32B2"/>
    <w:rsid w:val="003D4216"/>
    <w:rsid w:val="003D6399"/>
    <w:rsid w:val="003E0EB0"/>
    <w:rsid w:val="003E42DF"/>
    <w:rsid w:val="003E4913"/>
    <w:rsid w:val="003E58B4"/>
    <w:rsid w:val="003E713B"/>
    <w:rsid w:val="003E7294"/>
    <w:rsid w:val="003E7722"/>
    <w:rsid w:val="003E7862"/>
    <w:rsid w:val="003F0955"/>
    <w:rsid w:val="003F0B29"/>
    <w:rsid w:val="003F1C87"/>
    <w:rsid w:val="003F211E"/>
    <w:rsid w:val="003F2168"/>
    <w:rsid w:val="003F2240"/>
    <w:rsid w:val="003F284E"/>
    <w:rsid w:val="003F3145"/>
    <w:rsid w:val="003F357B"/>
    <w:rsid w:val="003F7615"/>
    <w:rsid w:val="003F7B25"/>
    <w:rsid w:val="004011E9"/>
    <w:rsid w:val="0040205B"/>
    <w:rsid w:val="004021BF"/>
    <w:rsid w:val="00402E0C"/>
    <w:rsid w:val="00403061"/>
    <w:rsid w:val="00403573"/>
    <w:rsid w:val="00404299"/>
    <w:rsid w:val="004042AE"/>
    <w:rsid w:val="004045AF"/>
    <w:rsid w:val="0040473B"/>
    <w:rsid w:val="00404B52"/>
    <w:rsid w:val="00404BBE"/>
    <w:rsid w:val="00405E01"/>
    <w:rsid w:val="00406F05"/>
    <w:rsid w:val="0040786D"/>
    <w:rsid w:val="00410337"/>
    <w:rsid w:val="00410757"/>
    <w:rsid w:val="00411480"/>
    <w:rsid w:val="004116EC"/>
    <w:rsid w:val="00412075"/>
    <w:rsid w:val="00412E6A"/>
    <w:rsid w:val="00413836"/>
    <w:rsid w:val="004143C6"/>
    <w:rsid w:val="00414620"/>
    <w:rsid w:val="00414D9B"/>
    <w:rsid w:val="0041577B"/>
    <w:rsid w:val="00415B4D"/>
    <w:rsid w:val="0041624C"/>
    <w:rsid w:val="00417BD1"/>
    <w:rsid w:val="004200FC"/>
    <w:rsid w:val="004204A7"/>
    <w:rsid w:val="004212A9"/>
    <w:rsid w:val="00421C47"/>
    <w:rsid w:val="00422FB4"/>
    <w:rsid w:val="004232DE"/>
    <w:rsid w:val="004242CD"/>
    <w:rsid w:val="00424595"/>
    <w:rsid w:val="004245D9"/>
    <w:rsid w:val="00424CAD"/>
    <w:rsid w:val="00426F8E"/>
    <w:rsid w:val="00430B8E"/>
    <w:rsid w:val="004318DE"/>
    <w:rsid w:val="004319BA"/>
    <w:rsid w:val="004330D9"/>
    <w:rsid w:val="00434165"/>
    <w:rsid w:val="00434D3A"/>
    <w:rsid w:val="0043597B"/>
    <w:rsid w:val="00435DAD"/>
    <w:rsid w:val="0043600B"/>
    <w:rsid w:val="004363F8"/>
    <w:rsid w:val="004376A3"/>
    <w:rsid w:val="00437E54"/>
    <w:rsid w:val="00441181"/>
    <w:rsid w:val="00441FF5"/>
    <w:rsid w:val="00442BAF"/>
    <w:rsid w:val="00442C5C"/>
    <w:rsid w:val="00443113"/>
    <w:rsid w:val="0044436A"/>
    <w:rsid w:val="0044469C"/>
    <w:rsid w:val="00444ADA"/>
    <w:rsid w:val="004459C0"/>
    <w:rsid w:val="00445F08"/>
    <w:rsid w:val="00446DE8"/>
    <w:rsid w:val="00447877"/>
    <w:rsid w:val="004513A0"/>
    <w:rsid w:val="00454707"/>
    <w:rsid w:val="0045477A"/>
    <w:rsid w:val="00454B40"/>
    <w:rsid w:val="004550B8"/>
    <w:rsid w:val="0045545B"/>
    <w:rsid w:val="004568DF"/>
    <w:rsid w:val="00456F01"/>
    <w:rsid w:val="00461ABD"/>
    <w:rsid w:val="00461F96"/>
    <w:rsid w:val="00462132"/>
    <w:rsid w:val="004623E0"/>
    <w:rsid w:val="00462DD5"/>
    <w:rsid w:val="00464253"/>
    <w:rsid w:val="0046542E"/>
    <w:rsid w:val="00465A7C"/>
    <w:rsid w:val="004706D8"/>
    <w:rsid w:val="00470B18"/>
    <w:rsid w:val="004710EB"/>
    <w:rsid w:val="00471248"/>
    <w:rsid w:val="00472B19"/>
    <w:rsid w:val="0047368F"/>
    <w:rsid w:val="00475703"/>
    <w:rsid w:val="004759BF"/>
    <w:rsid w:val="00475BD6"/>
    <w:rsid w:val="00475C8C"/>
    <w:rsid w:val="00477116"/>
    <w:rsid w:val="0047761F"/>
    <w:rsid w:val="00477BC0"/>
    <w:rsid w:val="00477C18"/>
    <w:rsid w:val="00480493"/>
    <w:rsid w:val="0048053A"/>
    <w:rsid w:val="004814C9"/>
    <w:rsid w:val="00481BE1"/>
    <w:rsid w:val="004822AB"/>
    <w:rsid w:val="00482A66"/>
    <w:rsid w:val="00482F1C"/>
    <w:rsid w:val="00482F3D"/>
    <w:rsid w:val="004842EB"/>
    <w:rsid w:val="0048453B"/>
    <w:rsid w:val="004846EF"/>
    <w:rsid w:val="00484C4C"/>
    <w:rsid w:val="0048562C"/>
    <w:rsid w:val="0048580A"/>
    <w:rsid w:val="00485B4D"/>
    <w:rsid w:val="00491126"/>
    <w:rsid w:val="0049138E"/>
    <w:rsid w:val="004914C2"/>
    <w:rsid w:val="00491A52"/>
    <w:rsid w:val="00491A98"/>
    <w:rsid w:val="00491CB6"/>
    <w:rsid w:val="004932EB"/>
    <w:rsid w:val="004946A5"/>
    <w:rsid w:val="004962F2"/>
    <w:rsid w:val="004970D2"/>
    <w:rsid w:val="004A09D2"/>
    <w:rsid w:val="004A0B70"/>
    <w:rsid w:val="004A163A"/>
    <w:rsid w:val="004A1A73"/>
    <w:rsid w:val="004A37C7"/>
    <w:rsid w:val="004A3B3B"/>
    <w:rsid w:val="004A44C6"/>
    <w:rsid w:val="004A55D3"/>
    <w:rsid w:val="004A6F6F"/>
    <w:rsid w:val="004B1BB2"/>
    <w:rsid w:val="004B329B"/>
    <w:rsid w:val="004B3D29"/>
    <w:rsid w:val="004B44C9"/>
    <w:rsid w:val="004B4959"/>
    <w:rsid w:val="004B4A1D"/>
    <w:rsid w:val="004B4CB9"/>
    <w:rsid w:val="004B5E0E"/>
    <w:rsid w:val="004B5FDB"/>
    <w:rsid w:val="004B730B"/>
    <w:rsid w:val="004B74FF"/>
    <w:rsid w:val="004B79C6"/>
    <w:rsid w:val="004C0082"/>
    <w:rsid w:val="004C1CEF"/>
    <w:rsid w:val="004C1F82"/>
    <w:rsid w:val="004C237B"/>
    <w:rsid w:val="004C2DBD"/>
    <w:rsid w:val="004C40CD"/>
    <w:rsid w:val="004C4C71"/>
    <w:rsid w:val="004C5DF6"/>
    <w:rsid w:val="004D1D83"/>
    <w:rsid w:val="004D2430"/>
    <w:rsid w:val="004D2FB8"/>
    <w:rsid w:val="004D333C"/>
    <w:rsid w:val="004D33AF"/>
    <w:rsid w:val="004D3F02"/>
    <w:rsid w:val="004D5016"/>
    <w:rsid w:val="004D6CAC"/>
    <w:rsid w:val="004D6DFA"/>
    <w:rsid w:val="004E054F"/>
    <w:rsid w:val="004E1BA8"/>
    <w:rsid w:val="004E2CF0"/>
    <w:rsid w:val="004E302C"/>
    <w:rsid w:val="004E35ED"/>
    <w:rsid w:val="004E4F40"/>
    <w:rsid w:val="004E569F"/>
    <w:rsid w:val="004E5B52"/>
    <w:rsid w:val="004E5F18"/>
    <w:rsid w:val="004E6280"/>
    <w:rsid w:val="004E6321"/>
    <w:rsid w:val="004E6E2E"/>
    <w:rsid w:val="004F03F3"/>
    <w:rsid w:val="004F076B"/>
    <w:rsid w:val="004F2B70"/>
    <w:rsid w:val="004F4FB9"/>
    <w:rsid w:val="004F58A9"/>
    <w:rsid w:val="004F749A"/>
    <w:rsid w:val="004F783F"/>
    <w:rsid w:val="00500097"/>
    <w:rsid w:val="0050013E"/>
    <w:rsid w:val="00500669"/>
    <w:rsid w:val="005006A8"/>
    <w:rsid w:val="00500A5C"/>
    <w:rsid w:val="00501886"/>
    <w:rsid w:val="00501EDB"/>
    <w:rsid w:val="005034DB"/>
    <w:rsid w:val="00503D8B"/>
    <w:rsid w:val="0050609B"/>
    <w:rsid w:val="00506AAA"/>
    <w:rsid w:val="00510E6D"/>
    <w:rsid w:val="00512405"/>
    <w:rsid w:val="00513D2E"/>
    <w:rsid w:val="00515802"/>
    <w:rsid w:val="005164F1"/>
    <w:rsid w:val="00516F68"/>
    <w:rsid w:val="00517BC4"/>
    <w:rsid w:val="0052043C"/>
    <w:rsid w:val="005208FC"/>
    <w:rsid w:val="00521635"/>
    <w:rsid w:val="00522655"/>
    <w:rsid w:val="00522C16"/>
    <w:rsid w:val="005233BA"/>
    <w:rsid w:val="0052344E"/>
    <w:rsid w:val="005239D9"/>
    <w:rsid w:val="00524092"/>
    <w:rsid w:val="0052460F"/>
    <w:rsid w:val="005246BA"/>
    <w:rsid w:val="005249DF"/>
    <w:rsid w:val="00524D4A"/>
    <w:rsid w:val="00524DEA"/>
    <w:rsid w:val="00525CF0"/>
    <w:rsid w:val="0052733C"/>
    <w:rsid w:val="00527CCA"/>
    <w:rsid w:val="0053248F"/>
    <w:rsid w:val="00533A61"/>
    <w:rsid w:val="00534056"/>
    <w:rsid w:val="0053554A"/>
    <w:rsid w:val="00536C6D"/>
    <w:rsid w:val="005371F5"/>
    <w:rsid w:val="00537522"/>
    <w:rsid w:val="00540398"/>
    <w:rsid w:val="00542480"/>
    <w:rsid w:val="00542AF0"/>
    <w:rsid w:val="00542B17"/>
    <w:rsid w:val="005430ED"/>
    <w:rsid w:val="005439BB"/>
    <w:rsid w:val="00543DC4"/>
    <w:rsid w:val="00544014"/>
    <w:rsid w:val="005458E4"/>
    <w:rsid w:val="00545A38"/>
    <w:rsid w:val="00545BB1"/>
    <w:rsid w:val="00545CC6"/>
    <w:rsid w:val="00546033"/>
    <w:rsid w:val="0054647A"/>
    <w:rsid w:val="005468EB"/>
    <w:rsid w:val="005472C6"/>
    <w:rsid w:val="00550C97"/>
    <w:rsid w:val="00551900"/>
    <w:rsid w:val="005521FA"/>
    <w:rsid w:val="00552F57"/>
    <w:rsid w:val="005535B7"/>
    <w:rsid w:val="00557B36"/>
    <w:rsid w:val="00560696"/>
    <w:rsid w:val="00561D2E"/>
    <w:rsid w:val="00563A49"/>
    <w:rsid w:val="005647C6"/>
    <w:rsid w:val="00565F96"/>
    <w:rsid w:val="005672EC"/>
    <w:rsid w:val="00567544"/>
    <w:rsid w:val="00567E20"/>
    <w:rsid w:val="0057023B"/>
    <w:rsid w:val="00570AA5"/>
    <w:rsid w:val="0057637C"/>
    <w:rsid w:val="005768BB"/>
    <w:rsid w:val="0057754A"/>
    <w:rsid w:val="0058052B"/>
    <w:rsid w:val="00581E75"/>
    <w:rsid w:val="00582BF7"/>
    <w:rsid w:val="00584B61"/>
    <w:rsid w:val="00584E87"/>
    <w:rsid w:val="00585C43"/>
    <w:rsid w:val="0058657A"/>
    <w:rsid w:val="0058708D"/>
    <w:rsid w:val="00591A92"/>
    <w:rsid w:val="00593199"/>
    <w:rsid w:val="00593989"/>
    <w:rsid w:val="005949ED"/>
    <w:rsid w:val="00595B15"/>
    <w:rsid w:val="00596DE8"/>
    <w:rsid w:val="005977B1"/>
    <w:rsid w:val="005A0F8C"/>
    <w:rsid w:val="005A14A8"/>
    <w:rsid w:val="005A1D2F"/>
    <w:rsid w:val="005A356D"/>
    <w:rsid w:val="005A3A5D"/>
    <w:rsid w:val="005A4386"/>
    <w:rsid w:val="005A554C"/>
    <w:rsid w:val="005A588E"/>
    <w:rsid w:val="005B050E"/>
    <w:rsid w:val="005B1329"/>
    <w:rsid w:val="005B2357"/>
    <w:rsid w:val="005B2758"/>
    <w:rsid w:val="005B2AE4"/>
    <w:rsid w:val="005B408D"/>
    <w:rsid w:val="005B410F"/>
    <w:rsid w:val="005B513B"/>
    <w:rsid w:val="005B54F0"/>
    <w:rsid w:val="005B58D0"/>
    <w:rsid w:val="005B6450"/>
    <w:rsid w:val="005C1291"/>
    <w:rsid w:val="005C219D"/>
    <w:rsid w:val="005C3922"/>
    <w:rsid w:val="005C625D"/>
    <w:rsid w:val="005C65A5"/>
    <w:rsid w:val="005D0654"/>
    <w:rsid w:val="005D104A"/>
    <w:rsid w:val="005D1055"/>
    <w:rsid w:val="005D172C"/>
    <w:rsid w:val="005D24C6"/>
    <w:rsid w:val="005D264C"/>
    <w:rsid w:val="005D2DA5"/>
    <w:rsid w:val="005D3F7F"/>
    <w:rsid w:val="005D51C3"/>
    <w:rsid w:val="005D56D5"/>
    <w:rsid w:val="005D5933"/>
    <w:rsid w:val="005D6973"/>
    <w:rsid w:val="005D6DF5"/>
    <w:rsid w:val="005D71CB"/>
    <w:rsid w:val="005E01A0"/>
    <w:rsid w:val="005E067E"/>
    <w:rsid w:val="005E0F6E"/>
    <w:rsid w:val="005E1D95"/>
    <w:rsid w:val="005E33D2"/>
    <w:rsid w:val="005E3956"/>
    <w:rsid w:val="005E3980"/>
    <w:rsid w:val="005E3C2F"/>
    <w:rsid w:val="005E3DCB"/>
    <w:rsid w:val="005E4432"/>
    <w:rsid w:val="005E49C8"/>
    <w:rsid w:val="005E50E1"/>
    <w:rsid w:val="005E5115"/>
    <w:rsid w:val="005E512B"/>
    <w:rsid w:val="005E597E"/>
    <w:rsid w:val="005E5B63"/>
    <w:rsid w:val="005E7708"/>
    <w:rsid w:val="005F0B01"/>
    <w:rsid w:val="005F218C"/>
    <w:rsid w:val="005F2AB0"/>
    <w:rsid w:val="005F2DED"/>
    <w:rsid w:val="005F443B"/>
    <w:rsid w:val="005F4B49"/>
    <w:rsid w:val="005F4E95"/>
    <w:rsid w:val="005F57E6"/>
    <w:rsid w:val="00600DD0"/>
    <w:rsid w:val="00601928"/>
    <w:rsid w:val="00601AD2"/>
    <w:rsid w:val="00601F14"/>
    <w:rsid w:val="00602027"/>
    <w:rsid w:val="00603A27"/>
    <w:rsid w:val="00604E48"/>
    <w:rsid w:val="00605E7D"/>
    <w:rsid w:val="0060623B"/>
    <w:rsid w:val="006063EE"/>
    <w:rsid w:val="006076FA"/>
    <w:rsid w:val="00610B92"/>
    <w:rsid w:val="00615C87"/>
    <w:rsid w:val="00615EB7"/>
    <w:rsid w:val="00616280"/>
    <w:rsid w:val="0061694B"/>
    <w:rsid w:val="00617C1D"/>
    <w:rsid w:val="00621B62"/>
    <w:rsid w:val="006245BD"/>
    <w:rsid w:val="0062477D"/>
    <w:rsid w:val="00625E13"/>
    <w:rsid w:val="006276CF"/>
    <w:rsid w:val="00631E84"/>
    <w:rsid w:val="00631F4D"/>
    <w:rsid w:val="00632F59"/>
    <w:rsid w:val="00632F78"/>
    <w:rsid w:val="00635470"/>
    <w:rsid w:val="00635E80"/>
    <w:rsid w:val="00635ED5"/>
    <w:rsid w:val="0063660B"/>
    <w:rsid w:val="0063675A"/>
    <w:rsid w:val="0063730F"/>
    <w:rsid w:val="00637435"/>
    <w:rsid w:val="0063752B"/>
    <w:rsid w:val="00640E3F"/>
    <w:rsid w:val="006421A3"/>
    <w:rsid w:val="0064366F"/>
    <w:rsid w:val="00644092"/>
    <w:rsid w:val="006462A5"/>
    <w:rsid w:val="00647AB6"/>
    <w:rsid w:val="00650B53"/>
    <w:rsid w:val="006513A4"/>
    <w:rsid w:val="0065202C"/>
    <w:rsid w:val="006521CA"/>
    <w:rsid w:val="00652634"/>
    <w:rsid w:val="006526E1"/>
    <w:rsid w:val="00653413"/>
    <w:rsid w:val="00654D8A"/>
    <w:rsid w:val="00654EC7"/>
    <w:rsid w:val="006568B9"/>
    <w:rsid w:val="006613D8"/>
    <w:rsid w:val="00662A21"/>
    <w:rsid w:val="0066494F"/>
    <w:rsid w:val="00664DBF"/>
    <w:rsid w:val="006653B7"/>
    <w:rsid w:val="00665879"/>
    <w:rsid w:val="006665A4"/>
    <w:rsid w:val="006673D1"/>
    <w:rsid w:val="0066787F"/>
    <w:rsid w:val="00667E49"/>
    <w:rsid w:val="00667F36"/>
    <w:rsid w:val="00670AA0"/>
    <w:rsid w:val="00670B8A"/>
    <w:rsid w:val="00671211"/>
    <w:rsid w:val="00671D78"/>
    <w:rsid w:val="006724A9"/>
    <w:rsid w:val="00673762"/>
    <w:rsid w:val="0067467F"/>
    <w:rsid w:val="00675622"/>
    <w:rsid w:val="00675847"/>
    <w:rsid w:val="006759F1"/>
    <w:rsid w:val="006774CA"/>
    <w:rsid w:val="00677E3A"/>
    <w:rsid w:val="0068030A"/>
    <w:rsid w:val="006803FA"/>
    <w:rsid w:val="00680461"/>
    <w:rsid w:val="00681E4D"/>
    <w:rsid w:val="00682133"/>
    <w:rsid w:val="00682408"/>
    <w:rsid w:val="00682ABC"/>
    <w:rsid w:val="00682BD0"/>
    <w:rsid w:val="00684E9E"/>
    <w:rsid w:val="0068531F"/>
    <w:rsid w:val="00685AEB"/>
    <w:rsid w:val="00685EBA"/>
    <w:rsid w:val="00686273"/>
    <w:rsid w:val="00687255"/>
    <w:rsid w:val="00687C70"/>
    <w:rsid w:val="00690168"/>
    <w:rsid w:val="00691BFA"/>
    <w:rsid w:val="006924C4"/>
    <w:rsid w:val="006935F7"/>
    <w:rsid w:val="006955D3"/>
    <w:rsid w:val="00696191"/>
    <w:rsid w:val="00696242"/>
    <w:rsid w:val="0069768A"/>
    <w:rsid w:val="00697DFA"/>
    <w:rsid w:val="006A1452"/>
    <w:rsid w:val="006A2205"/>
    <w:rsid w:val="006A2464"/>
    <w:rsid w:val="006A27F9"/>
    <w:rsid w:val="006A2EC8"/>
    <w:rsid w:val="006A384C"/>
    <w:rsid w:val="006A3EB4"/>
    <w:rsid w:val="006A410D"/>
    <w:rsid w:val="006A496C"/>
    <w:rsid w:val="006A6255"/>
    <w:rsid w:val="006A7088"/>
    <w:rsid w:val="006A73D6"/>
    <w:rsid w:val="006B024A"/>
    <w:rsid w:val="006B2BF6"/>
    <w:rsid w:val="006B2E97"/>
    <w:rsid w:val="006B4D13"/>
    <w:rsid w:val="006B541A"/>
    <w:rsid w:val="006B6DB8"/>
    <w:rsid w:val="006C006F"/>
    <w:rsid w:val="006C1053"/>
    <w:rsid w:val="006C1350"/>
    <w:rsid w:val="006C1E3F"/>
    <w:rsid w:val="006C2254"/>
    <w:rsid w:val="006C285F"/>
    <w:rsid w:val="006C2A99"/>
    <w:rsid w:val="006C2E15"/>
    <w:rsid w:val="006C368D"/>
    <w:rsid w:val="006C4789"/>
    <w:rsid w:val="006C7B96"/>
    <w:rsid w:val="006D0DAE"/>
    <w:rsid w:val="006D2CE4"/>
    <w:rsid w:val="006D381F"/>
    <w:rsid w:val="006D4C08"/>
    <w:rsid w:val="006D4DEE"/>
    <w:rsid w:val="006D52D8"/>
    <w:rsid w:val="006D52F6"/>
    <w:rsid w:val="006D69F7"/>
    <w:rsid w:val="006D7B76"/>
    <w:rsid w:val="006E045B"/>
    <w:rsid w:val="006E0A1E"/>
    <w:rsid w:val="006E18FD"/>
    <w:rsid w:val="006E46CE"/>
    <w:rsid w:val="006E4E94"/>
    <w:rsid w:val="006E5963"/>
    <w:rsid w:val="006E5D13"/>
    <w:rsid w:val="006E5FBF"/>
    <w:rsid w:val="006E67C0"/>
    <w:rsid w:val="006E6E75"/>
    <w:rsid w:val="006E750F"/>
    <w:rsid w:val="006E7CE4"/>
    <w:rsid w:val="006F0616"/>
    <w:rsid w:val="006F1764"/>
    <w:rsid w:val="006F2642"/>
    <w:rsid w:val="006F2F46"/>
    <w:rsid w:val="006F4096"/>
    <w:rsid w:val="006F55E4"/>
    <w:rsid w:val="006F6FE5"/>
    <w:rsid w:val="00700173"/>
    <w:rsid w:val="00701AEF"/>
    <w:rsid w:val="007026D7"/>
    <w:rsid w:val="0070310B"/>
    <w:rsid w:val="007031AA"/>
    <w:rsid w:val="00704F62"/>
    <w:rsid w:val="0070500F"/>
    <w:rsid w:val="0070524F"/>
    <w:rsid w:val="00706358"/>
    <w:rsid w:val="00706A81"/>
    <w:rsid w:val="00706A97"/>
    <w:rsid w:val="00706C06"/>
    <w:rsid w:val="0070712A"/>
    <w:rsid w:val="00710398"/>
    <w:rsid w:val="007103D0"/>
    <w:rsid w:val="00713438"/>
    <w:rsid w:val="00714544"/>
    <w:rsid w:val="00714965"/>
    <w:rsid w:val="00715EE2"/>
    <w:rsid w:val="00717EA6"/>
    <w:rsid w:val="00720187"/>
    <w:rsid w:val="00722A88"/>
    <w:rsid w:val="007247FE"/>
    <w:rsid w:val="00724EDE"/>
    <w:rsid w:val="00725C75"/>
    <w:rsid w:val="00725C92"/>
    <w:rsid w:val="00727C73"/>
    <w:rsid w:val="00727DC4"/>
    <w:rsid w:val="00730837"/>
    <w:rsid w:val="00731128"/>
    <w:rsid w:val="0073394D"/>
    <w:rsid w:val="00734221"/>
    <w:rsid w:val="00735019"/>
    <w:rsid w:val="00735487"/>
    <w:rsid w:val="00735E29"/>
    <w:rsid w:val="007365FE"/>
    <w:rsid w:val="0073689C"/>
    <w:rsid w:val="007369E4"/>
    <w:rsid w:val="00736A1E"/>
    <w:rsid w:val="00737D78"/>
    <w:rsid w:val="007415C9"/>
    <w:rsid w:val="00741B17"/>
    <w:rsid w:val="007422D0"/>
    <w:rsid w:val="007445CD"/>
    <w:rsid w:val="007449D2"/>
    <w:rsid w:val="00745283"/>
    <w:rsid w:val="0074588F"/>
    <w:rsid w:val="00746872"/>
    <w:rsid w:val="00746C8E"/>
    <w:rsid w:val="00747319"/>
    <w:rsid w:val="007478D0"/>
    <w:rsid w:val="0075146C"/>
    <w:rsid w:val="00751F43"/>
    <w:rsid w:val="0075423A"/>
    <w:rsid w:val="00755C70"/>
    <w:rsid w:val="00756E4E"/>
    <w:rsid w:val="0075789D"/>
    <w:rsid w:val="00757B48"/>
    <w:rsid w:val="007601A0"/>
    <w:rsid w:val="00760B9E"/>
    <w:rsid w:val="007613D2"/>
    <w:rsid w:val="00762061"/>
    <w:rsid w:val="007620F0"/>
    <w:rsid w:val="007623E7"/>
    <w:rsid w:val="0076267C"/>
    <w:rsid w:val="00763295"/>
    <w:rsid w:val="00764243"/>
    <w:rsid w:val="00764B0A"/>
    <w:rsid w:val="007650B6"/>
    <w:rsid w:val="007654DF"/>
    <w:rsid w:val="007656FE"/>
    <w:rsid w:val="00765733"/>
    <w:rsid w:val="00773532"/>
    <w:rsid w:val="00773C34"/>
    <w:rsid w:val="00773F96"/>
    <w:rsid w:val="00776A04"/>
    <w:rsid w:val="00777E9E"/>
    <w:rsid w:val="00780AE7"/>
    <w:rsid w:val="00780D8D"/>
    <w:rsid w:val="007818A8"/>
    <w:rsid w:val="00782CFD"/>
    <w:rsid w:val="00783C88"/>
    <w:rsid w:val="007844AE"/>
    <w:rsid w:val="007857B9"/>
    <w:rsid w:val="00786313"/>
    <w:rsid w:val="00786981"/>
    <w:rsid w:val="00786AB0"/>
    <w:rsid w:val="00787B18"/>
    <w:rsid w:val="007903B0"/>
    <w:rsid w:val="00791066"/>
    <w:rsid w:val="00793E9E"/>
    <w:rsid w:val="007961B6"/>
    <w:rsid w:val="00796435"/>
    <w:rsid w:val="00796FA6"/>
    <w:rsid w:val="007A0293"/>
    <w:rsid w:val="007A286C"/>
    <w:rsid w:val="007A363C"/>
    <w:rsid w:val="007A4CBB"/>
    <w:rsid w:val="007A6206"/>
    <w:rsid w:val="007A62CE"/>
    <w:rsid w:val="007A6F43"/>
    <w:rsid w:val="007A7189"/>
    <w:rsid w:val="007A7336"/>
    <w:rsid w:val="007A761B"/>
    <w:rsid w:val="007A7ADD"/>
    <w:rsid w:val="007A7C9D"/>
    <w:rsid w:val="007B06AE"/>
    <w:rsid w:val="007B0961"/>
    <w:rsid w:val="007B2CF1"/>
    <w:rsid w:val="007B30D0"/>
    <w:rsid w:val="007B4962"/>
    <w:rsid w:val="007B4EB6"/>
    <w:rsid w:val="007B6326"/>
    <w:rsid w:val="007B6B21"/>
    <w:rsid w:val="007B7859"/>
    <w:rsid w:val="007C0315"/>
    <w:rsid w:val="007C072D"/>
    <w:rsid w:val="007C08BA"/>
    <w:rsid w:val="007C2818"/>
    <w:rsid w:val="007C2DFF"/>
    <w:rsid w:val="007C4239"/>
    <w:rsid w:val="007C638D"/>
    <w:rsid w:val="007C6634"/>
    <w:rsid w:val="007C6A2E"/>
    <w:rsid w:val="007C6DE8"/>
    <w:rsid w:val="007D01EE"/>
    <w:rsid w:val="007D04FC"/>
    <w:rsid w:val="007D1623"/>
    <w:rsid w:val="007D1A9E"/>
    <w:rsid w:val="007D2A4C"/>
    <w:rsid w:val="007D309B"/>
    <w:rsid w:val="007D3620"/>
    <w:rsid w:val="007D3A82"/>
    <w:rsid w:val="007D3F81"/>
    <w:rsid w:val="007D4DC4"/>
    <w:rsid w:val="007D5368"/>
    <w:rsid w:val="007D6021"/>
    <w:rsid w:val="007D615F"/>
    <w:rsid w:val="007E20F7"/>
    <w:rsid w:val="007E2138"/>
    <w:rsid w:val="007E22BD"/>
    <w:rsid w:val="007E370A"/>
    <w:rsid w:val="007E5347"/>
    <w:rsid w:val="007E545F"/>
    <w:rsid w:val="007E5A54"/>
    <w:rsid w:val="007E612F"/>
    <w:rsid w:val="007E6709"/>
    <w:rsid w:val="007E6DD1"/>
    <w:rsid w:val="007F07DD"/>
    <w:rsid w:val="007F2E78"/>
    <w:rsid w:val="007F2E87"/>
    <w:rsid w:val="007F5113"/>
    <w:rsid w:val="007F58ED"/>
    <w:rsid w:val="007F58F5"/>
    <w:rsid w:val="007F69A8"/>
    <w:rsid w:val="00800A28"/>
    <w:rsid w:val="008034AD"/>
    <w:rsid w:val="008049CC"/>
    <w:rsid w:val="0080527E"/>
    <w:rsid w:val="0080637B"/>
    <w:rsid w:val="00806A76"/>
    <w:rsid w:val="00806D69"/>
    <w:rsid w:val="00806E37"/>
    <w:rsid w:val="00807BE5"/>
    <w:rsid w:val="00811B0C"/>
    <w:rsid w:val="0081240C"/>
    <w:rsid w:val="008131AB"/>
    <w:rsid w:val="0081385D"/>
    <w:rsid w:val="00814112"/>
    <w:rsid w:val="00814421"/>
    <w:rsid w:val="00814598"/>
    <w:rsid w:val="00815B20"/>
    <w:rsid w:val="00816D02"/>
    <w:rsid w:val="00820B02"/>
    <w:rsid w:val="00820B5A"/>
    <w:rsid w:val="00820C11"/>
    <w:rsid w:val="008236AD"/>
    <w:rsid w:val="008238E8"/>
    <w:rsid w:val="0082452D"/>
    <w:rsid w:val="008248C0"/>
    <w:rsid w:val="00825093"/>
    <w:rsid w:val="008265FE"/>
    <w:rsid w:val="0082746D"/>
    <w:rsid w:val="00827FA7"/>
    <w:rsid w:val="008309D7"/>
    <w:rsid w:val="00830E99"/>
    <w:rsid w:val="00831430"/>
    <w:rsid w:val="0083174A"/>
    <w:rsid w:val="008326BB"/>
    <w:rsid w:val="00833196"/>
    <w:rsid w:val="00833902"/>
    <w:rsid w:val="00834A12"/>
    <w:rsid w:val="00834D4E"/>
    <w:rsid w:val="008352DA"/>
    <w:rsid w:val="00835C12"/>
    <w:rsid w:val="00835EDC"/>
    <w:rsid w:val="0083636E"/>
    <w:rsid w:val="00836C90"/>
    <w:rsid w:val="00837303"/>
    <w:rsid w:val="00842C6A"/>
    <w:rsid w:val="00843020"/>
    <w:rsid w:val="00843061"/>
    <w:rsid w:val="008439AB"/>
    <w:rsid w:val="008444B2"/>
    <w:rsid w:val="00845729"/>
    <w:rsid w:val="00845B46"/>
    <w:rsid w:val="00845CD4"/>
    <w:rsid w:val="00845EB9"/>
    <w:rsid w:val="00845ED2"/>
    <w:rsid w:val="00847411"/>
    <w:rsid w:val="0085006F"/>
    <w:rsid w:val="00852608"/>
    <w:rsid w:val="00852A33"/>
    <w:rsid w:val="00854DF9"/>
    <w:rsid w:val="008551C5"/>
    <w:rsid w:val="00855200"/>
    <w:rsid w:val="00855400"/>
    <w:rsid w:val="00855B31"/>
    <w:rsid w:val="008602DD"/>
    <w:rsid w:val="0086102B"/>
    <w:rsid w:val="00861E30"/>
    <w:rsid w:val="00863504"/>
    <w:rsid w:val="00863766"/>
    <w:rsid w:val="008647D2"/>
    <w:rsid w:val="0086514B"/>
    <w:rsid w:val="00866270"/>
    <w:rsid w:val="00872283"/>
    <w:rsid w:val="00872A57"/>
    <w:rsid w:val="00872B81"/>
    <w:rsid w:val="00873135"/>
    <w:rsid w:val="00875992"/>
    <w:rsid w:val="00875B06"/>
    <w:rsid w:val="00876D7C"/>
    <w:rsid w:val="00877996"/>
    <w:rsid w:val="00881207"/>
    <w:rsid w:val="008813A0"/>
    <w:rsid w:val="00881629"/>
    <w:rsid w:val="0088241D"/>
    <w:rsid w:val="00882F10"/>
    <w:rsid w:val="008835DA"/>
    <w:rsid w:val="00884690"/>
    <w:rsid w:val="00885A87"/>
    <w:rsid w:val="00885F29"/>
    <w:rsid w:val="0089152E"/>
    <w:rsid w:val="00891AF8"/>
    <w:rsid w:val="008921C4"/>
    <w:rsid w:val="00893B94"/>
    <w:rsid w:val="0089529C"/>
    <w:rsid w:val="00895865"/>
    <w:rsid w:val="00897774"/>
    <w:rsid w:val="0089782B"/>
    <w:rsid w:val="00897C3A"/>
    <w:rsid w:val="008A0504"/>
    <w:rsid w:val="008A30A7"/>
    <w:rsid w:val="008A3624"/>
    <w:rsid w:val="008A376F"/>
    <w:rsid w:val="008A4676"/>
    <w:rsid w:val="008A5685"/>
    <w:rsid w:val="008A76CB"/>
    <w:rsid w:val="008B04DA"/>
    <w:rsid w:val="008B1380"/>
    <w:rsid w:val="008B17BA"/>
    <w:rsid w:val="008B260D"/>
    <w:rsid w:val="008B2D7D"/>
    <w:rsid w:val="008B2FC9"/>
    <w:rsid w:val="008B4FF3"/>
    <w:rsid w:val="008B6A3B"/>
    <w:rsid w:val="008B6A9B"/>
    <w:rsid w:val="008B70DC"/>
    <w:rsid w:val="008B7992"/>
    <w:rsid w:val="008C0491"/>
    <w:rsid w:val="008C118C"/>
    <w:rsid w:val="008C1255"/>
    <w:rsid w:val="008C3658"/>
    <w:rsid w:val="008C4DDC"/>
    <w:rsid w:val="008C4EB9"/>
    <w:rsid w:val="008C520F"/>
    <w:rsid w:val="008C58D9"/>
    <w:rsid w:val="008C60AD"/>
    <w:rsid w:val="008C615A"/>
    <w:rsid w:val="008C6578"/>
    <w:rsid w:val="008C7128"/>
    <w:rsid w:val="008D0B36"/>
    <w:rsid w:val="008D10D2"/>
    <w:rsid w:val="008D2A3E"/>
    <w:rsid w:val="008D2B41"/>
    <w:rsid w:val="008D4859"/>
    <w:rsid w:val="008D60DC"/>
    <w:rsid w:val="008D73F4"/>
    <w:rsid w:val="008D7BD1"/>
    <w:rsid w:val="008D7DA8"/>
    <w:rsid w:val="008E09D1"/>
    <w:rsid w:val="008E1BEC"/>
    <w:rsid w:val="008E38C9"/>
    <w:rsid w:val="008E3B8C"/>
    <w:rsid w:val="008E423B"/>
    <w:rsid w:val="008E49B1"/>
    <w:rsid w:val="008E5B6E"/>
    <w:rsid w:val="008E7167"/>
    <w:rsid w:val="008E7931"/>
    <w:rsid w:val="008F046E"/>
    <w:rsid w:val="008F0910"/>
    <w:rsid w:val="008F1406"/>
    <w:rsid w:val="008F182C"/>
    <w:rsid w:val="008F1A00"/>
    <w:rsid w:val="008F1EEC"/>
    <w:rsid w:val="008F214D"/>
    <w:rsid w:val="008F2E98"/>
    <w:rsid w:val="008F3D61"/>
    <w:rsid w:val="008F3EEF"/>
    <w:rsid w:val="008F5B85"/>
    <w:rsid w:val="008F5FE3"/>
    <w:rsid w:val="008F6525"/>
    <w:rsid w:val="008F6B27"/>
    <w:rsid w:val="008F7FF6"/>
    <w:rsid w:val="00901D79"/>
    <w:rsid w:val="009026E9"/>
    <w:rsid w:val="00902730"/>
    <w:rsid w:val="00902D5E"/>
    <w:rsid w:val="00903C4F"/>
    <w:rsid w:val="00907272"/>
    <w:rsid w:val="0090744C"/>
    <w:rsid w:val="00907BE4"/>
    <w:rsid w:val="00907FB8"/>
    <w:rsid w:val="00910A5C"/>
    <w:rsid w:val="00911238"/>
    <w:rsid w:val="0091176C"/>
    <w:rsid w:val="00912A51"/>
    <w:rsid w:val="00913466"/>
    <w:rsid w:val="00914877"/>
    <w:rsid w:val="009167C6"/>
    <w:rsid w:val="0091687F"/>
    <w:rsid w:val="009168BD"/>
    <w:rsid w:val="00916CA1"/>
    <w:rsid w:val="009172E9"/>
    <w:rsid w:val="00917433"/>
    <w:rsid w:val="00917434"/>
    <w:rsid w:val="00920E76"/>
    <w:rsid w:val="009240B9"/>
    <w:rsid w:val="009246E7"/>
    <w:rsid w:val="00924F32"/>
    <w:rsid w:val="00926032"/>
    <w:rsid w:val="00926461"/>
    <w:rsid w:val="00927037"/>
    <w:rsid w:val="009311F5"/>
    <w:rsid w:val="0093133B"/>
    <w:rsid w:val="009317F2"/>
    <w:rsid w:val="009318A3"/>
    <w:rsid w:val="00931DED"/>
    <w:rsid w:val="0093233E"/>
    <w:rsid w:val="0093306C"/>
    <w:rsid w:val="0093413F"/>
    <w:rsid w:val="0093731A"/>
    <w:rsid w:val="00940E73"/>
    <w:rsid w:val="009411BD"/>
    <w:rsid w:val="00941F44"/>
    <w:rsid w:val="009436C2"/>
    <w:rsid w:val="009437F0"/>
    <w:rsid w:val="0094548F"/>
    <w:rsid w:val="009467D5"/>
    <w:rsid w:val="009473D8"/>
    <w:rsid w:val="00951FBC"/>
    <w:rsid w:val="00954A60"/>
    <w:rsid w:val="00955909"/>
    <w:rsid w:val="0095697E"/>
    <w:rsid w:val="00956A82"/>
    <w:rsid w:val="00956B0C"/>
    <w:rsid w:val="00956B7C"/>
    <w:rsid w:val="00961CBF"/>
    <w:rsid w:val="00961DDA"/>
    <w:rsid w:val="00961DF6"/>
    <w:rsid w:val="00961FAA"/>
    <w:rsid w:val="00962EEC"/>
    <w:rsid w:val="0096300E"/>
    <w:rsid w:val="00963D2D"/>
    <w:rsid w:val="00964037"/>
    <w:rsid w:val="00965F8F"/>
    <w:rsid w:val="0096650E"/>
    <w:rsid w:val="009674FF"/>
    <w:rsid w:val="009676D5"/>
    <w:rsid w:val="00967CA3"/>
    <w:rsid w:val="0097192E"/>
    <w:rsid w:val="009730D2"/>
    <w:rsid w:val="0097372B"/>
    <w:rsid w:val="009749A8"/>
    <w:rsid w:val="009759CC"/>
    <w:rsid w:val="00976CE0"/>
    <w:rsid w:val="00977C03"/>
    <w:rsid w:val="0098044F"/>
    <w:rsid w:val="0098083A"/>
    <w:rsid w:val="009818BB"/>
    <w:rsid w:val="009818E2"/>
    <w:rsid w:val="00981D21"/>
    <w:rsid w:val="009837E0"/>
    <w:rsid w:val="00984176"/>
    <w:rsid w:val="00985E1C"/>
    <w:rsid w:val="00986A0E"/>
    <w:rsid w:val="00986D6D"/>
    <w:rsid w:val="00987E17"/>
    <w:rsid w:val="00992B4F"/>
    <w:rsid w:val="00992C68"/>
    <w:rsid w:val="009935EA"/>
    <w:rsid w:val="00993BA0"/>
    <w:rsid w:val="009941BC"/>
    <w:rsid w:val="0099687A"/>
    <w:rsid w:val="009A1142"/>
    <w:rsid w:val="009A160F"/>
    <w:rsid w:val="009A3057"/>
    <w:rsid w:val="009A3946"/>
    <w:rsid w:val="009A39F2"/>
    <w:rsid w:val="009A4499"/>
    <w:rsid w:val="009A6603"/>
    <w:rsid w:val="009A69F2"/>
    <w:rsid w:val="009A7F5A"/>
    <w:rsid w:val="009B021D"/>
    <w:rsid w:val="009B0B0A"/>
    <w:rsid w:val="009B0DE5"/>
    <w:rsid w:val="009B2EEA"/>
    <w:rsid w:val="009B3C1C"/>
    <w:rsid w:val="009B3DC4"/>
    <w:rsid w:val="009B5FC4"/>
    <w:rsid w:val="009B6FD1"/>
    <w:rsid w:val="009C2B1D"/>
    <w:rsid w:val="009C2EA3"/>
    <w:rsid w:val="009C3501"/>
    <w:rsid w:val="009C473A"/>
    <w:rsid w:val="009C609A"/>
    <w:rsid w:val="009C6C35"/>
    <w:rsid w:val="009C74DA"/>
    <w:rsid w:val="009C7522"/>
    <w:rsid w:val="009C7655"/>
    <w:rsid w:val="009C7BDB"/>
    <w:rsid w:val="009D005F"/>
    <w:rsid w:val="009D037D"/>
    <w:rsid w:val="009D0436"/>
    <w:rsid w:val="009D303A"/>
    <w:rsid w:val="009D383F"/>
    <w:rsid w:val="009D5261"/>
    <w:rsid w:val="009D52E8"/>
    <w:rsid w:val="009D5F2A"/>
    <w:rsid w:val="009D6B53"/>
    <w:rsid w:val="009D7E8B"/>
    <w:rsid w:val="009E15B9"/>
    <w:rsid w:val="009E1BB2"/>
    <w:rsid w:val="009E2240"/>
    <w:rsid w:val="009E30BB"/>
    <w:rsid w:val="009E34B4"/>
    <w:rsid w:val="009E3749"/>
    <w:rsid w:val="009E4693"/>
    <w:rsid w:val="009E4CC8"/>
    <w:rsid w:val="009E4E7A"/>
    <w:rsid w:val="009E653F"/>
    <w:rsid w:val="009E77EE"/>
    <w:rsid w:val="009F0D1C"/>
    <w:rsid w:val="009F1026"/>
    <w:rsid w:val="009F1E7F"/>
    <w:rsid w:val="009F30F6"/>
    <w:rsid w:val="009F5D10"/>
    <w:rsid w:val="009F6510"/>
    <w:rsid w:val="009F7A1E"/>
    <w:rsid w:val="00A00079"/>
    <w:rsid w:val="00A00152"/>
    <w:rsid w:val="00A0122C"/>
    <w:rsid w:val="00A01ADA"/>
    <w:rsid w:val="00A02407"/>
    <w:rsid w:val="00A04558"/>
    <w:rsid w:val="00A056DE"/>
    <w:rsid w:val="00A063D5"/>
    <w:rsid w:val="00A12109"/>
    <w:rsid w:val="00A135E0"/>
    <w:rsid w:val="00A13669"/>
    <w:rsid w:val="00A145C2"/>
    <w:rsid w:val="00A14C4F"/>
    <w:rsid w:val="00A1639B"/>
    <w:rsid w:val="00A17B5A"/>
    <w:rsid w:val="00A17F17"/>
    <w:rsid w:val="00A200F9"/>
    <w:rsid w:val="00A20A4F"/>
    <w:rsid w:val="00A21368"/>
    <w:rsid w:val="00A21A0A"/>
    <w:rsid w:val="00A21A1D"/>
    <w:rsid w:val="00A21B25"/>
    <w:rsid w:val="00A2206C"/>
    <w:rsid w:val="00A22D43"/>
    <w:rsid w:val="00A23C07"/>
    <w:rsid w:val="00A23F68"/>
    <w:rsid w:val="00A23FA6"/>
    <w:rsid w:val="00A247BB"/>
    <w:rsid w:val="00A24953"/>
    <w:rsid w:val="00A24E67"/>
    <w:rsid w:val="00A258AC"/>
    <w:rsid w:val="00A261B4"/>
    <w:rsid w:val="00A269CA"/>
    <w:rsid w:val="00A26C90"/>
    <w:rsid w:val="00A27E4C"/>
    <w:rsid w:val="00A27F82"/>
    <w:rsid w:val="00A30170"/>
    <w:rsid w:val="00A31176"/>
    <w:rsid w:val="00A32130"/>
    <w:rsid w:val="00A325B9"/>
    <w:rsid w:val="00A32F52"/>
    <w:rsid w:val="00A33898"/>
    <w:rsid w:val="00A33B66"/>
    <w:rsid w:val="00A33E27"/>
    <w:rsid w:val="00A342D0"/>
    <w:rsid w:val="00A35D2E"/>
    <w:rsid w:val="00A35E1C"/>
    <w:rsid w:val="00A36E12"/>
    <w:rsid w:val="00A4007F"/>
    <w:rsid w:val="00A40C13"/>
    <w:rsid w:val="00A41ED0"/>
    <w:rsid w:val="00A422D2"/>
    <w:rsid w:val="00A422E8"/>
    <w:rsid w:val="00A4394B"/>
    <w:rsid w:val="00A43985"/>
    <w:rsid w:val="00A44297"/>
    <w:rsid w:val="00A457C7"/>
    <w:rsid w:val="00A45959"/>
    <w:rsid w:val="00A4638B"/>
    <w:rsid w:val="00A46BB0"/>
    <w:rsid w:val="00A46E5C"/>
    <w:rsid w:val="00A50B7E"/>
    <w:rsid w:val="00A514BA"/>
    <w:rsid w:val="00A52008"/>
    <w:rsid w:val="00A522BB"/>
    <w:rsid w:val="00A52B7C"/>
    <w:rsid w:val="00A53DCA"/>
    <w:rsid w:val="00A54153"/>
    <w:rsid w:val="00A54B16"/>
    <w:rsid w:val="00A55AD5"/>
    <w:rsid w:val="00A57D69"/>
    <w:rsid w:val="00A60095"/>
    <w:rsid w:val="00A60118"/>
    <w:rsid w:val="00A60745"/>
    <w:rsid w:val="00A60FA8"/>
    <w:rsid w:val="00A61301"/>
    <w:rsid w:val="00A620E2"/>
    <w:rsid w:val="00A62372"/>
    <w:rsid w:val="00A62D0D"/>
    <w:rsid w:val="00A63E0C"/>
    <w:rsid w:val="00A63E6E"/>
    <w:rsid w:val="00A6577A"/>
    <w:rsid w:val="00A66240"/>
    <w:rsid w:val="00A67D1B"/>
    <w:rsid w:val="00A70403"/>
    <w:rsid w:val="00A70FE2"/>
    <w:rsid w:val="00A71317"/>
    <w:rsid w:val="00A71B33"/>
    <w:rsid w:val="00A71DF2"/>
    <w:rsid w:val="00A7256B"/>
    <w:rsid w:val="00A739A8"/>
    <w:rsid w:val="00A73BAC"/>
    <w:rsid w:val="00A73FCB"/>
    <w:rsid w:val="00A75066"/>
    <w:rsid w:val="00A754BF"/>
    <w:rsid w:val="00A75E27"/>
    <w:rsid w:val="00A76446"/>
    <w:rsid w:val="00A77310"/>
    <w:rsid w:val="00A77449"/>
    <w:rsid w:val="00A778EE"/>
    <w:rsid w:val="00A802BF"/>
    <w:rsid w:val="00A803AA"/>
    <w:rsid w:val="00A80D89"/>
    <w:rsid w:val="00A8155E"/>
    <w:rsid w:val="00A820FD"/>
    <w:rsid w:val="00A8235F"/>
    <w:rsid w:val="00A8271C"/>
    <w:rsid w:val="00A833A5"/>
    <w:rsid w:val="00A83F73"/>
    <w:rsid w:val="00A84F94"/>
    <w:rsid w:val="00A85221"/>
    <w:rsid w:val="00A8567B"/>
    <w:rsid w:val="00A86666"/>
    <w:rsid w:val="00A87F41"/>
    <w:rsid w:val="00A92774"/>
    <w:rsid w:val="00A93223"/>
    <w:rsid w:val="00A93CEB"/>
    <w:rsid w:val="00A952C7"/>
    <w:rsid w:val="00A9612C"/>
    <w:rsid w:val="00AA0A2B"/>
    <w:rsid w:val="00AA2ABD"/>
    <w:rsid w:val="00AA3BD6"/>
    <w:rsid w:val="00AA562D"/>
    <w:rsid w:val="00AA6447"/>
    <w:rsid w:val="00AA67C2"/>
    <w:rsid w:val="00AA798D"/>
    <w:rsid w:val="00AA7FB4"/>
    <w:rsid w:val="00AB20B4"/>
    <w:rsid w:val="00AB431C"/>
    <w:rsid w:val="00AB6ADC"/>
    <w:rsid w:val="00AC0F7D"/>
    <w:rsid w:val="00AC1E67"/>
    <w:rsid w:val="00AC26B0"/>
    <w:rsid w:val="00AC3D75"/>
    <w:rsid w:val="00AC4116"/>
    <w:rsid w:val="00AC46AC"/>
    <w:rsid w:val="00AC4ABD"/>
    <w:rsid w:val="00AC5E9B"/>
    <w:rsid w:val="00AC7306"/>
    <w:rsid w:val="00AC7C82"/>
    <w:rsid w:val="00AC7FFC"/>
    <w:rsid w:val="00AD271B"/>
    <w:rsid w:val="00AD2A1F"/>
    <w:rsid w:val="00AD2DDD"/>
    <w:rsid w:val="00AD3B4E"/>
    <w:rsid w:val="00AD4613"/>
    <w:rsid w:val="00AD5F77"/>
    <w:rsid w:val="00AD6542"/>
    <w:rsid w:val="00AD67C5"/>
    <w:rsid w:val="00AD6A50"/>
    <w:rsid w:val="00AD75E6"/>
    <w:rsid w:val="00AE011B"/>
    <w:rsid w:val="00AE06C0"/>
    <w:rsid w:val="00AE1116"/>
    <w:rsid w:val="00AE4BC5"/>
    <w:rsid w:val="00AE6C1D"/>
    <w:rsid w:val="00AE7D32"/>
    <w:rsid w:val="00AF08D8"/>
    <w:rsid w:val="00AF0A40"/>
    <w:rsid w:val="00AF1E1E"/>
    <w:rsid w:val="00AF2870"/>
    <w:rsid w:val="00AF299E"/>
    <w:rsid w:val="00AF3CF5"/>
    <w:rsid w:val="00AF467C"/>
    <w:rsid w:val="00AF4EF7"/>
    <w:rsid w:val="00AF5118"/>
    <w:rsid w:val="00AF5F8C"/>
    <w:rsid w:val="00AF6C76"/>
    <w:rsid w:val="00AF7F83"/>
    <w:rsid w:val="00B01297"/>
    <w:rsid w:val="00B024F6"/>
    <w:rsid w:val="00B02B6A"/>
    <w:rsid w:val="00B0376B"/>
    <w:rsid w:val="00B05C3F"/>
    <w:rsid w:val="00B0758D"/>
    <w:rsid w:val="00B07C9D"/>
    <w:rsid w:val="00B10964"/>
    <w:rsid w:val="00B121D8"/>
    <w:rsid w:val="00B12C73"/>
    <w:rsid w:val="00B13856"/>
    <w:rsid w:val="00B1440F"/>
    <w:rsid w:val="00B15A88"/>
    <w:rsid w:val="00B17311"/>
    <w:rsid w:val="00B20AE9"/>
    <w:rsid w:val="00B2157A"/>
    <w:rsid w:val="00B216FC"/>
    <w:rsid w:val="00B22A21"/>
    <w:rsid w:val="00B237E5"/>
    <w:rsid w:val="00B23E30"/>
    <w:rsid w:val="00B246B5"/>
    <w:rsid w:val="00B24F09"/>
    <w:rsid w:val="00B252F6"/>
    <w:rsid w:val="00B256DE"/>
    <w:rsid w:val="00B265C1"/>
    <w:rsid w:val="00B273CF"/>
    <w:rsid w:val="00B2762E"/>
    <w:rsid w:val="00B27BBC"/>
    <w:rsid w:val="00B30577"/>
    <w:rsid w:val="00B308AC"/>
    <w:rsid w:val="00B3198A"/>
    <w:rsid w:val="00B3282B"/>
    <w:rsid w:val="00B33581"/>
    <w:rsid w:val="00B3500C"/>
    <w:rsid w:val="00B3500D"/>
    <w:rsid w:val="00B3564B"/>
    <w:rsid w:val="00B36100"/>
    <w:rsid w:val="00B3732D"/>
    <w:rsid w:val="00B37391"/>
    <w:rsid w:val="00B37F48"/>
    <w:rsid w:val="00B4039C"/>
    <w:rsid w:val="00B40544"/>
    <w:rsid w:val="00B41D16"/>
    <w:rsid w:val="00B42193"/>
    <w:rsid w:val="00B423B9"/>
    <w:rsid w:val="00B42964"/>
    <w:rsid w:val="00B444C4"/>
    <w:rsid w:val="00B45823"/>
    <w:rsid w:val="00B46681"/>
    <w:rsid w:val="00B511A9"/>
    <w:rsid w:val="00B5219E"/>
    <w:rsid w:val="00B52543"/>
    <w:rsid w:val="00B5255E"/>
    <w:rsid w:val="00B52AAE"/>
    <w:rsid w:val="00B52B79"/>
    <w:rsid w:val="00B5463E"/>
    <w:rsid w:val="00B54AB2"/>
    <w:rsid w:val="00B54CD4"/>
    <w:rsid w:val="00B54F6C"/>
    <w:rsid w:val="00B54F79"/>
    <w:rsid w:val="00B5697A"/>
    <w:rsid w:val="00B56FC8"/>
    <w:rsid w:val="00B57B64"/>
    <w:rsid w:val="00B6003C"/>
    <w:rsid w:val="00B61E50"/>
    <w:rsid w:val="00B61EBE"/>
    <w:rsid w:val="00B626CB"/>
    <w:rsid w:val="00B63360"/>
    <w:rsid w:val="00B63F34"/>
    <w:rsid w:val="00B6497A"/>
    <w:rsid w:val="00B649E3"/>
    <w:rsid w:val="00B650F6"/>
    <w:rsid w:val="00B67027"/>
    <w:rsid w:val="00B67249"/>
    <w:rsid w:val="00B70D70"/>
    <w:rsid w:val="00B71E13"/>
    <w:rsid w:val="00B72C93"/>
    <w:rsid w:val="00B7347D"/>
    <w:rsid w:val="00B735A3"/>
    <w:rsid w:val="00B73AE2"/>
    <w:rsid w:val="00B7454B"/>
    <w:rsid w:val="00B74864"/>
    <w:rsid w:val="00B75A57"/>
    <w:rsid w:val="00B75B57"/>
    <w:rsid w:val="00B75C8C"/>
    <w:rsid w:val="00B75D58"/>
    <w:rsid w:val="00B76F17"/>
    <w:rsid w:val="00B8046A"/>
    <w:rsid w:val="00B81221"/>
    <w:rsid w:val="00B812BC"/>
    <w:rsid w:val="00B81B48"/>
    <w:rsid w:val="00B82D29"/>
    <w:rsid w:val="00B83BEC"/>
    <w:rsid w:val="00B86C25"/>
    <w:rsid w:val="00B87743"/>
    <w:rsid w:val="00B87F44"/>
    <w:rsid w:val="00B9042F"/>
    <w:rsid w:val="00B944E6"/>
    <w:rsid w:val="00B95821"/>
    <w:rsid w:val="00B95FD8"/>
    <w:rsid w:val="00B96B37"/>
    <w:rsid w:val="00B9700F"/>
    <w:rsid w:val="00BA0399"/>
    <w:rsid w:val="00BA190C"/>
    <w:rsid w:val="00BA1BB5"/>
    <w:rsid w:val="00BA1BE8"/>
    <w:rsid w:val="00BA2D6D"/>
    <w:rsid w:val="00BA476C"/>
    <w:rsid w:val="00BA67A5"/>
    <w:rsid w:val="00BA6895"/>
    <w:rsid w:val="00BA6EB1"/>
    <w:rsid w:val="00BA77DA"/>
    <w:rsid w:val="00BB0A76"/>
    <w:rsid w:val="00BB1D6A"/>
    <w:rsid w:val="00BB1D80"/>
    <w:rsid w:val="00BB206B"/>
    <w:rsid w:val="00BB25B8"/>
    <w:rsid w:val="00BB3C3C"/>
    <w:rsid w:val="00BB45D7"/>
    <w:rsid w:val="00BB6523"/>
    <w:rsid w:val="00BB766D"/>
    <w:rsid w:val="00BC046F"/>
    <w:rsid w:val="00BC3C41"/>
    <w:rsid w:val="00BC4055"/>
    <w:rsid w:val="00BC4939"/>
    <w:rsid w:val="00BC65A1"/>
    <w:rsid w:val="00BC7848"/>
    <w:rsid w:val="00BC7F4E"/>
    <w:rsid w:val="00BD07AC"/>
    <w:rsid w:val="00BD0E60"/>
    <w:rsid w:val="00BD1055"/>
    <w:rsid w:val="00BD185C"/>
    <w:rsid w:val="00BD423D"/>
    <w:rsid w:val="00BD4D1D"/>
    <w:rsid w:val="00BD565E"/>
    <w:rsid w:val="00BD5BBC"/>
    <w:rsid w:val="00BD606D"/>
    <w:rsid w:val="00BD66E7"/>
    <w:rsid w:val="00BD6977"/>
    <w:rsid w:val="00BD6B9B"/>
    <w:rsid w:val="00BD6C35"/>
    <w:rsid w:val="00BE01A0"/>
    <w:rsid w:val="00BE0350"/>
    <w:rsid w:val="00BE066A"/>
    <w:rsid w:val="00BE0751"/>
    <w:rsid w:val="00BE1BDA"/>
    <w:rsid w:val="00BE1E8E"/>
    <w:rsid w:val="00BE2C3E"/>
    <w:rsid w:val="00BE3613"/>
    <w:rsid w:val="00BE379B"/>
    <w:rsid w:val="00BE449F"/>
    <w:rsid w:val="00BE471A"/>
    <w:rsid w:val="00BE5AF7"/>
    <w:rsid w:val="00BE68B3"/>
    <w:rsid w:val="00BE6DC4"/>
    <w:rsid w:val="00BE7DC0"/>
    <w:rsid w:val="00BF04E0"/>
    <w:rsid w:val="00BF0B05"/>
    <w:rsid w:val="00BF18AC"/>
    <w:rsid w:val="00BF31CF"/>
    <w:rsid w:val="00BF3652"/>
    <w:rsid w:val="00BF4F48"/>
    <w:rsid w:val="00BF55BE"/>
    <w:rsid w:val="00BF55FE"/>
    <w:rsid w:val="00BF58BA"/>
    <w:rsid w:val="00BF6D32"/>
    <w:rsid w:val="00C007A2"/>
    <w:rsid w:val="00C01320"/>
    <w:rsid w:val="00C01CDF"/>
    <w:rsid w:val="00C01F5E"/>
    <w:rsid w:val="00C03757"/>
    <w:rsid w:val="00C0398D"/>
    <w:rsid w:val="00C03A15"/>
    <w:rsid w:val="00C03A4B"/>
    <w:rsid w:val="00C04F60"/>
    <w:rsid w:val="00C0603A"/>
    <w:rsid w:val="00C1032C"/>
    <w:rsid w:val="00C10338"/>
    <w:rsid w:val="00C105BF"/>
    <w:rsid w:val="00C107CA"/>
    <w:rsid w:val="00C109C2"/>
    <w:rsid w:val="00C112CD"/>
    <w:rsid w:val="00C11A3A"/>
    <w:rsid w:val="00C12732"/>
    <w:rsid w:val="00C13CA8"/>
    <w:rsid w:val="00C13EDA"/>
    <w:rsid w:val="00C156FA"/>
    <w:rsid w:val="00C17B7D"/>
    <w:rsid w:val="00C2026A"/>
    <w:rsid w:val="00C2066D"/>
    <w:rsid w:val="00C2097B"/>
    <w:rsid w:val="00C209CD"/>
    <w:rsid w:val="00C21024"/>
    <w:rsid w:val="00C21A3B"/>
    <w:rsid w:val="00C23B39"/>
    <w:rsid w:val="00C248B0"/>
    <w:rsid w:val="00C24D72"/>
    <w:rsid w:val="00C24FAE"/>
    <w:rsid w:val="00C250C0"/>
    <w:rsid w:val="00C26B24"/>
    <w:rsid w:val="00C276BF"/>
    <w:rsid w:val="00C279AC"/>
    <w:rsid w:val="00C310D7"/>
    <w:rsid w:val="00C31431"/>
    <w:rsid w:val="00C33B25"/>
    <w:rsid w:val="00C33DF3"/>
    <w:rsid w:val="00C34520"/>
    <w:rsid w:val="00C3490C"/>
    <w:rsid w:val="00C34EAE"/>
    <w:rsid w:val="00C35015"/>
    <w:rsid w:val="00C35CC2"/>
    <w:rsid w:val="00C361D9"/>
    <w:rsid w:val="00C3628E"/>
    <w:rsid w:val="00C36A20"/>
    <w:rsid w:val="00C36F0E"/>
    <w:rsid w:val="00C371C9"/>
    <w:rsid w:val="00C37A60"/>
    <w:rsid w:val="00C37A9D"/>
    <w:rsid w:val="00C40AD4"/>
    <w:rsid w:val="00C416C0"/>
    <w:rsid w:val="00C42DFC"/>
    <w:rsid w:val="00C46A1A"/>
    <w:rsid w:val="00C46BD9"/>
    <w:rsid w:val="00C51391"/>
    <w:rsid w:val="00C53453"/>
    <w:rsid w:val="00C53726"/>
    <w:rsid w:val="00C53C45"/>
    <w:rsid w:val="00C53DDD"/>
    <w:rsid w:val="00C53ED4"/>
    <w:rsid w:val="00C54B26"/>
    <w:rsid w:val="00C56091"/>
    <w:rsid w:val="00C56A14"/>
    <w:rsid w:val="00C5787B"/>
    <w:rsid w:val="00C57F30"/>
    <w:rsid w:val="00C60BC0"/>
    <w:rsid w:val="00C62F87"/>
    <w:rsid w:val="00C631D1"/>
    <w:rsid w:val="00C639B5"/>
    <w:rsid w:val="00C6423C"/>
    <w:rsid w:val="00C64294"/>
    <w:rsid w:val="00C6481E"/>
    <w:rsid w:val="00C648F4"/>
    <w:rsid w:val="00C64B88"/>
    <w:rsid w:val="00C6509A"/>
    <w:rsid w:val="00C66286"/>
    <w:rsid w:val="00C6684F"/>
    <w:rsid w:val="00C6728F"/>
    <w:rsid w:val="00C729D3"/>
    <w:rsid w:val="00C738C4"/>
    <w:rsid w:val="00C74729"/>
    <w:rsid w:val="00C82DAE"/>
    <w:rsid w:val="00C82FF8"/>
    <w:rsid w:val="00C83D9C"/>
    <w:rsid w:val="00C87EB0"/>
    <w:rsid w:val="00C90588"/>
    <w:rsid w:val="00C909FA"/>
    <w:rsid w:val="00C92E0D"/>
    <w:rsid w:val="00C9380A"/>
    <w:rsid w:val="00C94A8A"/>
    <w:rsid w:val="00C96DC7"/>
    <w:rsid w:val="00C97C61"/>
    <w:rsid w:val="00C97D2E"/>
    <w:rsid w:val="00CA02D8"/>
    <w:rsid w:val="00CA07D1"/>
    <w:rsid w:val="00CA1732"/>
    <w:rsid w:val="00CA1E81"/>
    <w:rsid w:val="00CA2399"/>
    <w:rsid w:val="00CA2F6A"/>
    <w:rsid w:val="00CA3068"/>
    <w:rsid w:val="00CA331D"/>
    <w:rsid w:val="00CA57BF"/>
    <w:rsid w:val="00CA6312"/>
    <w:rsid w:val="00CA6FAE"/>
    <w:rsid w:val="00CA7152"/>
    <w:rsid w:val="00CB0919"/>
    <w:rsid w:val="00CB10CE"/>
    <w:rsid w:val="00CB25D0"/>
    <w:rsid w:val="00CB5A0B"/>
    <w:rsid w:val="00CB6DBB"/>
    <w:rsid w:val="00CB6E65"/>
    <w:rsid w:val="00CB6F58"/>
    <w:rsid w:val="00CB7F48"/>
    <w:rsid w:val="00CC0826"/>
    <w:rsid w:val="00CC18E8"/>
    <w:rsid w:val="00CC3BE8"/>
    <w:rsid w:val="00CC4738"/>
    <w:rsid w:val="00CC4BBC"/>
    <w:rsid w:val="00CC5176"/>
    <w:rsid w:val="00CC523D"/>
    <w:rsid w:val="00CC5657"/>
    <w:rsid w:val="00CC5776"/>
    <w:rsid w:val="00CC64F1"/>
    <w:rsid w:val="00CC6570"/>
    <w:rsid w:val="00CC7710"/>
    <w:rsid w:val="00CD1E61"/>
    <w:rsid w:val="00CD2766"/>
    <w:rsid w:val="00CD2C0A"/>
    <w:rsid w:val="00CD2C7B"/>
    <w:rsid w:val="00CD2E2B"/>
    <w:rsid w:val="00CD3DFF"/>
    <w:rsid w:val="00CD5A3B"/>
    <w:rsid w:val="00CD5AA6"/>
    <w:rsid w:val="00CD6C42"/>
    <w:rsid w:val="00CE0EAD"/>
    <w:rsid w:val="00CE102D"/>
    <w:rsid w:val="00CE1FEF"/>
    <w:rsid w:val="00CE3392"/>
    <w:rsid w:val="00CE3743"/>
    <w:rsid w:val="00CE3F18"/>
    <w:rsid w:val="00CE44DA"/>
    <w:rsid w:val="00CE5963"/>
    <w:rsid w:val="00CE600F"/>
    <w:rsid w:val="00CE6444"/>
    <w:rsid w:val="00CF0170"/>
    <w:rsid w:val="00CF0A68"/>
    <w:rsid w:val="00CF0EE1"/>
    <w:rsid w:val="00CF1880"/>
    <w:rsid w:val="00CF1DD1"/>
    <w:rsid w:val="00CF26ED"/>
    <w:rsid w:val="00CF3C3B"/>
    <w:rsid w:val="00CF43AA"/>
    <w:rsid w:val="00CF4A0B"/>
    <w:rsid w:val="00CF54FF"/>
    <w:rsid w:val="00CF6629"/>
    <w:rsid w:val="00D012B6"/>
    <w:rsid w:val="00D014A0"/>
    <w:rsid w:val="00D02370"/>
    <w:rsid w:val="00D03336"/>
    <w:rsid w:val="00D033B2"/>
    <w:rsid w:val="00D03562"/>
    <w:rsid w:val="00D035BD"/>
    <w:rsid w:val="00D03D45"/>
    <w:rsid w:val="00D04DCB"/>
    <w:rsid w:val="00D04FC5"/>
    <w:rsid w:val="00D0655E"/>
    <w:rsid w:val="00D07779"/>
    <w:rsid w:val="00D07CC5"/>
    <w:rsid w:val="00D1035E"/>
    <w:rsid w:val="00D11A09"/>
    <w:rsid w:val="00D12477"/>
    <w:rsid w:val="00D14814"/>
    <w:rsid w:val="00D153EC"/>
    <w:rsid w:val="00D16CCD"/>
    <w:rsid w:val="00D17F43"/>
    <w:rsid w:val="00D2049F"/>
    <w:rsid w:val="00D2052B"/>
    <w:rsid w:val="00D207D8"/>
    <w:rsid w:val="00D20872"/>
    <w:rsid w:val="00D20AEC"/>
    <w:rsid w:val="00D212A0"/>
    <w:rsid w:val="00D21A4E"/>
    <w:rsid w:val="00D24C50"/>
    <w:rsid w:val="00D24EC9"/>
    <w:rsid w:val="00D25F0D"/>
    <w:rsid w:val="00D266DF"/>
    <w:rsid w:val="00D2677A"/>
    <w:rsid w:val="00D2682A"/>
    <w:rsid w:val="00D2720D"/>
    <w:rsid w:val="00D2726E"/>
    <w:rsid w:val="00D302A0"/>
    <w:rsid w:val="00D30AE4"/>
    <w:rsid w:val="00D31EF0"/>
    <w:rsid w:val="00D32AF0"/>
    <w:rsid w:val="00D32C6D"/>
    <w:rsid w:val="00D3388A"/>
    <w:rsid w:val="00D338FD"/>
    <w:rsid w:val="00D34E34"/>
    <w:rsid w:val="00D352C4"/>
    <w:rsid w:val="00D3627E"/>
    <w:rsid w:val="00D362C3"/>
    <w:rsid w:val="00D36BA4"/>
    <w:rsid w:val="00D36CB7"/>
    <w:rsid w:val="00D372C1"/>
    <w:rsid w:val="00D374F0"/>
    <w:rsid w:val="00D41384"/>
    <w:rsid w:val="00D415E9"/>
    <w:rsid w:val="00D419E6"/>
    <w:rsid w:val="00D4579E"/>
    <w:rsid w:val="00D45FEB"/>
    <w:rsid w:val="00D461E0"/>
    <w:rsid w:val="00D469C7"/>
    <w:rsid w:val="00D46A90"/>
    <w:rsid w:val="00D47C2E"/>
    <w:rsid w:val="00D47F1F"/>
    <w:rsid w:val="00D51899"/>
    <w:rsid w:val="00D51AFD"/>
    <w:rsid w:val="00D51C51"/>
    <w:rsid w:val="00D533C4"/>
    <w:rsid w:val="00D534AA"/>
    <w:rsid w:val="00D53CE1"/>
    <w:rsid w:val="00D54C09"/>
    <w:rsid w:val="00D55380"/>
    <w:rsid w:val="00D56050"/>
    <w:rsid w:val="00D5674B"/>
    <w:rsid w:val="00D5763C"/>
    <w:rsid w:val="00D577AA"/>
    <w:rsid w:val="00D608A2"/>
    <w:rsid w:val="00D61C45"/>
    <w:rsid w:val="00D637D1"/>
    <w:rsid w:val="00D63A4C"/>
    <w:rsid w:val="00D63E63"/>
    <w:rsid w:val="00D652AB"/>
    <w:rsid w:val="00D70510"/>
    <w:rsid w:val="00D7119C"/>
    <w:rsid w:val="00D7137D"/>
    <w:rsid w:val="00D7197A"/>
    <w:rsid w:val="00D727AD"/>
    <w:rsid w:val="00D733E6"/>
    <w:rsid w:val="00D7348B"/>
    <w:rsid w:val="00D73558"/>
    <w:rsid w:val="00D74BB9"/>
    <w:rsid w:val="00D772B4"/>
    <w:rsid w:val="00D77430"/>
    <w:rsid w:val="00D774F3"/>
    <w:rsid w:val="00D77A4A"/>
    <w:rsid w:val="00D80A66"/>
    <w:rsid w:val="00D815B7"/>
    <w:rsid w:val="00D815F3"/>
    <w:rsid w:val="00D835DD"/>
    <w:rsid w:val="00D83696"/>
    <w:rsid w:val="00D838BF"/>
    <w:rsid w:val="00D85A99"/>
    <w:rsid w:val="00D8648F"/>
    <w:rsid w:val="00D86758"/>
    <w:rsid w:val="00D87C38"/>
    <w:rsid w:val="00D90FCE"/>
    <w:rsid w:val="00D9132B"/>
    <w:rsid w:val="00D921C1"/>
    <w:rsid w:val="00D924EB"/>
    <w:rsid w:val="00D927E7"/>
    <w:rsid w:val="00D934CA"/>
    <w:rsid w:val="00D93B71"/>
    <w:rsid w:val="00D93D0C"/>
    <w:rsid w:val="00D93D22"/>
    <w:rsid w:val="00D94034"/>
    <w:rsid w:val="00D941F6"/>
    <w:rsid w:val="00D95425"/>
    <w:rsid w:val="00D95472"/>
    <w:rsid w:val="00D971DC"/>
    <w:rsid w:val="00DA07A9"/>
    <w:rsid w:val="00DA0953"/>
    <w:rsid w:val="00DA0FD7"/>
    <w:rsid w:val="00DA208D"/>
    <w:rsid w:val="00DA22F0"/>
    <w:rsid w:val="00DA35BE"/>
    <w:rsid w:val="00DA48B8"/>
    <w:rsid w:val="00DA4EFB"/>
    <w:rsid w:val="00DA509B"/>
    <w:rsid w:val="00DA53A8"/>
    <w:rsid w:val="00DA5C0D"/>
    <w:rsid w:val="00DA65E9"/>
    <w:rsid w:val="00DA6A26"/>
    <w:rsid w:val="00DA72CB"/>
    <w:rsid w:val="00DA7A41"/>
    <w:rsid w:val="00DB195E"/>
    <w:rsid w:val="00DB250A"/>
    <w:rsid w:val="00DB29CA"/>
    <w:rsid w:val="00DB2C42"/>
    <w:rsid w:val="00DB35F5"/>
    <w:rsid w:val="00DB451A"/>
    <w:rsid w:val="00DB4AAD"/>
    <w:rsid w:val="00DB5A9D"/>
    <w:rsid w:val="00DB6883"/>
    <w:rsid w:val="00DC0195"/>
    <w:rsid w:val="00DC043C"/>
    <w:rsid w:val="00DC0A7C"/>
    <w:rsid w:val="00DC3059"/>
    <w:rsid w:val="00DC3CC6"/>
    <w:rsid w:val="00DC5B4E"/>
    <w:rsid w:val="00DC667D"/>
    <w:rsid w:val="00DC7509"/>
    <w:rsid w:val="00DD155A"/>
    <w:rsid w:val="00DD1B3D"/>
    <w:rsid w:val="00DD2808"/>
    <w:rsid w:val="00DD4927"/>
    <w:rsid w:val="00DD4A7E"/>
    <w:rsid w:val="00DD4E20"/>
    <w:rsid w:val="00DD5241"/>
    <w:rsid w:val="00DD52F8"/>
    <w:rsid w:val="00DE1CDE"/>
    <w:rsid w:val="00DE1E46"/>
    <w:rsid w:val="00DE24DD"/>
    <w:rsid w:val="00DE3918"/>
    <w:rsid w:val="00DE40D2"/>
    <w:rsid w:val="00DE5254"/>
    <w:rsid w:val="00DE5FC0"/>
    <w:rsid w:val="00DE6E4B"/>
    <w:rsid w:val="00DE762A"/>
    <w:rsid w:val="00DE7CD3"/>
    <w:rsid w:val="00DE7ED6"/>
    <w:rsid w:val="00DF1284"/>
    <w:rsid w:val="00DF3076"/>
    <w:rsid w:val="00DF3632"/>
    <w:rsid w:val="00DF3ED6"/>
    <w:rsid w:val="00DF5206"/>
    <w:rsid w:val="00DF6123"/>
    <w:rsid w:val="00DF6258"/>
    <w:rsid w:val="00DF67BC"/>
    <w:rsid w:val="00DF7B20"/>
    <w:rsid w:val="00E017AF"/>
    <w:rsid w:val="00E0222A"/>
    <w:rsid w:val="00E045B8"/>
    <w:rsid w:val="00E0467E"/>
    <w:rsid w:val="00E04A8E"/>
    <w:rsid w:val="00E04FB2"/>
    <w:rsid w:val="00E0506B"/>
    <w:rsid w:val="00E05AD8"/>
    <w:rsid w:val="00E06308"/>
    <w:rsid w:val="00E069CF"/>
    <w:rsid w:val="00E06C05"/>
    <w:rsid w:val="00E07425"/>
    <w:rsid w:val="00E10EA6"/>
    <w:rsid w:val="00E10F46"/>
    <w:rsid w:val="00E1351A"/>
    <w:rsid w:val="00E159F3"/>
    <w:rsid w:val="00E15D83"/>
    <w:rsid w:val="00E21AC7"/>
    <w:rsid w:val="00E21D41"/>
    <w:rsid w:val="00E2297B"/>
    <w:rsid w:val="00E23678"/>
    <w:rsid w:val="00E2457B"/>
    <w:rsid w:val="00E24647"/>
    <w:rsid w:val="00E24CA0"/>
    <w:rsid w:val="00E26536"/>
    <w:rsid w:val="00E271EB"/>
    <w:rsid w:val="00E27451"/>
    <w:rsid w:val="00E304E0"/>
    <w:rsid w:val="00E308E6"/>
    <w:rsid w:val="00E320B1"/>
    <w:rsid w:val="00E32DC2"/>
    <w:rsid w:val="00E3415E"/>
    <w:rsid w:val="00E3709D"/>
    <w:rsid w:val="00E37D9F"/>
    <w:rsid w:val="00E40856"/>
    <w:rsid w:val="00E4176A"/>
    <w:rsid w:val="00E41A25"/>
    <w:rsid w:val="00E4247B"/>
    <w:rsid w:val="00E42938"/>
    <w:rsid w:val="00E43CF1"/>
    <w:rsid w:val="00E43D84"/>
    <w:rsid w:val="00E43F30"/>
    <w:rsid w:val="00E4429B"/>
    <w:rsid w:val="00E442D4"/>
    <w:rsid w:val="00E444E6"/>
    <w:rsid w:val="00E44CE9"/>
    <w:rsid w:val="00E45494"/>
    <w:rsid w:val="00E45D2C"/>
    <w:rsid w:val="00E46AB3"/>
    <w:rsid w:val="00E46D1D"/>
    <w:rsid w:val="00E47877"/>
    <w:rsid w:val="00E47FBA"/>
    <w:rsid w:val="00E515DB"/>
    <w:rsid w:val="00E51AB9"/>
    <w:rsid w:val="00E52BE7"/>
    <w:rsid w:val="00E54272"/>
    <w:rsid w:val="00E559E3"/>
    <w:rsid w:val="00E563DD"/>
    <w:rsid w:val="00E56BE8"/>
    <w:rsid w:val="00E579BC"/>
    <w:rsid w:val="00E6021D"/>
    <w:rsid w:val="00E606BC"/>
    <w:rsid w:val="00E608EF"/>
    <w:rsid w:val="00E60E60"/>
    <w:rsid w:val="00E6315B"/>
    <w:rsid w:val="00E63643"/>
    <w:rsid w:val="00E63732"/>
    <w:rsid w:val="00E64E4D"/>
    <w:rsid w:val="00E66853"/>
    <w:rsid w:val="00E67E1E"/>
    <w:rsid w:val="00E70743"/>
    <w:rsid w:val="00E71767"/>
    <w:rsid w:val="00E72D77"/>
    <w:rsid w:val="00E73626"/>
    <w:rsid w:val="00E76D01"/>
    <w:rsid w:val="00E76D44"/>
    <w:rsid w:val="00E7741A"/>
    <w:rsid w:val="00E77738"/>
    <w:rsid w:val="00E80370"/>
    <w:rsid w:val="00E80FDA"/>
    <w:rsid w:val="00E81F09"/>
    <w:rsid w:val="00E832BA"/>
    <w:rsid w:val="00E8378F"/>
    <w:rsid w:val="00E83E02"/>
    <w:rsid w:val="00E84C6D"/>
    <w:rsid w:val="00E85C20"/>
    <w:rsid w:val="00E85FA6"/>
    <w:rsid w:val="00E86F76"/>
    <w:rsid w:val="00E9193C"/>
    <w:rsid w:val="00E9204C"/>
    <w:rsid w:val="00E937E2"/>
    <w:rsid w:val="00E93BDE"/>
    <w:rsid w:val="00E93D77"/>
    <w:rsid w:val="00E9502B"/>
    <w:rsid w:val="00E97AD1"/>
    <w:rsid w:val="00EA0F3A"/>
    <w:rsid w:val="00EA0F56"/>
    <w:rsid w:val="00EA27B4"/>
    <w:rsid w:val="00EA3291"/>
    <w:rsid w:val="00EA34AC"/>
    <w:rsid w:val="00EA3D44"/>
    <w:rsid w:val="00EA473B"/>
    <w:rsid w:val="00EA4A39"/>
    <w:rsid w:val="00EA4A41"/>
    <w:rsid w:val="00EA5596"/>
    <w:rsid w:val="00EA5873"/>
    <w:rsid w:val="00EA5DB1"/>
    <w:rsid w:val="00EA6B02"/>
    <w:rsid w:val="00EA6D2F"/>
    <w:rsid w:val="00EB0426"/>
    <w:rsid w:val="00EB07EE"/>
    <w:rsid w:val="00EB0E8E"/>
    <w:rsid w:val="00EB18A7"/>
    <w:rsid w:val="00EB2778"/>
    <w:rsid w:val="00EB27DF"/>
    <w:rsid w:val="00EB2C0C"/>
    <w:rsid w:val="00EB2C62"/>
    <w:rsid w:val="00EB2EB8"/>
    <w:rsid w:val="00EB3BF2"/>
    <w:rsid w:val="00EB497E"/>
    <w:rsid w:val="00EB5F1D"/>
    <w:rsid w:val="00EB5FDF"/>
    <w:rsid w:val="00EB6AFA"/>
    <w:rsid w:val="00EB7C18"/>
    <w:rsid w:val="00EC0F67"/>
    <w:rsid w:val="00EC13BB"/>
    <w:rsid w:val="00EC156E"/>
    <w:rsid w:val="00EC480D"/>
    <w:rsid w:val="00EC652A"/>
    <w:rsid w:val="00EC6A87"/>
    <w:rsid w:val="00EC7682"/>
    <w:rsid w:val="00EC7EA7"/>
    <w:rsid w:val="00ED0551"/>
    <w:rsid w:val="00ED0A21"/>
    <w:rsid w:val="00ED0C10"/>
    <w:rsid w:val="00ED1CD9"/>
    <w:rsid w:val="00ED1E75"/>
    <w:rsid w:val="00ED22FC"/>
    <w:rsid w:val="00ED2588"/>
    <w:rsid w:val="00ED3CA6"/>
    <w:rsid w:val="00ED41AE"/>
    <w:rsid w:val="00ED4606"/>
    <w:rsid w:val="00ED5384"/>
    <w:rsid w:val="00ED5AB5"/>
    <w:rsid w:val="00ED7771"/>
    <w:rsid w:val="00ED79CF"/>
    <w:rsid w:val="00EE07C0"/>
    <w:rsid w:val="00EE0CB6"/>
    <w:rsid w:val="00EE5EF4"/>
    <w:rsid w:val="00EE60F6"/>
    <w:rsid w:val="00EF0005"/>
    <w:rsid w:val="00EF0892"/>
    <w:rsid w:val="00EF192C"/>
    <w:rsid w:val="00EF2933"/>
    <w:rsid w:val="00EF2E87"/>
    <w:rsid w:val="00EF323F"/>
    <w:rsid w:val="00EF696D"/>
    <w:rsid w:val="00EF6BD0"/>
    <w:rsid w:val="00EF76D8"/>
    <w:rsid w:val="00EF77D9"/>
    <w:rsid w:val="00EF7859"/>
    <w:rsid w:val="00F017EC"/>
    <w:rsid w:val="00F02778"/>
    <w:rsid w:val="00F037B2"/>
    <w:rsid w:val="00F044EB"/>
    <w:rsid w:val="00F06F51"/>
    <w:rsid w:val="00F10F48"/>
    <w:rsid w:val="00F1171B"/>
    <w:rsid w:val="00F11C7C"/>
    <w:rsid w:val="00F11F44"/>
    <w:rsid w:val="00F12D52"/>
    <w:rsid w:val="00F13574"/>
    <w:rsid w:val="00F13946"/>
    <w:rsid w:val="00F13FC0"/>
    <w:rsid w:val="00F15E82"/>
    <w:rsid w:val="00F16705"/>
    <w:rsid w:val="00F171C9"/>
    <w:rsid w:val="00F173A4"/>
    <w:rsid w:val="00F209BF"/>
    <w:rsid w:val="00F20B21"/>
    <w:rsid w:val="00F216CD"/>
    <w:rsid w:val="00F22065"/>
    <w:rsid w:val="00F2376C"/>
    <w:rsid w:val="00F244D4"/>
    <w:rsid w:val="00F24608"/>
    <w:rsid w:val="00F24CEC"/>
    <w:rsid w:val="00F250AE"/>
    <w:rsid w:val="00F2598A"/>
    <w:rsid w:val="00F25ABB"/>
    <w:rsid w:val="00F26874"/>
    <w:rsid w:val="00F27357"/>
    <w:rsid w:val="00F32971"/>
    <w:rsid w:val="00F368A3"/>
    <w:rsid w:val="00F36DA0"/>
    <w:rsid w:val="00F370D8"/>
    <w:rsid w:val="00F37592"/>
    <w:rsid w:val="00F37EB2"/>
    <w:rsid w:val="00F416ED"/>
    <w:rsid w:val="00F422C9"/>
    <w:rsid w:val="00F42469"/>
    <w:rsid w:val="00F42DD9"/>
    <w:rsid w:val="00F43B71"/>
    <w:rsid w:val="00F43BF2"/>
    <w:rsid w:val="00F45B8C"/>
    <w:rsid w:val="00F50217"/>
    <w:rsid w:val="00F50471"/>
    <w:rsid w:val="00F509DC"/>
    <w:rsid w:val="00F5160E"/>
    <w:rsid w:val="00F51BD7"/>
    <w:rsid w:val="00F524A4"/>
    <w:rsid w:val="00F530FA"/>
    <w:rsid w:val="00F53243"/>
    <w:rsid w:val="00F56118"/>
    <w:rsid w:val="00F5628C"/>
    <w:rsid w:val="00F56374"/>
    <w:rsid w:val="00F57C81"/>
    <w:rsid w:val="00F60F75"/>
    <w:rsid w:val="00F62194"/>
    <w:rsid w:val="00F6409C"/>
    <w:rsid w:val="00F64114"/>
    <w:rsid w:val="00F642E9"/>
    <w:rsid w:val="00F64667"/>
    <w:rsid w:val="00F664EE"/>
    <w:rsid w:val="00F6664D"/>
    <w:rsid w:val="00F6691B"/>
    <w:rsid w:val="00F67AA8"/>
    <w:rsid w:val="00F7005A"/>
    <w:rsid w:val="00F70644"/>
    <w:rsid w:val="00F70C3A"/>
    <w:rsid w:val="00F71925"/>
    <w:rsid w:val="00F73385"/>
    <w:rsid w:val="00F739AA"/>
    <w:rsid w:val="00F75645"/>
    <w:rsid w:val="00F759F7"/>
    <w:rsid w:val="00F761B3"/>
    <w:rsid w:val="00F76E05"/>
    <w:rsid w:val="00F7701F"/>
    <w:rsid w:val="00F77BD5"/>
    <w:rsid w:val="00F80410"/>
    <w:rsid w:val="00F80769"/>
    <w:rsid w:val="00F80846"/>
    <w:rsid w:val="00F81AB7"/>
    <w:rsid w:val="00F825A0"/>
    <w:rsid w:val="00F83D87"/>
    <w:rsid w:val="00F866CC"/>
    <w:rsid w:val="00F86A97"/>
    <w:rsid w:val="00F86ACD"/>
    <w:rsid w:val="00F87059"/>
    <w:rsid w:val="00F87304"/>
    <w:rsid w:val="00F904AA"/>
    <w:rsid w:val="00F9059A"/>
    <w:rsid w:val="00F91261"/>
    <w:rsid w:val="00F92510"/>
    <w:rsid w:val="00F92A1F"/>
    <w:rsid w:val="00F931BC"/>
    <w:rsid w:val="00F93836"/>
    <w:rsid w:val="00F9576D"/>
    <w:rsid w:val="00F9656B"/>
    <w:rsid w:val="00FA1AD3"/>
    <w:rsid w:val="00FA1E54"/>
    <w:rsid w:val="00FA21CE"/>
    <w:rsid w:val="00FA451A"/>
    <w:rsid w:val="00FA48FC"/>
    <w:rsid w:val="00FA5FFE"/>
    <w:rsid w:val="00FA615D"/>
    <w:rsid w:val="00FA6EF6"/>
    <w:rsid w:val="00FA79C8"/>
    <w:rsid w:val="00FB049C"/>
    <w:rsid w:val="00FB12C5"/>
    <w:rsid w:val="00FB325B"/>
    <w:rsid w:val="00FB3576"/>
    <w:rsid w:val="00FB526E"/>
    <w:rsid w:val="00FB5857"/>
    <w:rsid w:val="00FB63B7"/>
    <w:rsid w:val="00FB6F56"/>
    <w:rsid w:val="00FB7239"/>
    <w:rsid w:val="00FC025D"/>
    <w:rsid w:val="00FC1425"/>
    <w:rsid w:val="00FC200F"/>
    <w:rsid w:val="00FC3C06"/>
    <w:rsid w:val="00FC3F1A"/>
    <w:rsid w:val="00FC4697"/>
    <w:rsid w:val="00FC4A76"/>
    <w:rsid w:val="00FC51E1"/>
    <w:rsid w:val="00FC5BE6"/>
    <w:rsid w:val="00FC61E8"/>
    <w:rsid w:val="00FC69F0"/>
    <w:rsid w:val="00FC7287"/>
    <w:rsid w:val="00FD1CD6"/>
    <w:rsid w:val="00FD1D8E"/>
    <w:rsid w:val="00FD2FAA"/>
    <w:rsid w:val="00FD36D1"/>
    <w:rsid w:val="00FD47D5"/>
    <w:rsid w:val="00FD69D9"/>
    <w:rsid w:val="00FD7CDA"/>
    <w:rsid w:val="00FE0A9A"/>
    <w:rsid w:val="00FE11D6"/>
    <w:rsid w:val="00FE173C"/>
    <w:rsid w:val="00FE182E"/>
    <w:rsid w:val="00FE2A2D"/>
    <w:rsid w:val="00FE3CF8"/>
    <w:rsid w:val="00FE5CD5"/>
    <w:rsid w:val="00FE6578"/>
    <w:rsid w:val="00FE6A12"/>
    <w:rsid w:val="00FE6A27"/>
    <w:rsid w:val="00FE6BC5"/>
    <w:rsid w:val="00FE7FD7"/>
    <w:rsid w:val="00FF3825"/>
    <w:rsid w:val="00FF4A07"/>
    <w:rsid w:val="00FF5054"/>
    <w:rsid w:val="00FF5421"/>
    <w:rsid w:val="00FF58AD"/>
    <w:rsid w:val="00FF6438"/>
    <w:rsid w:val="00FF68DB"/>
    <w:rsid w:val="00FF7327"/>
    <w:rsid w:val="00FF73A1"/>
    <w:rsid w:val="00FF7FB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A1A9FB8F-999F-42BE-999F-3DBA814E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D7A7D"/>
    <w:pPr>
      <w:spacing w:line="312" w:lineRule="auto"/>
      <w:ind w:firstLine="510"/>
    </w:pPr>
    <w:rPr>
      <w:rFonts w:ascii="Arial" w:hAnsi="Arial"/>
      <w:sz w:val="22"/>
      <w:szCs w:val="24"/>
    </w:rPr>
  </w:style>
  <w:style w:type="paragraph" w:styleId="Nagwek1">
    <w:name w:val="heading 1"/>
    <w:basedOn w:val="Normalny"/>
    <w:next w:val="Normalny"/>
    <w:uiPriority w:val="9"/>
    <w:qFormat/>
    <w:rsid w:val="0046542E"/>
    <w:pPr>
      <w:keepNext/>
      <w:numPr>
        <w:numId w:val="5"/>
      </w:numPr>
      <w:spacing w:before="240" w:after="240"/>
      <w:outlineLvl w:val="0"/>
    </w:pPr>
    <w:rPr>
      <w:b/>
      <w:i/>
      <w:kern w:val="28"/>
      <w:sz w:val="32"/>
      <w:szCs w:val="20"/>
    </w:rPr>
  </w:style>
  <w:style w:type="paragraph" w:styleId="Nagwek2">
    <w:name w:val="heading 2"/>
    <w:basedOn w:val="Normalny"/>
    <w:next w:val="Normalny"/>
    <w:link w:val="Nagwek2Znak"/>
    <w:autoRedefine/>
    <w:uiPriority w:val="9"/>
    <w:qFormat/>
    <w:rsid w:val="00907272"/>
    <w:pPr>
      <w:keepNext/>
      <w:numPr>
        <w:ilvl w:val="1"/>
        <w:numId w:val="38"/>
      </w:numPr>
      <w:spacing w:before="240" w:after="480" w:line="276" w:lineRule="auto"/>
      <w:jc w:val="both"/>
      <w:outlineLvl w:val="1"/>
    </w:pPr>
    <w:rPr>
      <w:rFonts w:ascii="Tahoma" w:hAnsi="Tahoma" w:cs="Tahoma"/>
      <w:color w:val="365F91"/>
      <w:sz w:val="28"/>
      <w:szCs w:val="28"/>
    </w:rPr>
  </w:style>
  <w:style w:type="paragraph" w:styleId="Nagwek3">
    <w:name w:val="heading 3"/>
    <w:basedOn w:val="Normalny"/>
    <w:next w:val="Normalny"/>
    <w:link w:val="Nagwek3Znak"/>
    <w:autoRedefine/>
    <w:qFormat/>
    <w:rsid w:val="00CB0919"/>
    <w:pPr>
      <w:numPr>
        <w:ilvl w:val="2"/>
        <w:numId w:val="5"/>
      </w:numPr>
      <w:spacing w:after="240"/>
      <w:outlineLvl w:val="2"/>
    </w:pPr>
    <w:rPr>
      <w:rFonts w:ascii="Tahoma" w:hAnsi="Tahoma" w:cs="Tahoma"/>
      <w:b/>
      <w:i/>
      <w:sz w:val="28"/>
      <w:szCs w:val="28"/>
    </w:rPr>
  </w:style>
  <w:style w:type="paragraph" w:styleId="Nagwek4">
    <w:name w:val="heading 4"/>
    <w:basedOn w:val="Normalny"/>
    <w:next w:val="Normalny"/>
    <w:uiPriority w:val="9"/>
    <w:qFormat/>
    <w:rsid w:val="0046542E"/>
    <w:pPr>
      <w:keepNext/>
      <w:numPr>
        <w:ilvl w:val="3"/>
        <w:numId w:val="5"/>
      </w:numPr>
      <w:spacing w:before="240" w:after="240"/>
      <w:outlineLvl w:val="3"/>
    </w:pPr>
    <w:rPr>
      <w:b/>
      <w:i/>
      <w:sz w:val="24"/>
      <w:szCs w:val="20"/>
    </w:rPr>
  </w:style>
  <w:style w:type="paragraph" w:styleId="Nagwek5">
    <w:name w:val="heading 5"/>
    <w:basedOn w:val="Normalny"/>
    <w:next w:val="Normalny"/>
    <w:link w:val="Nagwek5Znak"/>
    <w:qFormat/>
    <w:rsid w:val="0046542E"/>
    <w:pPr>
      <w:numPr>
        <w:ilvl w:val="4"/>
        <w:numId w:val="5"/>
      </w:numPr>
      <w:spacing w:before="240" w:after="60"/>
      <w:outlineLvl w:val="4"/>
    </w:pPr>
    <w:rPr>
      <w:szCs w:val="20"/>
    </w:rPr>
  </w:style>
  <w:style w:type="paragraph" w:styleId="Nagwek6">
    <w:name w:val="heading 6"/>
    <w:basedOn w:val="Normalny"/>
    <w:next w:val="Normalny"/>
    <w:link w:val="Nagwek6Znak"/>
    <w:uiPriority w:val="9"/>
    <w:qFormat/>
    <w:rsid w:val="0046542E"/>
    <w:pPr>
      <w:numPr>
        <w:ilvl w:val="5"/>
        <w:numId w:val="5"/>
      </w:numPr>
      <w:spacing w:before="240" w:after="60"/>
      <w:outlineLvl w:val="5"/>
    </w:pPr>
    <w:rPr>
      <w:i/>
      <w:szCs w:val="20"/>
    </w:rPr>
  </w:style>
  <w:style w:type="paragraph" w:styleId="Nagwek7">
    <w:name w:val="heading 7"/>
    <w:basedOn w:val="Normalny"/>
    <w:next w:val="Normalny"/>
    <w:link w:val="Nagwek7Znak"/>
    <w:qFormat/>
    <w:rsid w:val="0046542E"/>
    <w:pPr>
      <w:numPr>
        <w:ilvl w:val="6"/>
        <w:numId w:val="5"/>
      </w:numPr>
      <w:spacing w:before="240" w:after="60"/>
      <w:outlineLvl w:val="6"/>
    </w:pPr>
    <w:rPr>
      <w:szCs w:val="20"/>
    </w:rPr>
  </w:style>
  <w:style w:type="paragraph" w:styleId="Nagwek8">
    <w:name w:val="heading 8"/>
    <w:basedOn w:val="Normalny"/>
    <w:next w:val="Normalny"/>
    <w:link w:val="Nagwek8Znak"/>
    <w:qFormat/>
    <w:rsid w:val="0046542E"/>
    <w:pPr>
      <w:numPr>
        <w:ilvl w:val="7"/>
        <w:numId w:val="5"/>
      </w:numPr>
      <w:spacing w:before="240" w:after="60"/>
      <w:outlineLvl w:val="7"/>
    </w:pPr>
    <w:rPr>
      <w:i/>
      <w:szCs w:val="20"/>
    </w:rPr>
  </w:style>
  <w:style w:type="paragraph" w:styleId="Nagwek9">
    <w:name w:val="heading 9"/>
    <w:basedOn w:val="Normalny"/>
    <w:next w:val="Normalny"/>
    <w:link w:val="Nagwek9Znak"/>
    <w:qFormat/>
    <w:rsid w:val="0046542E"/>
    <w:pPr>
      <w:numPr>
        <w:ilvl w:val="8"/>
        <w:numId w:val="5"/>
      </w:numPr>
      <w:spacing w:before="240" w:after="60"/>
      <w:outlineLvl w:val="8"/>
    </w:pPr>
    <w:rPr>
      <w:b/>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907272"/>
    <w:rPr>
      <w:rFonts w:ascii="Tahoma" w:hAnsi="Tahoma" w:cs="Tahoma"/>
      <w:color w:val="365F91"/>
      <w:sz w:val="28"/>
      <w:szCs w:val="28"/>
    </w:rPr>
  </w:style>
  <w:style w:type="character" w:customStyle="1" w:styleId="Nagwek3Znak">
    <w:name w:val="Nagłówek 3 Znak"/>
    <w:link w:val="Nagwek3"/>
    <w:rsid w:val="007C072D"/>
    <w:rPr>
      <w:rFonts w:ascii="Tahoma" w:hAnsi="Tahoma" w:cs="Tahoma"/>
      <w:b/>
      <w:i/>
      <w:sz w:val="28"/>
      <w:szCs w:val="28"/>
    </w:rPr>
  </w:style>
  <w:style w:type="character" w:customStyle="1" w:styleId="Nagwek5Znak">
    <w:name w:val="Nagłówek 5 Znak"/>
    <w:link w:val="Nagwek5"/>
    <w:rsid w:val="007C072D"/>
    <w:rPr>
      <w:rFonts w:ascii="Arial" w:hAnsi="Arial"/>
      <w:sz w:val="22"/>
    </w:rPr>
  </w:style>
  <w:style w:type="character" w:customStyle="1" w:styleId="Nagwek6Znak">
    <w:name w:val="Nagłówek 6 Znak"/>
    <w:link w:val="Nagwek6"/>
    <w:uiPriority w:val="9"/>
    <w:rsid w:val="00230823"/>
    <w:rPr>
      <w:rFonts w:ascii="Arial" w:hAnsi="Arial"/>
      <w:i/>
      <w:sz w:val="22"/>
    </w:rPr>
  </w:style>
  <w:style w:type="character" w:customStyle="1" w:styleId="Nagwek7Znak">
    <w:name w:val="Nagłówek 7 Znak"/>
    <w:link w:val="Nagwek7"/>
    <w:rsid w:val="007C072D"/>
    <w:rPr>
      <w:rFonts w:ascii="Arial" w:hAnsi="Arial"/>
      <w:sz w:val="22"/>
    </w:rPr>
  </w:style>
  <w:style w:type="character" w:customStyle="1" w:styleId="Nagwek8Znak">
    <w:name w:val="Nagłówek 8 Znak"/>
    <w:link w:val="Nagwek8"/>
    <w:rsid w:val="007C072D"/>
    <w:rPr>
      <w:rFonts w:ascii="Arial" w:hAnsi="Arial"/>
      <w:i/>
      <w:sz w:val="22"/>
    </w:rPr>
  </w:style>
  <w:style w:type="character" w:customStyle="1" w:styleId="Nagwek9Znak">
    <w:name w:val="Nagłówek 9 Znak"/>
    <w:link w:val="Nagwek9"/>
    <w:rsid w:val="007C072D"/>
    <w:rPr>
      <w:rFonts w:ascii="Arial" w:hAnsi="Arial"/>
      <w:b/>
      <w:i/>
      <w:sz w:val="18"/>
    </w:rPr>
  </w:style>
  <w:style w:type="character" w:customStyle="1" w:styleId="Nagwek4Znak">
    <w:name w:val="Nagłówek 4 Znak"/>
    <w:uiPriority w:val="9"/>
    <w:rsid w:val="0046542E"/>
    <w:rPr>
      <w:rFonts w:ascii="Arial" w:hAnsi="Arial"/>
      <w:b/>
      <w:i/>
      <w:sz w:val="24"/>
      <w:lang w:val="pl-PL" w:eastAsia="pl-PL" w:bidi="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link w:val="LegendaZnak1"/>
    <w:qFormat/>
    <w:rsid w:val="0046542E"/>
    <w:pPr>
      <w:keepNext/>
      <w:spacing w:before="120" w:after="120" w:line="240" w:lineRule="auto"/>
      <w:ind w:firstLine="0"/>
      <w:jc w:val="both"/>
    </w:pPr>
    <w:rPr>
      <w:rFonts w:ascii="Tahoma" w:hAnsi="Tahoma"/>
      <w:b/>
      <w:spacing w:val="-2"/>
      <w:szCs w:val="22"/>
      <w:lang w:val="x-none" w:eastAsia="x-none"/>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rsid w:val="0046542E"/>
    <w:rPr>
      <w:rFonts w:ascii="Arial" w:hAnsi="Arial"/>
      <w:i/>
      <w:sz w:val="24"/>
      <w:lang w:val="pl-PL" w:eastAsia="pl-PL" w:bidi="ar-SA"/>
    </w:rPr>
  </w:style>
  <w:style w:type="paragraph" w:styleId="Tekstpodstawowy3">
    <w:name w:val="Body Text 3"/>
    <w:aliases w:val="tekst w tabeli"/>
    <w:basedOn w:val="Normalny"/>
    <w:uiPriority w:val="99"/>
    <w:rsid w:val="0046542E"/>
    <w:rPr>
      <w:b/>
      <w:i/>
      <w:szCs w:val="20"/>
    </w:rPr>
  </w:style>
  <w:style w:type="paragraph" w:customStyle="1" w:styleId="bulety">
    <w:name w:val="bulety"/>
    <w:basedOn w:val="Normalny"/>
    <w:rsid w:val="0046542E"/>
    <w:pPr>
      <w:spacing w:before="60" w:after="60" w:line="360" w:lineRule="auto"/>
      <w:jc w:val="both"/>
    </w:pPr>
    <w:rPr>
      <w:snapToGrid w:val="0"/>
      <w:szCs w:val="20"/>
    </w:rPr>
  </w:style>
  <w:style w:type="paragraph" w:customStyle="1" w:styleId="Tekstpodstawowy21">
    <w:name w:val="Tekst podstawowy 21"/>
    <w:basedOn w:val="Normalny"/>
    <w:rsid w:val="0046542E"/>
    <w:pPr>
      <w:overflowPunct w:val="0"/>
      <w:autoSpaceDE w:val="0"/>
      <w:autoSpaceDN w:val="0"/>
      <w:adjustRightInd w:val="0"/>
      <w:spacing w:before="240"/>
      <w:jc w:val="both"/>
      <w:textAlignment w:val="baseline"/>
    </w:pPr>
    <w:rPr>
      <w:szCs w:val="20"/>
    </w:rPr>
  </w:style>
  <w:style w:type="paragraph" w:customStyle="1" w:styleId="tabela">
    <w:name w:val="tabela"/>
    <w:basedOn w:val="Normalny"/>
    <w:rsid w:val="0046542E"/>
    <w:pPr>
      <w:widowControl w:val="0"/>
      <w:overflowPunct w:val="0"/>
      <w:autoSpaceDE w:val="0"/>
      <w:autoSpaceDN w:val="0"/>
      <w:adjustRightInd w:val="0"/>
      <w:spacing w:before="60" w:line="360" w:lineRule="auto"/>
      <w:jc w:val="both"/>
      <w:textAlignment w:val="baseline"/>
    </w:pPr>
    <w:rPr>
      <w:sz w:val="20"/>
      <w:szCs w:val="20"/>
    </w:rPr>
  </w:style>
  <w:style w:type="paragraph" w:customStyle="1" w:styleId="nagwektabeli">
    <w:name w:val="nagłówek tabeli"/>
    <w:basedOn w:val="Normalny"/>
    <w:rsid w:val="0046542E"/>
    <w:pPr>
      <w:spacing w:before="40" w:after="40" w:line="360" w:lineRule="auto"/>
      <w:jc w:val="center"/>
    </w:pPr>
    <w:rPr>
      <w:b/>
      <w:i/>
      <w:sz w:val="20"/>
      <w:szCs w:val="20"/>
    </w:rPr>
  </w:style>
  <w:style w:type="paragraph" w:customStyle="1" w:styleId="cyferkiwtabeli">
    <w:name w:val="cyferki w tabeli"/>
    <w:next w:val="Normalny"/>
    <w:rsid w:val="0046542E"/>
    <w:pPr>
      <w:overflowPunct w:val="0"/>
      <w:autoSpaceDE w:val="0"/>
      <w:autoSpaceDN w:val="0"/>
      <w:adjustRightInd w:val="0"/>
      <w:spacing w:before="60" w:line="360" w:lineRule="auto"/>
      <w:jc w:val="center"/>
      <w:textAlignment w:val="baseline"/>
    </w:pPr>
    <w:rPr>
      <w:rFonts w:ascii="Arial" w:hAnsi="Arial"/>
      <w:noProof/>
    </w:rPr>
  </w:style>
  <w:style w:type="paragraph" w:customStyle="1" w:styleId="tabela2">
    <w:name w:val="tabela 2"/>
    <w:basedOn w:val="Normalny"/>
    <w:rsid w:val="0046542E"/>
    <w:pPr>
      <w:overflowPunct w:val="0"/>
      <w:autoSpaceDE w:val="0"/>
      <w:autoSpaceDN w:val="0"/>
      <w:adjustRightInd w:val="0"/>
      <w:spacing w:before="120" w:after="120"/>
      <w:jc w:val="both"/>
      <w:textAlignment w:val="baseline"/>
    </w:pPr>
    <w:rPr>
      <w:sz w:val="20"/>
      <w:szCs w:val="20"/>
    </w:rPr>
  </w:style>
  <w:style w:type="paragraph" w:customStyle="1" w:styleId="Punkty">
    <w:name w:val="Punkty"/>
    <w:basedOn w:val="Normalny"/>
    <w:rsid w:val="0046542E"/>
    <w:pPr>
      <w:tabs>
        <w:tab w:val="num" w:pos="360"/>
      </w:tabs>
      <w:spacing w:before="60" w:after="60" w:line="360" w:lineRule="auto"/>
      <w:ind w:left="360" w:hanging="360"/>
      <w:jc w:val="both"/>
    </w:pPr>
    <w:rPr>
      <w:snapToGrid w:val="0"/>
      <w:szCs w:val="20"/>
    </w:rPr>
  </w:style>
  <w:style w:type="paragraph" w:customStyle="1" w:styleId="Wyliczenie">
    <w:name w:val="Wyliczenie"/>
    <w:basedOn w:val="Normalny"/>
    <w:rsid w:val="0046542E"/>
    <w:pPr>
      <w:overflowPunct w:val="0"/>
      <w:autoSpaceDE w:val="0"/>
      <w:autoSpaceDN w:val="0"/>
      <w:adjustRightInd w:val="0"/>
      <w:spacing w:before="40"/>
      <w:ind w:left="567" w:hanging="283"/>
      <w:jc w:val="both"/>
      <w:textAlignment w:val="baseline"/>
    </w:pPr>
    <w:rPr>
      <w:szCs w:val="20"/>
    </w:rPr>
  </w:style>
  <w:style w:type="paragraph" w:customStyle="1" w:styleId="trewtabeli">
    <w:name w:val="treść w tabeli"/>
    <w:next w:val="Normalny"/>
    <w:rsid w:val="0046542E"/>
    <w:pPr>
      <w:spacing w:before="60" w:line="360" w:lineRule="auto"/>
    </w:pPr>
    <w:rPr>
      <w:rFonts w:ascii="Arial" w:hAnsi="Arial"/>
      <w:noProof/>
    </w:rPr>
  </w:style>
  <w:style w:type="paragraph" w:customStyle="1" w:styleId="Tabela1">
    <w:name w:val="Tabela1"/>
    <w:basedOn w:val="Normalny"/>
    <w:rsid w:val="0046542E"/>
    <w:pPr>
      <w:widowControl w:val="0"/>
      <w:spacing w:before="60" w:line="360" w:lineRule="auto"/>
      <w:jc w:val="both"/>
    </w:pPr>
    <w:rPr>
      <w:snapToGrid w:val="0"/>
      <w:sz w:val="18"/>
      <w:szCs w:val="20"/>
    </w:rPr>
  </w:style>
  <w:style w:type="paragraph" w:customStyle="1" w:styleId="BodyText21">
    <w:name w:val="Body Text 21"/>
    <w:basedOn w:val="Normalny"/>
    <w:rsid w:val="0046542E"/>
    <w:pPr>
      <w:widowControl w:val="0"/>
      <w:jc w:val="both"/>
    </w:pPr>
    <w:rPr>
      <w:snapToGrid w:val="0"/>
      <w:szCs w:val="20"/>
    </w:rPr>
  </w:style>
  <w:style w:type="paragraph" w:customStyle="1" w:styleId="Styl2">
    <w:name w:val="Styl2"/>
    <w:basedOn w:val="Normalny"/>
    <w:rsid w:val="0046542E"/>
    <w:pPr>
      <w:jc w:val="both"/>
    </w:pPr>
  </w:style>
  <w:style w:type="character" w:customStyle="1" w:styleId="StylOdwoanieprzypisudolnegoArialKursywa">
    <w:name w:val="Styl Odwołanie przypisu dolnego + Arial Kursywa"/>
    <w:rsid w:val="0046542E"/>
    <w:rPr>
      <w:rFonts w:ascii="Arial" w:hAnsi="Arial"/>
      <w:i/>
      <w:iCs/>
      <w:sz w:val="24"/>
      <w:vertAlign w:val="superscript"/>
    </w:rPr>
  </w:style>
  <w:style w:type="character" w:styleId="Odwoanieprzypisudolnego">
    <w:name w:val="footnote reference"/>
    <w:aliases w:val="Odwo³anie przypisu,Footnote Reference Number,Odwołanie przypisu"/>
    <w:rsid w:val="0046542E"/>
    <w:rPr>
      <w:vertAlign w:val="superscript"/>
    </w:rPr>
  </w:style>
  <w:style w:type="paragraph" w:customStyle="1" w:styleId="Nagwek6a">
    <w:name w:val="Nagłówek 6a"/>
    <w:basedOn w:val="Nagwek6"/>
    <w:autoRedefine/>
    <w:rsid w:val="0046542E"/>
    <w:pPr>
      <w:numPr>
        <w:ilvl w:val="0"/>
        <w:numId w:val="0"/>
      </w:numPr>
      <w:spacing w:before="120" w:after="120"/>
      <w:jc w:val="both"/>
      <w:outlineLvl w:val="9"/>
    </w:pPr>
    <w:rPr>
      <w:b/>
      <w:bCs/>
      <w:iCs/>
      <w:szCs w:val="24"/>
    </w:rPr>
  </w:style>
  <w:style w:type="paragraph" w:customStyle="1" w:styleId="Styl1">
    <w:name w:val="Styl1"/>
    <w:basedOn w:val="Normalny"/>
    <w:rsid w:val="0046542E"/>
    <w:pPr>
      <w:tabs>
        <w:tab w:val="num" w:pos="432"/>
      </w:tabs>
      <w:ind w:left="432" w:hanging="432"/>
    </w:pPr>
    <w:rPr>
      <w:b/>
      <w:i/>
      <w:sz w:val="32"/>
      <w:szCs w:val="20"/>
    </w:rPr>
  </w:style>
  <w:style w:type="paragraph" w:customStyle="1" w:styleId="in">
    <w:name w:val="in"/>
    <w:basedOn w:val="Normalny"/>
    <w:rsid w:val="0046542E"/>
    <w:pPr>
      <w:spacing w:before="100" w:beforeAutospacing="1" w:after="100" w:afterAutospacing="1"/>
      <w:ind w:firstLine="257"/>
    </w:pPr>
    <w:rPr>
      <w:rFonts w:ascii="Arial Unicode MS" w:eastAsia="Arial Unicode MS" w:hAnsi="Arial Unicode MS"/>
    </w:rPr>
  </w:style>
  <w:style w:type="paragraph" w:customStyle="1" w:styleId="bodytext210">
    <w:name w:val="bodytext21"/>
    <w:basedOn w:val="Normalny"/>
    <w:rsid w:val="0046542E"/>
    <w:pPr>
      <w:spacing w:before="100" w:beforeAutospacing="1" w:after="100" w:afterAutospacing="1"/>
    </w:pPr>
  </w:style>
  <w:style w:type="paragraph" w:customStyle="1" w:styleId="tabela20">
    <w:name w:val="tabela2"/>
    <w:basedOn w:val="Normalny"/>
    <w:rsid w:val="0046542E"/>
    <w:pPr>
      <w:spacing w:before="100" w:beforeAutospacing="1" w:after="100" w:afterAutospacing="1"/>
    </w:pPr>
  </w:style>
  <w:style w:type="paragraph" w:customStyle="1" w:styleId="cyferkiwtabeli0">
    <w:name w:val="cyferkiwtabeli"/>
    <w:basedOn w:val="Normalny"/>
    <w:rsid w:val="0046542E"/>
    <w:pPr>
      <w:spacing w:before="100" w:beforeAutospacing="1" w:after="100" w:afterAutospacing="1"/>
    </w:pPr>
  </w:style>
  <w:style w:type="paragraph" w:customStyle="1" w:styleId="StylNagwek3Przed0ptPo0pt">
    <w:name w:val="Styl Nagłówek 3 + Przed:  0 pt Po:  0 pt"/>
    <w:basedOn w:val="Nagwek3"/>
    <w:rsid w:val="0046542E"/>
    <w:pPr>
      <w:numPr>
        <w:ilvl w:val="0"/>
        <w:numId w:val="0"/>
      </w:numPr>
      <w:tabs>
        <w:tab w:val="num" w:pos="360"/>
        <w:tab w:val="left" w:pos="862"/>
      </w:tabs>
      <w:spacing w:after="0"/>
      <w:ind w:left="862" w:hanging="862"/>
    </w:pPr>
    <w:rPr>
      <w:bCs/>
      <w:iCs/>
    </w:rPr>
  </w:style>
  <w:style w:type="paragraph" w:customStyle="1" w:styleId="nagwektabeli0">
    <w:name w:val="nagwektabeli"/>
    <w:basedOn w:val="Normalny"/>
    <w:rsid w:val="0046542E"/>
    <w:pPr>
      <w:spacing w:before="100" w:beforeAutospacing="1" w:after="100" w:afterAutospacing="1"/>
    </w:pPr>
  </w:style>
  <w:style w:type="paragraph" w:customStyle="1" w:styleId="2">
    <w:name w:val="2"/>
    <w:basedOn w:val="Normalny"/>
    <w:rsid w:val="0046542E"/>
    <w:rPr>
      <w:szCs w:val="20"/>
    </w:rPr>
  </w:style>
  <w:style w:type="character" w:styleId="UyteHipercze">
    <w:name w:val="FollowedHyperlink"/>
    <w:rsid w:val="0046542E"/>
    <w:rPr>
      <w:color w:val="800080"/>
      <w:u w:val="single"/>
    </w:rPr>
  </w:style>
  <w:style w:type="paragraph" w:customStyle="1" w:styleId="miejsce">
    <w:name w:val="miejsce"/>
    <w:basedOn w:val="Normalny"/>
    <w:rsid w:val="0046542E"/>
    <w:pPr>
      <w:spacing w:before="100" w:beforeAutospacing="1" w:after="100" w:afterAutospacing="1"/>
    </w:pPr>
  </w:style>
  <w:style w:type="paragraph" w:customStyle="1" w:styleId="Tekstpodstawowy31">
    <w:name w:val="Tekst podstawowy 31"/>
    <w:basedOn w:val="Normalny"/>
    <w:rsid w:val="0046542E"/>
    <w:pPr>
      <w:widowControl w:val="0"/>
      <w:jc w:val="both"/>
    </w:pPr>
    <w:rPr>
      <w:spacing w:val="-5"/>
      <w:szCs w:val="20"/>
    </w:rPr>
  </w:style>
  <w:style w:type="paragraph" w:customStyle="1" w:styleId="tabela10">
    <w:name w:val="tabela 1"/>
    <w:basedOn w:val="Normalny"/>
    <w:rsid w:val="0046542E"/>
    <w:pPr>
      <w:spacing w:before="40" w:after="40"/>
      <w:ind w:right="57"/>
      <w:jc w:val="both"/>
    </w:pPr>
    <w:rPr>
      <w:b/>
      <w:bCs/>
      <w:szCs w:val="20"/>
    </w:rPr>
  </w:style>
  <w:style w:type="character" w:customStyle="1" w:styleId="male1">
    <w:name w:val="male1"/>
    <w:rsid w:val="0046542E"/>
    <w:rPr>
      <w:rFonts w:ascii="Verdana" w:hAnsi="Verdana" w:hint="default"/>
      <w:sz w:val="14"/>
      <w:szCs w:val="14"/>
    </w:rPr>
  </w:style>
  <w:style w:type="paragraph" w:customStyle="1" w:styleId="wyliczenie2">
    <w:name w:val="wyliczenie2"/>
    <w:basedOn w:val="Normalny"/>
    <w:rsid w:val="0046542E"/>
    <w:pPr>
      <w:overflowPunct w:val="0"/>
      <w:autoSpaceDE w:val="0"/>
      <w:autoSpaceDN w:val="0"/>
      <w:adjustRightInd w:val="0"/>
      <w:spacing w:before="40"/>
      <w:ind w:left="851" w:hanging="284"/>
      <w:jc w:val="both"/>
      <w:textAlignment w:val="baseline"/>
    </w:pPr>
    <w:rPr>
      <w:szCs w:val="20"/>
    </w:rPr>
  </w:style>
  <w:style w:type="paragraph" w:customStyle="1" w:styleId="Standardowy1">
    <w:name w:val="Standardowy1"/>
    <w:rsid w:val="0046542E"/>
    <w:pPr>
      <w:overflowPunct w:val="0"/>
      <w:autoSpaceDE w:val="0"/>
      <w:autoSpaceDN w:val="0"/>
      <w:adjustRightInd w:val="0"/>
      <w:textAlignment w:val="baseline"/>
    </w:pPr>
    <w:rPr>
      <w:rFonts w:ascii="Arial" w:hAnsi="Arial"/>
      <w:sz w:val="24"/>
    </w:rPr>
  </w:style>
  <w:style w:type="paragraph" w:customStyle="1" w:styleId="1">
    <w:name w:val="1"/>
    <w:basedOn w:val="Normalny"/>
    <w:rsid w:val="0046542E"/>
    <w:rPr>
      <w:szCs w:val="20"/>
    </w:rPr>
  </w:style>
  <w:style w:type="paragraph" w:customStyle="1" w:styleId="Normalny1">
    <w:name w:val="Normalny1"/>
    <w:rsid w:val="0046542E"/>
    <w:rPr>
      <w:rFonts w:ascii="Arial" w:hAnsi="Arial"/>
    </w:rPr>
  </w:style>
  <w:style w:type="paragraph" w:customStyle="1" w:styleId="centr">
    <w:name w:val="centr"/>
    <w:basedOn w:val="Normalny"/>
    <w:rsid w:val="0046542E"/>
    <w:pPr>
      <w:spacing w:before="100" w:beforeAutospacing="1" w:after="100" w:afterAutospacing="1"/>
      <w:jc w:val="center"/>
    </w:pPr>
    <w:rPr>
      <w:rFonts w:ascii="Verdana" w:hAnsi="Verdana"/>
      <w:color w:val="000080"/>
      <w:sz w:val="20"/>
      <w:szCs w:val="20"/>
    </w:rPr>
  </w:style>
  <w:style w:type="paragraph" w:customStyle="1" w:styleId="TekstprzypisuTekstprzypisudolnego">
    <w:name w:val="Tekst przypisu.Tekst przypisu dolnego"/>
    <w:basedOn w:val="Normalny"/>
    <w:rsid w:val="0046542E"/>
    <w:pPr>
      <w:widowControl w:val="0"/>
    </w:pPr>
    <w:rPr>
      <w:sz w:val="20"/>
      <w:szCs w:val="20"/>
    </w:rPr>
  </w:style>
  <w:style w:type="paragraph" w:customStyle="1" w:styleId="kodwydz2">
    <w:name w:val="kod_wydz2"/>
    <w:basedOn w:val="Normalny"/>
    <w:rsid w:val="0046542E"/>
    <w:pPr>
      <w:widowControl w:val="0"/>
      <w:spacing w:line="320" w:lineRule="atLeast"/>
      <w:jc w:val="both"/>
    </w:pPr>
    <w:rPr>
      <w:szCs w:val="20"/>
    </w:rPr>
  </w:style>
  <w:style w:type="paragraph" w:customStyle="1" w:styleId="4">
    <w:name w:val="4"/>
    <w:basedOn w:val="Normalny"/>
    <w:rsid w:val="0046542E"/>
    <w:rPr>
      <w:szCs w:val="20"/>
    </w:rPr>
  </w:style>
  <w:style w:type="paragraph" w:customStyle="1" w:styleId="StylNagwek3Zlewej025cmWysunicie127cmPrzed">
    <w:name w:val="Styl Nagłówek 3 + Z lewej:  025 cm Wysunięcie:  127 cm Przed: ..."/>
    <w:basedOn w:val="Nagwek3"/>
    <w:next w:val="Normalny"/>
    <w:rsid w:val="0046542E"/>
    <w:pPr>
      <w:numPr>
        <w:ilvl w:val="0"/>
        <w:numId w:val="0"/>
      </w:numPr>
      <w:spacing w:beforeAutospacing="1" w:after="0" w:afterAutospacing="1"/>
      <w:ind w:left="862" w:hanging="720"/>
    </w:pPr>
    <w:rPr>
      <w:bCs/>
      <w:iCs/>
    </w:rPr>
  </w:style>
  <w:style w:type="paragraph" w:customStyle="1" w:styleId="StylNagwek4Zlewej0cmWysunicie152cmPrzedAu">
    <w:name w:val="Styl Nagłówek 4 + Z lewej:  0 cm Wysunięcie:  152 cm Przed:  Au..."/>
    <w:basedOn w:val="Nagwek4"/>
    <w:next w:val="Normalny"/>
    <w:rsid w:val="0046542E"/>
    <w:pPr>
      <w:numPr>
        <w:ilvl w:val="0"/>
        <w:numId w:val="0"/>
      </w:numPr>
      <w:spacing w:before="0" w:beforeAutospacing="1" w:after="0" w:afterAutospacing="1"/>
      <w:ind w:left="864" w:hanging="864"/>
      <w:jc w:val="both"/>
    </w:pPr>
    <w:rPr>
      <w:iCs/>
    </w:rPr>
  </w:style>
  <w:style w:type="paragraph" w:customStyle="1" w:styleId="3">
    <w:name w:val="3"/>
    <w:basedOn w:val="Normalny"/>
    <w:rsid w:val="0046542E"/>
    <w:rPr>
      <w:szCs w:val="20"/>
    </w:rPr>
  </w:style>
  <w:style w:type="paragraph" w:customStyle="1" w:styleId="nagowek2">
    <w:name w:val="nagłowek 2"/>
    <w:basedOn w:val="Nagwek2"/>
    <w:autoRedefine/>
    <w:rsid w:val="0046542E"/>
    <w:pPr>
      <w:numPr>
        <w:ilvl w:val="0"/>
        <w:numId w:val="0"/>
      </w:numPr>
      <w:tabs>
        <w:tab w:val="num" w:pos="360"/>
      </w:tabs>
      <w:spacing w:before="0" w:after="0" w:line="360" w:lineRule="auto"/>
    </w:pPr>
    <w:rPr>
      <w:rFonts w:ascii="Times New Roman" w:hAnsi="Times New Roman"/>
      <w:color w:val="000000"/>
    </w:rPr>
  </w:style>
  <w:style w:type="paragraph" w:customStyle="1" w:styleId="nagwek30">
    <w:name w:val="nagłówek 3"/>
    <w:basedOn w:val="Nagwek3"/>
    <w:autoRedefine/>
    <w:rsid w:val="0046542E"/>
    <w:pPr>
      <w:numPr>
        <w:ilvl w:val="0"/>
        <w:numId w:val="0"/>
      </w:numPr>
      <w:tabs>
        <w:tab w:val="num" w:pos="360"/>
      </w:tabs>
      <w:spacing w:after="0"/>
    </w:pPr>
    <w:rPr>
      <w:rFonts w:ascii="Times New Roman" w:hAnsi="Times New Roman"/>
    </w:rPr>
  </w:style>
  <w:style w:type="paragraph" w:customStyle="1" w:styleId="nagwek40">
    <w:name w:val="nagłówek 4"/>
    <w:basedOn w:val="Nagwek4"/>
    <w:autoRedefine/>
    <w:rsid w:val="0046542E"/>
    <w:pPr>
      <w:keepNext w:val="0"/>
      <w:keepLines/>
      <w:numPr>
        <w:ilvl w:val="0"/>
        <w:numId w:val="0"/>
      </w:numPr>
      <w:spacing w:before="120" w:after="0"/>
      <w:ind w:right="113"/>
      <w:jc w:val="both"/>
    </w:pPr>
    <w:rPr>
      <w:color w:val="000000"/>
      <w:szCs w:val="24"/>
    </w:rPr>
  </w:style>
  <w:style w:type="paragraph" w:customStyle="1" w:styleId="StylNagwek2Arial">
    <w:name w:val="Styl Nagłówek 2 + Arial"/>
    <w:basedOn w:val="Nagwek1"/>
    <w:autoRedefine/>
    <w:rsid w:val="0046542E"/>
    <w:pPr>
      <w:numPr>
        <w:numId w:val="2"/>
      </w:numPr>
      <w:tabs>
        <w:tab w:val="clear" w:pos="1283"/>
        <w:tab w:val="num" w:pos="360"/>
        <w:tab w:val="num" w:pos="644"/>
      </w:tabs>
      <w:spacing w:before="0" w:after="0"/>
      <w:ind w:left="0" w:firstLine="0"/>
      <w:jc w:val="both"/>
    </w:pPr>
    <w:rPr>
      <w:bCs/>
      <w:kern w:val="0"/>
    </w:rPr>
  </w:style>
  <w:style w:type="paragraph" w:customStyle="1" w:styleId="StylNagwek2Arial10ptPo0ptInterlinia15wiersza">
    <w:name w:val="Styl Nagłówek 2 + Arial 10 pt Po:  0 pt Interlinia:  15 wiersza"/>
    <w:basedOn w:val="Nagwek2"/>
    <w:autoRedefine/>
    <w:rsid w:val="0046542E"/>
    <w:pPr>
      <w:numPr>
        <w:numId w:val="2"/>
      </w:numPr>
      <w:tabs>
        <w:tab w:val="clear" w:pos="567"/>
        <w:tab w:val="num" w:pos="360"/>
        <w:tab w:val="num" w:pos="2120"/>
      </w:tabs>
      <w:spacing w:line="360" w:lineRule="auto"/>
      <w:ind w:left="0" w:firstLine="0"/>
    </w:pPr>
    <w:rPr>
      <w:bCs/>
      <w:color w:val="000000"/>
      <w:szCs w:val="32"/>
      <w:lang w:val="en-US"/>
    </w:rPr>
  </w:style>
  <w:style w:type="paragraph" w:customStyle="1" w:styleId="StylNagwek2Arial10ptPo0pt">
    <w:name w:val="Styl Nagłówek 2 + Arial 10 pt Po:  0 pt"/>
    <w:basedOn w:val="Nagwek3"/>
    <w:autoRedefine/>
    <w:rsid w:val="0046542E"/>
    <w:pPr>
      <w:numPr>
        <w:numId w:val="1"/>
      </w:numPr>
      <w:tabs>
        <w:tab w:val="clear" w:pos="720"/>
        <w:tab w:val="num" w:pos="360"/>
      </w:tabs>
      <w:ind w:left="0" w:firstLine="0"/>
    </w:pPr>
    <w:rPr>
      <w:rFonts w:cs="Arial"/>
      <w:bCs/>
      <w:sz w:val="24"/>
    </w:rPr>
  </w:style>
  <w:style w:type="paragraph" w:customStyle="1" w:styleId="StylNagwek2Arial10ptNiePogrubieniePo0pt">
    <w:name w:val="Styl Nagłówek 2 + Arial 10 pt Nie Pogrubienie Po:  0 pt"/>
    <w:basedOn w:val="Nagwek4"/>
    <w:autoRedefine/>
    <w:rsid w:val="0046542E"/>
    <w:pPr>
      <w:keepNext w:val="0"/>
      <w:keepLines/>
      <w:numPr>
        <w:numId w:val="2"/>
      </w:numPr>
      <w:tabs>
        <w:tab w:val="clear" w:pos="1715"/>
        <w:tab w:val="num" w:pos="360"/>
        <w:tab w:val="num" w:pos="3560"/>
      </w:tabs>
      <w:spacing w:before="120" w:after="0"/>
      <w:ind w:left="0" w:right="113" w:firstLine="0"/>
      <w:jc w:val="both"/>
    </w:pPr>
    <w:rPr>
      <w:color w:val="000000"/>
      <w:lang w:val="en-US"/>
    </w:rPr>
  </w:style>
  <w:style w:type="paragraph" w:customStyle="1" w:styleId="StylStylNagwek2Arial10ptNiePogrubieniePo0ptNie">
    <w:name w:val="Styl Styl Nagłówek 2 + Arial 10 pt Nie Pogrubienie Po:  0 pt + Nie..."/>
    <w:basedOn w:val="StylNagwek2Arial10ptNiePogrubieniePo0pt"/>
    <w:autoRedefine/>
    <w:rsid w:val="0046542E"/>
    <w:pPr>
      <w:tabs>
        <w:tab w:val="clear" w:pos="360"/>
      </w:tabs>
    </w:pPr>
    <w:rPr>
      <w:iCs/>
    </w:rPr>
  </w:style>
  <w:style w:type="paragraph" w:customStyle="1" w:styleId="StylStylNagwek2Arial10ptPo0pt10pt">
    <w:name w:val="Styl Styl Nagłówek 2 + Arial 10 pt Po:  0 pt + 10 pt"/>
    <w:basedOn w:val="StylNagwek2Arial10ptPo0pt"/>
    <w:autoRedefine/>
    <w:rsid w:val="0046542E"/>
    <w:pPr>
      <w:tabs>
        <w:tab w:val="clear" w:pos="360"/>
      </w:tabs>
    </w:pPr>
    <w:rPr>
      <w:iCs/>
      <w:sz w:val="20"/>
    </w:rPr>
  </w:style>
  <w:style w:type="paragraph" w:customStyle="1" w:styleId="Tekstpodstawowywcity21">
    <w:name w:val="Tekst podstawowy wcięty 21"/>
    <w:basedOn w:val="Normalny"/>
    <w:rsid w:val="0046542E"/>
    <w:pPr>
      <w:overflowPunct w:val="0"/>
      <w:autoSpaceDE w:val="0"/>
      <w:autoSpaceDN w:val="0"/>
      <w:adjustRightInd w:val="0"/>
      <w:ind w:left="705"/>
      <w:textAlignment w:val="baseline"/>
    </w:pPr>
    <w:rPr>
      <w:color w:val="0000FF"/>
      <w:szCs w:val="20"/>
    </w:rPr>
  </w:style>
  <w:style w:type="paragraph" w:styleId="Tematkomentarza">
    <w:name w:val="annotation subject"/>
    <w:basedOn w:val="Tekstkomentarza"/>
    <w:next w:val="Tekstkomentarza"/>
    <w:link w:val="TematkomentarzaZnak"/>
    <w:semiHidden/>
    <w:rsid w:val="0046542E"/>
    <w:pPr>
      <w:widowControl/>
    </w:pPr>
    <w:rPr>
      <w:b/>
      <w:bCs/>
      <w:snapToGrid/>
    </w:rPr>
  </w:style>
  <w:style w:type="paragraph" w:styleId="Tekstkomentarza">
    <w:name w:val="annotation text"/>
    <w:basedOn w:val="Normalny"/>
    <w:link w:val="TekstkomentarzaZnak"/>
    <w:semiHidden/>
    <w:rsid w:val="0046542E"/>
    <w:pPr>
      <w:widowControl w:val="0"/>
    </w:pPr>
    <w:rPr>
      <w:snapToGrid w:val="0"/>
      <w:sz w:val="20"/>
      <w:szCs w:val="20"/>
    </w:rPr>
  </w:style>
  <w:style w:type="character" w:customStyle="1" w:styleId="TekstkomentarzaZnak">
    <w:name w:val="Tekst komentarza Znak"/>
    <w:link w:val="Tekstkomentarza"/>
    <w:semiHidden/>
    <w:rsid w:val="007C072D"/>
    <w:rPr>
      <w:rFonts w:ascii="Arial" w:hAnsi="Arial"/>
      <w:snapToGrid w:val="0"/>
    </w:rPr>
  </w:style>
  <w:style w:type="character" w:customStyle="1" w:styleId="TematkomentarzaZnak">
    <w:name w:val="Temat komentarza Znak"/>
    <w:link w:val="Tematkomentarza"/>
    <w:semiHidden/>
    <w:rsid w:val="007C072D"/>
    <w:rPr>
      <w:rFonts w:ascii="Arial" w:hAnsi="Arial"/>
      <w:b/>
      <w:bCs/>
      <w:snapToGrid/>
    </w:rPr>
  </w:style>
  <w:style w:type="paragraph" w:styleId="Tekstdymka">
    <w:name w:val="Balloon Text"/>
    <w:basedOn w:val="Normalny"/>
    <w:link w:val="TekstdymkaZnak"/>
    <w:semiHidden/>
    <w:rsid w:val="0046542E"/>
    <w:rPr>
      <w:rFonts w:ascii="Tahoma" w:hAnsi="Tahoma" w:cs="Tahoma"/>
      <w:sz w:val="16"/>
      <w:szCs w:val="16"/>
    </w:rPr>
  </w:style>
  <w:style w:type="character" w:customStyle="1" w:styleId="TekstdymkaZnak">
    <w:name w:val="Tekst dymka Znak"/>
    <w:link w:val="Tekstdymka"/>
    <w:semiHidden/>
    <w:rsid w:val="007C072D"/>
    <w:rPr>
      <w:rFonts w:ascii="Tahoma" w:hAnsi="Tahoma" w:cs="Tahoma"/>
      <w:sz w:val="16"/>
      <w:szCs w:val="16"/>
    </w:rPr>
  </w:style>
  <w:style w:type="paragraph" w:customStyle="1" w:styleId="tytutabeli">
    <w:name w:val="tytuł tabeli"/>
    <w:basedOn w:val="Normalny"/>
    <w:rsid w:val="0046542E"/>
    <w:pPr>
      <w:keepNext/>
      <w:keepLines/>
      <w:tabs>
        <w:tab w:val="left" w:pos="1134"/>
      </w:tabs>
      <w:spacing w:before="180" w:after="60"/>
      <w:ind w:left="1134" w:hanging="1134"/>
      <w:jc w:val="both"/>
    </w:pPr>
    <w:rPr>
      <w:rFonts w:ascii="Georgia" w:hAnsi="Georgia"/>
      <w:i/>
      <w:sz w:val="19"/>
      <w:szCs w:val="20"/>
    </w:rPr>
  </w:style>
  <w:style w:type="paragraph" w:styleId="Listapunktowana3">
    <w:name w:val="List Bullet 3"/>
    <w:basedOn w:val="Normalny"/>
    <w:autoRedefine/>
    <w:rsid w:val="0046542E"/>
    <w:pPr>
      <w:numPr>
        <w:numId w:val="3"/>
      </w:numPr>
    </w:pPr>
    <w:rPr>
      <w:szCs w:val="20"/>
    </w:rPr>
  </w:style>
  <w:style w:type="paragraph" w:styleId="Listapunktowana2">
    <w:name w:val="List Bullet 2"/>
    <w:basedOn w:val="Normalny"/>
    <w:autoRedefine/>
    <w:rsid w:val="0046542E"/>
    <w:pPr>
      <w:numPr>
        <w:numId w:val="4"/>
      </w:numPr>
    </w:pPr>
    <w:rPr>
      <w:szCs w:val="20"/>
    </w:rPr>
  </w:style>
  <w:style w:type="paragraph" w:styleId="Stopka">
    <w:name w:val="footer"/>
    <w:basedOn w:val="Normalny"/>
    <w:link w:val="StopkaZnak"/>
    <w:uiPriority w:val="99"/>
    <w:rsid w:val="0046542E"/>
    <w:pPr>
      <w:tabs>
        <w:tab w:val="center" w:pos="4536"/>
        <w:tab w:val="right" w:pos="9072"/>
      </w:tabs>
    </w:pPr>
    <w:rPr>
      <w:rFonts w:ascii="Bookman Old Style" w:hAnsi="Bookman Old Style"/>
      <w:szCs w:val="20"/>
    </w:rPr>
  </w:style>
  <w:style w:type="character" w:customStyle="1" w:styleId="StopkaZnak">
    <w:name w:val="Stopka Znak"/>
    <w:link w:val="Stopka"/>
    <w:uiPriority w:val="99"/>
    <w:rsid w:val="00501886"/>
    <w:rPr>
      <w:rFonts w:ascii="Bookman Old Style" w:hAnsi="Bookman Old Style"/>
      <w:sz w:val="22"/>
    </w:rPr>
  </w:style>
  <w:style w:type="character" w:styleId="Hipercze">
    <w:name w:val="Hyperlink"/>
    <w:uiPriority w:val="99"/>
    <w:rsid w:val="0046542E"/>
    <w:rPr>
      <w:color w:val="0000FF"/>
      <w:u w:val="single"/>
    </w:rPr>
  </w:style>
  <w:style w:type="paragraph" w:styleId="Spistreci1">
    <w:name w:val="toc 1"/>
    <w:basedOn w:val="Normalny"/>
    <w:next w:val="Normalny"/>
    <w:autoRedefine/>
    <w:uiPriority w:val="39"/>
    <w:rsid w:val="007650B6"/>
    <w:pPr>
      <w:tabs>
        <w:tab w:val="left" w:pos="0"/>
        <w:tab w:val="left" w:pos="720"/>
        <w:tab w:val="right" w:leader="dot" w:pos="9360"/>
      </w:tabs>
      <w:spacing w:before="120" w:after="120"/>
      <w:ind w:right="52" w:firstLine="0"/>
      <w:jc w:val="both"/>
    </w:pPr>
    <w:rPr>
      <w:rFonts w:ascii="Tahoma" w:hAnsi="Tahoma" w:cs="Tahoma"/>
      <w:iCs/>
      <w:caps/>
      <w:noProof/>
      <w:color w:val="365F91"/>
      <w:sz w:val="24"/>
    </w:rPr>
  </w:style>
  <w:style w:type="paragraph" w:styleId="Spistreci2">
    <w:name w:val="toc 2"/>
    <w:basedOn w:val="Normalny"/>
    <w:next w:val="Normalny"/>
    <w:autoRedefine/>
    <w:uiPriority w:val="39"/>
    <w:rsid w:val="0046542E"/>
    <w:pPr>
      <w:tabs>
        <w:tab w:val="left" w:pos="0"/>
        <w:tab w:val="left" w:pos="960"/>
        <w:tab w:val="left" w:pos="1440"/>
        <w:tab w:val="right" w:leader="dot" w:pos="9360"/>
      </w:tabs>
      <w:ind w:left="240" w:right="52" w:firstLine="0"/>
    </w:pPr>
    <w:rPr>
      <w:smallCaps/>
      <w:noProof/>
      <w:color w:val="000000"/>
      <w:szCs w:val="32"/>
    </w:rPr>
  </w:style>
  <w:style w:type="paragraph" w:styleId="Spistreci3">
    <w:name w:val="toc 3"/>
    <w:basedOn w:val="Normalny"/>
    <w:next w:val="Normalny"/>
    <w:autoRedefine/>
    <w:uiPriority w:val="39"/>
    <w:rsid w:val="007B6326"/>
    <w:pPr>
      <w:tabs>
        <w:tab w:val="left" w:pos="0"/>
        <w:tab w:val="left" w:pos="1440"/>
        <w:tab w:val="right" w:leader="dot" w:pos="9781"/>
      </w:tabs>
      <w:ind w:left="480" w:right="52" w:firstLine="0"/>
      <w:jc w:val="both"/>
    </w:pPr>
    <w:rPr>
      <w:i/>
      <w:iCs/>
      <w:noProof/>
      <w:color w:val="000000"/>
      <w:sz w:val="20"/>
      <w:szCs w:val="20"/>
    </w:rPr>
  </w:style>
  <w:style w:type="paragraph" w:styleId="Spisilustracji">
    <w:name w:val="table of figures"/>
    <w:basedOn w:val="Normalny"/>
    <w:next w:val="Normalny"/>
    <w:uiPriority w:val="99"/>
    <w:rsid w:val="0046542E"/>
    <w:pPr>
      <w:ind w:left="480" w:hanging="480"/>
    </w:pPr>
    <w:rPr>
      <w:smallCaps/>
      <w:sz w:val="20"/>
      <w:szCs w:val="20"/>
    </w:rPr>
  </w:style>
  <w:style w:type="paragraph" w:styleId="Listapunktowana">
    <w:name w:val="List Bullet"/>
    <w:basedOn w:val="Normalny"/>
    <w:autoRedefine/>
    <w:rsid w:val="0046542E"/>
    <w:pPr>
      <w:jc w:val="both"/>
    </w:pPr>
    <w:rPr>
      <w:szCs w:val="20"/>
    </w:rPr>
  </w:style>
  <w:style w:type="paragraph" w:styleId="Tekstpodstawowy">
    <w:name w:val="Body Text"/>
    <w:basedOn w:val="Normalny"/>
    <w:link w:val="TekstpodstawowyZnak"/>
    <w:rsid w:val="0046542E"/>
    <w:pPr>
      <w:ind w:right="51" w:firstLine="0"/>
      <w:jc w:val="both"/>
    </w:pPr>
    <w:rPr>
      <w:rFonts w:ascii="Tahoma" w:hAnsi="Tahoma" w:cs="Tahoma"/>
      <w:bCs/>
      <w:spacing w:val="-2"/>
    </w:rPr>
  </w:style>
  <w:style w:type="character" w:customStyle="1" w:styleId="TekstpodstawowyZnak">
    <w:name w:val="Tekst podstawowy Znak"/>
    <w:link w:val="Tekstpodstawowy"/>
    <w:rsid w:val="00230823"/>
    <w:rPr>
      <w:rFonts w:ascii="Tahoma" w:hAnsi="Tahoma" w:cs="Tahoma"/>
      <w:bCs/>
      <w:spacing w:val="-2"/>
      <w:sz w:val="22"/>
      <w:szCs w:val="24"/>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rsid w:val="0046542E"/>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link w:val="Tekstprzypisudolnego"/>
    <w:rsid w:val="007C072D"/>
    <w:rPr>
      <w:rFonts w:ascii="Arial" w:hAnsi="Arial"/>
    </w:rPr>
  </w:style>
  <w:style w:type="paragraph" w:styleId="NormalnyWeb">
    <w:name w:val="Normal (Web)"/>
    <w:basedOn w:val="Normalny"/>
    <w:rsid w:val="0046542E"/>
    <w:pPr>
      <w:spacing w:before="100" w:after="100"/>
      <w:ind w:left="284" w:firstLine="709"/>
    </w:pPr>
    <w:rPr>
      <w:rFonts w:ascii="Arial Unicode MS" w:eastAsia="Arial Unicode MS" w:hAnsi="Arial Unicode MS"/>
      <w:color w:val="000000"/>
      <w:szCs w:val="20"/>
    </w:rPr>
  </w:style>
  <w:style w:type="paragraph" w:styleId="Tekstpodstawowy2">
    <w:name w:val="Body Text 2"/>
    <w:basedOn w:val="Normalny"/>
    <w:link w:val="Tekstpodstawowy2Znak"/>
    <w:rsid w:val="0046542E"/>
    <w:pPr>
      <w:spacing w:after="120" w:line="480" w:lineRule="auto"/>
    </w:pPr>
    <w:rPr>
      <w:rFonts w:ascii="Bookman Old Style" w:hAnsi="Bookman Old Style"/>
      <w:szCs w:val="20"/>
    </w:rPr>
  </w:style>
  <w:style w:type="character" w:customStyle="1" w:styleId="Tekstpodstawowy2Znak">
    <w:name w:val="Tekst podstawowy 2 Znak"/>
    <w:link w:val="Tekstpodstawowy2"/>
    <w:rsid w:val="007C072D"/>
    <w:rPr>
      <w:rFonts w:ascii="Bookman Old Style" w:hAnsi="Bookman Old Style"/>
      <w:sz w:val="22"/>
    </w:rPr>
  </w:style>
  <w:style w:type="paragraph" w:styleId="Nagwek">
    <w:name w:val="header"/>
    <w:basedOn w:val="Normalny"/>
    <w:link w:val="NagwekZnak"/>
    <w:uiPriority w:val="99"/>
    <w:rsid w:val="0046542E"/>
    <w:pPr>
      <w:tabs>
        <w:tab w:val="center" w:pos="4703"/>
        <w:tab w:val="right" w:pos="9406"/>
      </w:tabs>
      <w:overflowPunct w:val="0"/>
      <w:autoSpaceDE w:val="0"/>
      <w:autoSpaceDN w:val="0"/>
      <w:adjustRightInd w:val="0"/>
      <w:spacing w:before="120"/>
      <w:jc w:val="both"/>
      <w:textAlignment w:val="baseline"/>
    </w:pPr>
    <w:rPr>
      <w:szCs w:val="20"/>
    </w:rPr>
  </w:style>
  <w:style w:type="character" w:customStyle="1" w:styleId="NagwekZnak">
    <w:name w:val="Nagłówek Znak"/>
    <w:link w:val="Nagwek"/>
    <w:uiPriority w:val="99"/>
    <w:rsid w:val="00DC043C"/>
    <w:rPr>
      <w:rFonts w:ascii="Arial" w:hAnsi="Arial"/>
      <w:sz w:val="22"/>
    </w:rPr>
  </w:style>
  <w:style w:type="paragraph" w:styleId="Tekstpodstawowywcity">
    <w:name w:val="Body Text Indent"/>
    <w:basedOn w:val="Normalny"/>
    <w:link w:val="TekstpodstawowywcityZnak"/>
    <w:rsid w:val="0046542E"/>
    <w:pPr>
      <w:spacing w:after="120"/>
      <w:ind w:left="283"/>
    </w:pPr>
    <w:rPr>
      <w:rFonts w:ascii="Bookman Old Style" w:hAnsi="Bookman Old Style"/>
      <w:szCs w:val="20"/>
    </w:rPr>
  </w:style>
  <w:style w:type="character" w:customStyle="1" w:styleId="TekstpodstawowywcityZnak">
    <w:name w:val="Tekst podstawowy wcięty Znak"/>
    <w:link w:val="Tekstpodstawowywcity"/>
    <w:rsid w:val="007C072D"/>
    <w:rPr>
      <w:rFonts w:ascii="Bookman Old Style" w:hAnsi="Bookman Old Style"/>
      <w:sz w:val="22"/>
    </w:rPr>
  </w:style>
  <w:style w:type="paragraph" w:styleId="Tekstpodstawowywcity3">
    <w:name w:val="Body Text Indent 3"/>
    <w:basedOn w:val="Normalny"/>
    <w:link w:val="Tekstpodstawowywcity3Znak"/>
    <w:rsid w:val="0046542E"/>
    <w:pPr>
      <w:spacing w:after="120"/>
      <w:ind w:left="283"/>
    </w:pPr>
    <w:rPr>
      <w:sz w:val="16"/>
      <w:szCs w:val="16"/>
    </w:rPr>
  </w:style>
  <w:style w:type="character" w:customStyle="1" w:styleId="Tekstpodstawowywcity3Znak">
    <w:name w:val="Tekst podstawowy wcięty 3 Znak"/>
    <w:link w:val="Tekstpodstawowywcity3"/>
    <w:rsid w:val="007C072D"/>
    <w:rPr>
      <w:rFonts w:ascii="Arial" w:hAnsi="Arial"/>
      <w:sz w:val="16"/>
      <w:szCs w:val="16"/>
    </w:rPr>
  </w:style>
  <w:style w:type="paragraph" w:styleId="Lista-kontynuacja">
    <w:name w:val="List Continue"/>
    <w:basedOn w:val="Normalny"/>
    <w:rsid w:val="0046542E"/>
    <w:pPr>
      <w:spacing w:after="120"/>
      <w:ind w:left="283"/>
    </w:pPr>
    <w:rPr>
      <w:szCs w:val="20"/>
    </w:rPr>
  </w:style>
  <w:style w:type="paragraph" w:styleId="Lista2">
    <w:name w:val="List 2"/>
    <w:basedOn w:val="Normalny"/>
    <w:rsid w:val="0046542E"/>
    <w:pPr>
      <w:ind w:left="566" w:hanging="283"/>
    </w:pPr>
    <w:rPr>
      <w:sz w:val="20"/>
      <w:szCs w:val="20"/>
    </w:rPr>
  </w:style>
  <w:style w:type="character" w:styleId="Numerstrony">
    <w:name w:val="page number"/>
    <w:basedOn w:val="Domylnaczcionkaakapitu"/>
    <w:rsid w:val="0046542E"/>
  </w:style>
  <w:style w:type="paragraph" w:customStyle="1" w:styleId="Default">
    <w:name w:val="Default"/>
    <w:rsid w:val="0046542E"/>
    <w:pPr>
      <w:autoSpaceDE w:val="0"/>
      <w:autoSpaceDN w:val="0"/>
      <w:adjustRightInd w:val="0"/>
    </w:pPr>
    <w:rPr>
      <w:rFonts w:ascii="Arial" w:hAnsi="Arial" w:cs="Arial"/>
    </w:rPr>
  </w:style>
  <w:style w:type="paragraph" w:styleId="Tekstpodstawowywcity2">
    <w:name w:val="Body Text Indent 2"/>
    <w:basedOn w:val="Normalny"/>
    <w:link w:val="Tekstpodstawowywcity2Znak"/>
    <w:rsid w:val="0046542E"/>
    <w:pPr>
      <w:spacing w:line="360" w:lineRule="auto"/>
      <w:ind w:firstLine="540"/>
      <w:jc w:val="both"/>
    </w:pPr>
    <w:rPr>
      <w:rFonts w:cs="Arial"/>
      <w:sz w:val="20"/>
    </w:rPr>
  </w:style>
  <w:style w:type="character" w:customStyle="1" w:styleId="Tekstpodstawowywcity2Znak">
    <w:name w:val="Tekst podstawowy wcięty 2 Znak"/>
    <w:link w:val="Tekstpodstawowywcity2"/>
    <w:rsid w:val="007C072D"/>
    <w:rPr>
      <w:rFonts w:ascii="Arial" w:hAnsi="Arial" w:cs="Arial"/>
      <w:szCs w:val="24"/>
    </w:rPr>
  </w:style>
  <w:style w:type="paragraph" w:styleId="Tekstprzypisukocowego">
    <w:name w:val="endnote text"/>
    <w:basedOn w:val="Normalny"/>
    <w:link w:val="TekstprzypisukocowegoZnak"/>
    <w:semiHidden/>
    <w:rsid w:val="0046542E"/>
    <w:rPr>
      <w:sz w:val="20"/>
      <w:szCs w:val="20"/>
    </w:rPr>
  </w:style>
  <w:style w:type="character" w:customStyle="1" w:styleId="TekstprzypisukocowegoZnak">
    <w:name w:val="Tekst przypisu końcowego Znak"/>
    <w:link w:val="Tekstprzypisukocowego"/>
    <w:semiHidden/>
    <w:rsid w:val="007C072D"/>
    <w:rPr>
      <w:rFonts w:ascii="Arial" w:hAnsi="Arial"/>
    </w:rPr>
  </w:style>
  <w:style w:type="character" w:styleId="Odwoanieprzypisukocowego">
    <w:name w:val="endnote reference"/>
    <w:semiHidden/>
    <w:rsid w:val="0046542E"/>
    <w:rPr>
      <w:vertAlign w:val="superscript"/>
    </w:rPr>
  </w:style>
  <w:style w:type="paragraph" w:customStyle="1" w:styleId="StylTekstpodstawowyArial11pt">
    <w:name w:val="Styl Tekst podstawowy + Arial 11 pt"/>
    <w:basedOn w:val="Tekstpodstawowy"/>
    <w:rsid w:val="0046542E"/>
    <w:rPr>
      <w:rFonts w:cs="Times New Roman"/>
      <w:szCs w:val="20"/>
    </w:rPr>
  </w:style>
  <w:style w:type="character" w:customStyle="1" w:styleId="StylTekstpodstawowyArial11ptZnak">
    <w:name w:val="Styl Tekst podstawowy + Arial 11 pt Znak"/>
    <w:rsid w:val="0046542E"/>
    <w:rPr>
      <w:rFonts w:ascii="Arial" w:hAnsi="Arial"/>
      <w:sz w:val="22"/>
      <w:lang w:val="pl-PL" w:eastAsia="pl-PL" w:bidi="ar-SA"/>
    </w:rPr>
  </w:style>
  <w:style w:type="paragraph" w:styleId="Spistreci9">
    <w:name w:val="toc 9"/>
    <w:basedOn w:val="Normalny"/>
    <w:next w:val="Normalny"/>
    <w:autoRedefine/>
    <w:semiHidden/>
    <w:rsid w:val="0046542E"/>
    <w:pPr>
      <w:spacing w:line="240" w:lineRule="auto"/>
      <w:ind w:left="1920" w:firstLine="0"/>
    </w:pPr>
    <w:rPr>
      <w:rFonts w:ascii="Times New Roman" w:hAnsi="Times New Roman"/>
      <w:sz w:val="18"/>
      <w:szCs w:val="18"/>
    </w:rPr>
  </w:style>
  <w:style w:type="paragraph" w:styleId="Spistreci4">
    <w:name w:val="toc 4"/>
    <w:basedOn w:val="Normalny"/>
    <w:next w:val="Normalny"/>
    <w:autoRedefine/>
    <w:semiHidden/>
    <w:rsid w:val="0046542E"/>
    <w:pPr>
      <w:keepLines/>
      <w:tabs>
        <w:tab w:val="right" w:pos="9639"/>
      </w:tabs>
      <w:spacing w:line="240" w:lineRule="auto"/>
      <w:ind w:left="1247" w:hanging="567"/>
      <w:jc w:val="both"/>
    </w:pPr>
    <w:rPr>
      <w:rFonts w:ascii="Times New Roman" w:hAnsi="Times New Roman"/>
      <w:color w:val="000000"/>
      <w:sz w:val="24"/>
      <w:szCs w:val="20"/>
    </w:rPr>
  </w:style>
  <w:style w:type="paragraph" w:customStyle="1" w:styleId="xl31">
    <w:name w:val="xl31"/>
    <w:basedOn w:val="Normalny"/>
    <w:rsid w:val="0046542E"/>
    <w:pPr>
      <w:spacing w:before="100" w:beforeAutospacing="1" w:after="100" w:afterAutospacing="1" w:line="240" w:lineRule="auto"/>
      <w:ind w:firstLine="0"/>
    </w:pPr>
    <w:rPr>
      <w:rFonts w:eastAsia="Arial Unicode MS" w:cs="Arial"/>
      <w:sz w:val="24"/>
    </w:rPr>
  </w:style>
  <w:style w:type="paragraph" w:customStyle="1" w:styleId="Plandokumentu">
    <w:name w:val="Plan dokumentu"/>
    <w:basedOn w:val="Normalny"/>
    <w:link w:val="PlandokumentuZnak"/>
    <w:semiHidden/>
    <w:rsid w:val="0046542E"/>
    <w:pPr>
      <w:shd w:val="clear" w:color="auto" w:fill="000080"/>
      <w:spacing w:after="240" w:line="240" w:lineRule="auto"/>
      <w:ind w:firstLine="0"/>
      <w:jc w:val="both"/>
    </w:pPr>
    <w:rPr>
      <w:rFonts w:ascii="Tahoma" w:hAnsi="Tahoma" w:cs="Tahoma"/>
      <w:sz w:val="24"/>
    </w:rPr>
  </w:style>
  <w:style w:type="character" w:customStyle="1" w:styleId="PlandokumentuZnak">
    <w:name w:val="Plan dokumentu Znak"/>
    <w:link w:val="Plandokumentu"/>
    <w:semiHidden/>
    <w:rsid w:val="007C072D"/>
    <w:rPr>
      <w:rFonts w:ascii="Tahoma" w:hAnsi="Tahoma" w:cs="Tahoma"/>
      <w:sz w:val="24"/>
      <w:szCs w:val="24"/>
      <w:shd w:val="clear" w:color="auto" w:fill="000080"/>
    </w:rPr>
  </w:style>
  <w:style w:type="character" w:styleId="Odwoaniedokomentarza">
    <w:name w:val="annotation reference"/>
    <w:semiHidden/>
    <w:rsid w:val="0046542E"/>
    <w:rPr>
      <w:sz w:val="16"/>
    </w:rPr>
  </w:style>
  <w:style w:type="paragraph" w:styleId="Tekstblokowy">
    <w:name w:val="Block Text"/>
    <w:basedOn w:val="Normalny"/>
    <w:rsid w:val="0046542E"/>
    <w:pPr>
      <w:shd w:val="clear" w:color="auto" w:fill="FFFFFF"/>
      <w:spacing w:line="240" w:lineRule="auto"/>
      <w:ind w:left="10" w:right="48" w:firstLine="725"/>
      <w:jc w:val="both"/>
    </w:pPr>
    <w:rPr>
      <w:rFonts w:cs="Arial"/>
      <w:color w:val="000000"/>
      <w:sz w:val="24"/>
      <w:szCs w:val="25"/>
    </w:rPr>
  </w:style>
  <w:style w:type="character" w:customStyle="1" w:styleId="stronacz1">
    <w:name w:val="strona_c_z1"/>
    <w:rsid w:val="0046542E"/>
    <w:rPr>
      <w:rFonts w:ascii="Tahoma" w:hAnsi="Tahoma" w:cs="Tahoma" w:hint="default"/>
      <w:b w:val="0"/>
      <w:bCs w:val="0"/>
      <w:color w:val="000000"/>
      <w:sz w:val="16"/>
      <w:szCs w:val="16"/>
    </w:rPr>
  </w:style>
  <w:style w:type="paragraph" w:styleId="Zwykytekst">
    <w:name w:val="Plain Text"/>
    <w:basedOn w:val="Normalny"/>
    <w:link w:val="ZwykytekstZnak"/>
    <w:rsid w:val="0046542E"/>
    <w:pPr>
      <w:spacing w:after="240" w:line="240" w:lineRule="auto"/>
      <w:ind w:firstLine="0"/>
    </w:pPr>
    <w:rPr>
      <w:rFonts w:ascii="Courier New" w:hAnsi="Courier New"/>
      <w:sz w:val="20"/>
      <w:szCs w:val="20"/>
    </w:rPr>
  </w:style>
  <w:style w:type="character" w:customStyle="1" w:styleId="ZwykytekstZnak">
    <w:name w:val="Zwykły tekst Znak"/>
    <w:link w:val="Zwykytekst"/>
    <w:rsid w:val="007C072D"/>
    <w:rPr>
      <w:rFonts w:ascii="Courier New" w:hAnsi="Courier New"/>
    </w:rPr>
  </w:style>
  <w:style w:type="paragraph" w:customStyle="1" w:styleId="NormalnyWeb1">
    <w:name w:val="Normalny (Web)1"/>
    <w:basedOn w:val="Normalny"/>
    <w:rsid w:val="0046542E"/>
    <w:pPr>
      <w:overflowPunct w:val="0"/>
      <w:autoSpaceDE w:val="0"/>
      <w:autoSpaceDN w:val="0"/>
      <w:adjustRightInd w:val="0"/>
      <w:spacing w:before="100" w:after="100" w:line="240" w:lineRule="auto"/>
      <w:ind w:firstLine="0"/>
      <w:textAlignment w:val="baseline"/>
    </w:pPr>
    <w:rPr>
      <w:rFonts w:ascii="Times New Roman" w:hAnsi="Times New Roman"/>
      <w:sz w:val="24"/>
      <w:szCs w:val="20"/>
    </w:rPr>
  </w:style>
  <w:style w:type="paragraph" w:styleId="Spistreci5">
    <w:name w:val="toc 5"/>
    <w:basedOn w:val="Normalny"/>
    <w:next w:val="Normalny"/>
    <w:autoRedefine/>
    <w:semiHidden/>
    <w:rsid w:val="0046542E"/>
    <w:pPr>
      <w:spacing w:line="240" w:lineRule="auto"/>
      <w:ind w:left="960" w:firstLine="0"/>
    </w:pPr>
    <w:rPr>
      <w:rFonts w:ascii="Times New Roman" w:hAnsi="Times New Roman"/>
      <w:sz w:val="18"/>
      <w:szCs w:val="18"/>
    </w:rPr>
  </w:style>
  <w:style w:type="paragraph" w:styleId="Spistreci6">
    <w:name w:val="toc 6"/>
    <w:basedOn w:val="Normalny"/>
    <w:next w:val="Normalny"/>
    <w:autoRedefine/>
    <w:semiHidden/>
    <w:rsid w:val="0046542E"/>
    <w:pPr>
      <w:spacing w:line="240" w:lineRule="auto"/>
      <w:ind w:left="1200" w:firstLine="0"/>
    </w:pPr>
    <w:rPr>
      <w:rFonts w:ascii="Times New Roman" w:hAnsi="Times New Roman"/>
      <w:sz w:val="18"/>
      <w:szCs w:val="18"/>
    </w:rPr>
  </w:style>
  <w:style w:type="paragraph" w:styleId="Spistreci7">
    <w:name w:val="toc 7"/>
    <w:basedOn w:val="Normalny"/>
    <w:next w:val="Normalny"/>
    <w:autoRedefine/>
    <w:semiHidden/>
    <w:rsid w:val="0046542E"/>
    <w:pPr>
      <w:spacing w:line="240" w:lineRule="auto"/>
      <w:ind w:left="1440" w:firstLine="0"/>
    </w:pPr>
    <w:rPr>
      <w:rFonts w:ascii="Times New Roman" w:hAnsi="Times New Roman"/>
      <w:sz w:val="18"/>
      <w:szCs w:val="18"/>
    </w:rPr>
  </w:style>
  <w:style w:type="paragraph" w:styleId="Spistreci8">
    <w:name w:val="toc 8"/>
    <w:basedOn w:val="Normalny"/>
    <w:next w:val="Normalny"/>
    <w:autoRedefine/>
    <w:semiHidden/>
    <w:rsid w:val="0046542E"/>
    <w:pPr>
      <w:spacing w:line="240" w:lineRule="auto"/>
      <w:ind w:left="1680" w:firstLine="0"/>
    </w:pPr>
    <w:rPr>
      <w:rFonts w:ascii="Times New Roman" w:hAnsi="Times New Roman"/>
      <w:sz w:val="18"/>
      <w:szCs w:val="18"/>
    </w:rPr>
  </w:style>
  <w:style w:type="paragraph" w:customStyle="1" w:styleId="Nagwekzacznik">
    <w:name w:val="Nagłówek załącznik"/>
    <w:basedOn w:val="Normalny"/>
    <w:autoRedefine/>
    <w:rsid w:val="0046542E"/>
    <w:pPr>
      <w:keepNext/>
      <w:tabs>
        <w:tab w:val="num" w:pos="680"/>
      </w:tabs>
      <w:spacing w:line="288" w:lineRule="auto"/>
      <w:ind w:left="357" w:hanging="357"/>
      <w:outlineLvl w:val="0"/>
    </w:pPr>
    <w:rPr>
      <w:rFonts w:ascii="Arial Narrow" w:hAnsi="Arial Narrow"/>
      <w:i/>
      <w:iCs/>
      <w:kern w:val="32"/>
      <w:sz w:val="24"/>
    </w:rPr>
  </w:style>
  <w:style w:type="character" w:customStyle="1" w:styleId="Tekstpodstawowy3Znak">
    <w:name w:val="Tekst podstawowy 3 Znak"/>
    <w:aliases w:val="tekst w tabeli Znak"/>
    <w:uiPriority w:val="99"/>
    <w:rsid w:val="0046542E"/>
    <w:rPr>
      <w:rFonts w:ascii="Arial" w:hAnsi="Arial"/>
      <w:b/>
      <w:i/>
      <w:sz w:val="22"/>
      <w:lang w:val="pl-PL" w:eastAsia="pl-PL" w:bidi="ar-SA"/>
    </w:rPr>
  </w:style>
  <w:style w:type="paragraph" w:styleId="Tekstpodstawowyzwciciem">
    <w:name w:val="Body Text First Indent"/>
    <w:basedOn w:val="Tekstpodstawowy"/>
    <w:link w:val="TekstpodstawowyzwciciemZnak"/>
    <w:rsid w:val="0046542E"/>
    <w:pPr>
      <w:spacing w:after="120"/>
      <w:ind w:firstLine="210"/>
      <w:jc w:val="left"/>
    </w:pPr>
    <w:rPr>
      <w:rFonts w:cs="Times New Roman"/>
      <w:spacing w:val="0"/>
    </w:rPr>
  </w:style>
  <w:style w:type="character" w:customStyle="1" w:styleId="TekstpodstawowyzwciciemZnak">
    <w:name w:val="Tekst podstawowy z wcięciem Znak"/>
    <w:link w:val="Tekstpodstawowyzwciciem"/>
    <w:rsid w:val="007C072D"/>
    <w:rPr>
      <w:rFonts w:ascii="Tahoma" w:hAnsi="Tahoma" w:cs="Tahoma"/>
      <w:bCs w:val="0"/>
      <w:spacing w:val="-2"/>
      <w:sz w:val="22"/>
      <w:szCs w:val="24"/>
    </w:rPr>
  </w:style>
  <w:style w:type="paragraph" w:customStyle="1" w:styleId="CM64">
    <w:name w:val="CM64"/>
    <w:basedOn w:val="Default"/>
    <w:next w:val="Default"/>
    <w:rsid w:val="0046542E"/>
    <w:pPr>
      <w:widowControl w:val="0"/>
      <w:spacing w:after="120"/>
    </w:pPr>
    <w:rPr>
      <w:rFonts w:cs="Times New Roman"/>
      <w:sz w:val="24"/>
      <w:szCs w:val="24"/>
    </w:rPr>
  </w:style>
  <w:style w:type="character" w:styleId="Uwydatnienie">
    <w:name w:val="Emphasis"/>
    <w:qFormat/>
    <w:rsid w:val="0046542E"/>
    <w:rPr>
      <w:i/>
      <w:iCs/>
    </w:rPr>
  </w:style>
  <w:style w:type="character" w:customStyle="1" w:styleId="Nagwek1Znak">
    <w:name w:val="Nagłówek 1 Znak"/>
    <w:uiPriority w:val="9"/>
    <w:rsid w:val="0046542E"/>
    <w:rPr>
      <w:rFonts w:ascii="Arial" w:hAnsi="Arial" w:cs="Arial"/>
      <w:b/>
      <w:bCs/>
      <w:kern w:val="32"/>
      <w:sz w:val="32"/>
      <w:szCs w:val="32"/>
      <w:lang w:val="pl-PL" w:eastAsia="pl-PL" w:bidi="ar-SA"/>
    </w:rPr>
  </w:style>
  <w:style w:type="paragraph" w:styleId="Akapitzlist">
    <w:name w:val="List Paragraph"/>
    <w:basedOn w:val="Normalny"/>
    <w:uiPriority w:val="34"/>
    <w:qFormat/>
    <w:rsid w:val="0046542E"/>
    <w:pPr>
      <w:spacing w:line="240" w:lineRule="auto"/>
      <w:ind w:left="708" w:firstLine="0"/>
    </w:pPr>
    <w:rPr>
      <w:rFonts w:ascii="Times New Roman" w:hAnsi="Times New Roman"/>
      <w:sz w:val="24"/>
    </w:rPr>
  </w:style>
  <w:style w:type="character" w:customStyle="1" w:styleId="apple-style-span">
    <w:name w:val="apple-style-span"/>
    <w:basedOn w:val="Domylnaczcionkaakapitu"/>
    <w:rsid w:val="0046542E"/>
  </w:style>
  <w:style w:type="paragraph" w:customStyle="1" w:styleId="StylLegenda">
    <w:name w:val="Styl Legenda"/>
    <w:basedOn w:val="Legenda"/>
    <w:next w:val="Tekstpodstawowy"/>
    <w:autoRedefine/>
    <w:uiPriority w:val="99"/>
    <w:rsid w:val="00BF04E0"/>
    <w:pPr>
      <w:numPr>
        <w:numId w:val="40"/>
      </w:numPr>
      <w:spacing w:before="40" w:after="40"/>
    </w:pPr>
    <w:rPr>
      <w:b w:val="0"/>
      <w:spacing w:val="0"/>
      <w:sz w:val="24"/>
      <w:szCs w:val="24"/>
    </w:rPr>
  </w:style>
  <w:style w:type="character" w:customStyle="1" w:styleId="StylLegendaZnak">
    <w:name w:val="Styl Legenda Znak"/>
    <w:rsid w:val="0046542E"/>
    <w:rPr>
      <w:rFonts w:ascii="Arial" w:hAnsi="Arial"/>
      <w:spacing w:val="-2"/>
      <w:lang w:val="pl-PL" w:eastAsia="pl-PL" w:bidi="ar-SA"/>
    </w:rPr>
  </w:style>
  <w:style w:type="paragraph" w:customStyle="1" w:styleId="xl32">
    <w:name w:val="xl32"/>
    <w:basedOn w:val="Normalny"/>
    <w:rsid w:val="0046542E"/>
    <w:pPr>
      <w:spacing w:before="100" w:beforeAutospacing="1" w:after="100" w:afterAutospacing="1" w:line="240" w:lineRule="auto"/>
      <w:ind w:firstLine="0"/>
    </w:pPr>
    <w:rPr>
      <w:rFonts w:eastAsia="Arial Unicode MS" w:cs="Arial"/>
      <w:sz w:val="24"/>
    </w:rPr>
  </w:style>
  <w:style w:type="paragraph" w:customStyle="1" w:styleId="xl33">
    <w:name w:val="xl33"/>
    <w:basedOn w:val="Normalny"/>
    <w:rsid w:val="0046542E"/>
    <w:pPr>
      <w:shd w:val="clear" w:color="auto" w:fill="008080"/>
      <w:spacing w:before="100" w:beforeAutospacing="1" w:after="100" w:afterAutospacing="1" w:line="240" w:lineRule="auto"/>
      <w:ind w:firstLine="0"/>
      <w:jc w:val="center"/>
      <w:textAlignment w:val="center"/>
    </w:pPr>
    <w:rPr>
      <w:rFonts w:eastAsia="Arial Unicode MS" w:cs="Arial"/>
      <w:b/>
      <w:bCs/>
      <w:color w:val="FFFFFF"/>
      <w:sz w:val="24"/>
    </w:rPr>
  </w:style>
  <w:style w:type="paragraph" w:customStyle="1" w:styleId="xl34">
    <w:name w:val="xl34"/>
    <w:basedOn w:val="Normalny"/>
    <w:rsid w:val="0046542E"/>
    <w:pPr>
      <w:shd w:val="clear" w:color="auto" w:fill="008080"/>
      <w:spacing w:before="100" w:beforeAutospacing="1" w:after="100" w:afterAutospacing="1" w:line="240" w:lineRule="auto"/>
      <w:ind w:firstLine="0"/>
      <w:jc w:val="center"/>
      <w:textAlignment w:val="center"/>
    </w:pPr>
    <w:rPr>
      <w:rFonts w:eastAsia="Arial Unicode MS" w:cs="Arial"/>
      <w:b/>
      <w:bCs/>
      <w:color w:val="FFFFFF"/>
      <w:sz w:val="24"/>
    </w:rPr>
  </w:style>
  <w:style w:type="paragraph" w:customStyle="1" w:styleId="xl35">
    <w:name w:val="xl35"/>
    <w:basedOn w:val="Normalny"/>
    <w:rsid w:val="0046542E"/>
    <w:pPr>
      <w:spacing w:before="100" w:beforeAutospacing="1" w:after="100" w:afterAutospacing="1" w:line="240" w:lineRule="auto"/>
      <w:ind w:firstLine="0"/>
    </w:pPr>
    <w:rPr>
      <w:rFonts w:eastAsia="Arial Unicode MS" w:cs="Arial"/>
      <w:sz w:val="24"/>
    </w:rPr>
  </w:style>
  <w:style w:type="table" w:styleId="Tabela-Siatka">
    <w:name w:val="Table Grid"/>
    <w:basedOn w:val="Standardowy"/>
    <w:uiPriority w:val="59"/>
    <w:rsid w:val="004B79C6"/>
    <w:pPr>
      <w:spacing w:line="32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6B024A"/>
    <w:pPr>
      <w:ind w:left="283" w:hanging="283"/>
    </w:pPr>
  </w:style>
  <w:style w:type="paragraph" w:customStyle="1" w:styleId="StylBodyText2TimesNewRoman14pt">
    <w:name w:val="Styl Body Text 2 + Times New Roman 14 pt"/>
    <w:basedOn w:val="Tekstpodstawowy21"/>
    <w:rsid w:val="006B024A"/>
    <w:pPr>
      <w:overflowPunct/>
      <w:autoSpaceDE/>
      <w:autoSpaceDN/>
      <w:adjustRightInd/>
      <w:spacing w:before="0" w:line="360" w:lineRule="auto"/>
      <w:ind w:firstLine="0"/>
      <w:textAlignment w:val="auto"/>
    </w:pPr>
    <w:rPr>
      <w:rFonts w:ascii="Times New Roman" w:hAnsi="Times New Roman"/>
      <w:sz w:val="24"/>
    </w:rPr>
  </w:style>
  <w:style w:type="paragraph" w:customStyle="1" w:styleId="font5">
    <w:name w:val="font5"/>
    <w:basedOn w:val="Normalny"/>
    <w:rsid w:val="006B024A"/>
    <w:pPr>
      <w:spacing w:before="100" w:beforeAutospacing="1" w:after="100" w:afterAutospacing="1" w:line="240" w:lineRule="auto"/>
      <w:ind w:firstLine="0"/>
    </w:pPr>
    <w:rPr>
      <w:rFonts w:cs="Arial"/>
      <w:sz w:val="18"/>
      <w:szCs w:val="18"/>
    </w:rPr>
  </w:style>
  <w:style w:type="paragraph" w:customStyle="1" w:styleId="font6">
    <w:name w:val="font6"/>
    <w:basedOn w:val="Normalny"/>
    <w:rsid w:val="006B024A"/>
    <w:pPr>
      <w:spacing w:before="100" w:beforeAutospacing="1" w:after="100" w:afterAutospacing="1" w:line="240" w:lineRule="auto"/>
      <w:ind w:firstLine="0"/>
    </w:pPr>
    <w:rPr>
      <w:rFonts w:cs="Arial"/>
      <w:sz w:val="18"/>
      <w:szCs w:val="18"/>
    </w:rPr>
  </w:style>
  <w:style w:type="paragraph" w:customStyle="1" w:styleId="xl109">
    <w:name w:val="xl109"/>
    <w:basedOn w:val="Normalny"/>
    <w:rsid w:val="006B024A"/>
    <w:pPr>
      <w:spacing w:before="100" w:beforeAutospacing="1" w:after="100" w:afterAutospacing="1" w:line="240" w:lineRule="auto"/>
      <w:ind w:firstLine="0"/>
      <w:textAlignment w:val="top"/>
    </w:pPr>
    <w:rPr>
      <w:rFonts w:cs="Arial"/>
      <w:sz w:val="24"/>
    </w:rPr>
  </w:style>
  <w:style w:type="paragraph" w:customStyle="1" w:styleId="xl110">
    <w:name w:val="xl110"/>
    <w:basedOn w:val="Normalny"/>
    <w:rsid w:val="006B024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11">
    <w:name w:val="xl111"/>
    <w:basedOn w:val="Normalny"/>
    <w:rsid w:val="006B024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textAlignment w:val="top"/>
    </w:pPr>
    <w:rPr>
      <w:rFonts w:ascii="Times New Roman" w:hAnsi="Times New Roman"/>
      <w:i/>
      <w:iCs/>
      <w:sz w:val="16"/>
      <w:szCs w:val="16"/>
    </w:rPr>
  </w:style>
  <w:style w:type="paragraph" w:customStyle="1" w:styleId="xl112">
    <w:name w:val="xl11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13">
    <w:name w:val="xl11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14">
    <w:name w:val="xl114"/>
    <w:basedOn w:val="Normalny"/>
    <w:rsid w:val="006B024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18"/>
      <w:szCs w:val="18"/>
    </w:rPr>
  </w:style>
  <w:style w:type="paragraph" w:customStyle="1" w:styleId="xl115">
    <w:name w:val="xl115"/>
    <w:basedOn w:val="Normalny"/>
    <w:rsid w:val="006B024A"/>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18"/>
      <w:szCs w:val="18"/>
    </w:rPr>
  </w:style>
  <w:style w:type="paragraph" w:customStyle="1" w:styleId="xl116">
    <w:name w:val="xl116"/>
    <w:basedOn w:val="Normalny"/>
    <w:rsid w:val="006B024A"/>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18"/>
      <w:szCs w:val="18"/>
    </w:rPr>
  </w:style>
  <w:style w:type="paragraph" w:customStyle="1" w:styleId="xl117">
    <w:name w:val="xl117"/>
    <w:basedOn w:val="Normalny"/>
    <w:rsid w:val="006B024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i/>
      <w:iCs/>
      <w:sz w:val="16"/>
      <w:szCs w:val="16"/>
    </w:rPr>
  </w:style>
  <w:style w:type="paragraph" w:customStyle="1" w:styleId="xl118">
    <w:name w:val="xl118"/>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19">
    <w:name w:val="xl119"/>
    <w:basedOn w:val="Normalny"/>
    <w:rsid w:val="006B024A"/>
    <w:pPr>
      <w:spacing w:before="100" w:beforeAutospacing="1" w:after="100" w:afterAutospacing="1" w:line="240" w:lineRule="auto"/>
      <w:ind w:firstLine="0"/>
      <w:textAlignment w:val="top"/>
    </w:pPr>
    <w:rPr>
      <w:rFonts w:cs="Arial"/>
      <w:sz w:val="18"/>
      <w:szCs w:val="18"/>
    </w:rPr>
  </w:style>
  <w:style w:type="paragraph" w:customStyle="1" w:styleId="xl120">
    <w:name w:val="xl120"/>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1">
    <w:name w:val="xl121"/>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2">
    <w:name w:val="xl12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3">
    <w:name w:val="xl12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4">
    <w:name w:val="xl124"/>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5">
    <w:name w:val="xl12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18"/>
      <w:szCs w:val="18"/>
    </w:rPr>
  </w:style>
  <w:style w:type="paragraph" w:customStyle="1" w:styleId="xl126">
    <w:name w:val="xl126"/>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27">
    <w:name w:val="xl127"/>
    <w:basedOn w:val="Normalny"/>
    <w:rsid w:val="006B024A"/>
    <w:pPr>
      <w:pBdr>
        <w:top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28">
    <w:name w:val="xl128"/>
    <w:basedOn w:val="Normalny"/>
    <w:rsid w:val="006B024A"/>
    <w:pPr>
      <w:pBdr>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jc w:val="center"/>
      <w:textAlignment w:val="center"/>
    </w:pPr>
    <w:rPr>
      <w:rFonts w:cs="Arial"/>
      <w:sz w:val="18"/>
      <w:szCs w:val="18"/>
    </w:rPr>
  </w:style>
  <w:style w:type="paragraph" w:customStyle="1" w:styleId="xl129">
    <w:name w:val="xl129"/>
    <w:basedOn w:val="Normalny"/>
    <w:rsid w:val="006B024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jc w:val="center"/>
      <w:textAlignment w:val="center"/>
    </w:pPr>
    <w:rPr>
      <w:rFonts w:cs="Arial"/>
      <w:sz w:val="18"/>
      <w:szCs w:val="18"/>
    </w:rPr>
  </w:style>
  <w:style w:type="paragraph" w:customStyle="1" w:styleId="xl130">
    <w:name w:val="xl130"/>
    <w:basedOn w:val="Normalny"/>
    <w:rsid w:val="006B024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textAlignment w:val="top"/>
    </w:pPr>
    <w:rPr>
      <w:rFonts w:cs="Arial"/>
      <w:sz w:val="18"/>
      <w:szCs w:val="18"/>
    </w:rPr>
  </w:style>
  <w:style w:type="paragraph" w:customStyle="1" w:styleId="xl131">
    <w:name w:val="xl131"/>
    <w:basedOn w:val="Normalny"/>
    <w:rsid w:val="006B024A"/>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ind w:firstLine="0"/>
      <w:textAlignment w:val="top"/>
    </w:pPr>
    <w:rPr>
      <w:rFonts w:cs="Arial"/>
      <w:sz w:val="18"/>
      <w:szCs w:val="18"/>
    </w:rPr>
  </w:style>
  <w:style w:type="paragraph" w:customStyle="1" w:styleId="xl132">
    <w:name w:val="xl13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33">
    <w:name w:val="xl133"/>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34">
    <w:name w:val="xl134"/>
    <w:basedOn w:val="Normalny"/>
    <w:rsid w:val="006B024A"/>
    <w:pPr>
      <w:spacing w:before="100" w:beforeAutospacing="1" w:after="100" w:afterAutospacing="1" w:line="240" w:lineRule="auto"/>
      <w:ind w:firstLine="0"/>
      <w:textAlignment w:val="center"/>
    </w:pPr>
    <w:rPr>
      <w:rFonts w:cs="Arial"/>
      <w:sz w:val="24"/>
    </w:rPr>
  </w:style>
  <w:style w:type="paragraph" w:customStyle="1" w:styleId="xl135">
    <w:name w:val="xl135"/>
    <w:basedOn w:val="Normalny"/>
    <w:rsid w:val="006B024A"/>
    <w:pPr>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36">
    <w:name w:val="xl136"/>
    <w:basedOn w:val="Normalny"/>
    <w:rsid w:val="006B024A"/>
    <w:pPr>
      <w:spacing w:before="100" w:beforeAutospacing="1" w:after="100" w:afterAutospacing="1" w:line="240" w:lineRule="auto"/>
      <w:ind w:firstLine="0"/>
      <w:jc w:val="center"/>
      <w:textAlignment w:val="center"/>
    </w:pPr>
    <w:rPr>
      <w:rFonts w:ascii="Times New Roman" w:hAnsi="Times New Roman"/>
      <w:i/>
      <w:iCs/>
      <w:sz w:val="16"/>
      <w:szCs w:val="16"/>
    </w:rPr>
  </w:style>
  <w:style w:type="paragraph" w:customStyle="1" w:styleId="xl137">
    <w:name w:val="xl137"/>
    <w:basedOn w:val="Normalny"/>
    <w:rsid w:val="006B024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38">
    <w:name w:val="xl138"/>
    <w:basedOn w:val="Normalny"/>
    <w:rsid w:val="006B024A"/>
    <w:pPr>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39">
    <w:name w:val="xl139"/>
    <w:basedOn w:val="Normalny"/>
    <w:rsid w:val="006B024A"/>
    <w:pPr>
      <w:pBdr>
        <w:top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0">
    <w:name w:val="xl140"/>
    <w:basedOn w:val="Normalny"/>
    <w:rsid w:val="006B024A"/>
    <w:pPr>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1">
    <w:name w:val="xl141"/>
    <w:basedOn w:val="Normalny"/>
    <w:rsid w:val="006B024A"/>
    <w:pPr>
      <w:pBdr>
        <w:top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2">
    <w:name w:val="xl142"/>
    <w:basedOn w:val="Normalny"/>
    <w:rsid w:val="006B024A"/>
    <w:pPr>
      <w:pBdr>
        <w:top w:val="single" w:sz="4" w:space="0" w:color="auto"/>
        <w:left w:val="single" w:sz="4" w:space="0" w:color="auto"/>
        <w:bottom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43">
    <w:name w:val="xl143"/>
    <w:basedOn w:val="Normalny"/>
    <w:rsid w:val="006B024A"/>
    <w:pPr>
      <w:pBdr>
        <w:top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b/>
      <w:bCs/>
      <w:i/>
      <w:iCs/>
      <w:sz w:val="24"/>
    </w:rPr>
  </w:style>
  <w:style w:type="paragraph" w:customStyle="1" w:styleId="xl144">
    <w:name w:val="xl144"/>
    <w:basedOn w:val="Normalny"/>
    <w:rsid w:val="006B024A"/>
    <w:pPr>
      <w:pBdr>
        <w:top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5">
    <w:name w:val="xl145"/>
    <w:basedOn w:val="Normalny"/>
    <w:rsid w:val="006B024A"/>
    <w:pPr>
      <w:pBdr>
        <w:top w:val="single" w:sz="4" w:space="0" w:color="auto"/>
        <w:left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6">
    <w:name w:val="xl146"/>
    <w:basedOn w:val="Normalny"/>
    <w:rsid w:val="006B024A"/>
    <w:pPr>
      <w:pBdr>
        <w:top w:val="single" w:sz="4" w:space="0" w:color="auto"/>
        <w:bottom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7">
    <w:name w:val="xl147"/>
    <w:basedOn w:val="Normalny"/>
    <w:rsid w:val="006B024A"/>
    <w:pPr>
      <w:pBdr>
        <w:top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48">
    <w:name w:val="xl148"/>
    <w:basedOn w:val="Normalny"/>
    <w:rsid w:val="006B024A"/>
    <w:pPr>
      <w:pBdr>
        <w:top w:val="single" w:sz="4" w:space="0" w:color="auto"/>
        <w:left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cs="Arial"/>
      <w:b/>
      <w:bCs/>
      <w:i/>
      <w:iCs/>
      <w:sz w:val="18"/>
      <w:szCs w:val="18"/>
    </w:rPr>
  </w:style>
  <w:style w:type="paragraph" w:customStyle="1" w:styleId="xl149">
    <w:name w:val="xl149"/>
    <w:basedOn w:val="Normalny"/>
    <w:rsid w:val="006B024A"/>
    <w:pPr>
      <w:pBdr>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cs="Arial"/>
      <w:b/>
      <w:bCs/>
      <w:i/>
      <w:iCs/>
      <w:sz w:val="18"/>
      <w:szCs w:val="18"/>
    </w:rPr>
  </w:style>
  <w:style w:type="paragraph" w:customStyle="1" w:styleId="xl150">
    <w:name w:val="xl150"/>
    <w:basedOn w:val="Normalny"/>
    <w:rsid w:val="006B024A"/>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51">
    <w:name w:val="xl151"/>
    <w:basedOn w:val="Normalny"/>
    <w:rsid w:val="006B024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52">
    <w:name w:val="xl152"/>
    <w:basedOn w:val="Normalny"/>
    <w:rsid w:val="006B024A"/>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cs="Arial"/>
      <w:sz w:val="24"/>
    </w:rPr>
  </w:style>
  <w:style w:type="paragraph" w:customStyle="1" w:styleId="xl153">
    <w:name w:val="xl15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54">
    <w:name w:val="xl154"/>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Times New Roman" w:hAnsi="Times New Roman"/>
      <w:sz w:val="24"/>
    </w:rPr>
  </w:style>
  <w:style w:type="paragraph" w:customStyle="1" w:styleId="xl155">
    <w:name w:val="xl15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56">
    <w:name w:val="xl156"/>
    <w:basedOn w:val="Normalny"/>
    <w:rsid w:val="006B024A"/>
    <w:pPr>
      <w:spacing w:before="100" w:beforeAutospacing="1" w:after="100" w:afterAutospacing="1" w:line="240" w:lineRule="auto"/>
      <w:ind w:firstLine="0"/>
      <w:jc w:val="center"/>
      <w:textAlignment w:val="top"/>
    </w:pPr>
    <w:rPr>
      <w:rFonts w:cs="Arial"/>
      <w:sz w:val="24"/>
    </w:rPr>
  </w:style>
  <w:style w:type="paragraph" w:customStyle="1" w:styleId="xl157">
    <w:name w:val="xl157"/>
    <w:basedOn w:val="Normalny"/>
    <w:rsid w:val="006B024A"/>
    <w:pPr>
      <w:pBdr>
        <w:top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center"/>
    </w:pPr>
    <w:rPr>
      <w:rFonts w:ascii="Times New Roman" w:hAnsi="Times New Roman"/>
      <w:i/>
      <w:iCs/>
      <w:sz w:val="16"/>
      <w:szCs w:val="16"/>
    </w:rPr>
  </w:style>
  <w:style w:type="paragraph" w:customStyle="1" w:styleId="xl158">
    <w:name w:val="xl158"/>
    <w:basedOn w:val="Normalny"/>
    <w:rsid w:val="006B024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59">
    <w:name w:val="xl159"/>
    <w:basedOn w:val="Normalny"/>
    <w:rsid w:val="006B024A"/>
    <w:pPr>
      <w:pBdr>
        <w:top w:val="single" w:sz="4" w:space="0" w:color="000000"/>
        <w:bottom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60">
    <w:name w:val="xl160"/>
    <w:basedOn w:val="Normalny"/>
    <w:rsid w:val="006B024A"/>
    <w:pPr>
      <w:pBdr>
        <w:top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Times New Roman" w:hAnsi="Times New Roman"/>
      <w:sz w:val="24"/>
    </w:rPr>
  </w:style>
  <w:style w:type="paragraph" w:customStyle="1" w:styleId="xl161">
    <w:name w:val="xl161"/>
    <w:basedOn w:val="Normalny"/>
    <w:rsid w:val="006B024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62">
    <w:name w:val="xl162"/>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63">
    <w:name w:val="xl16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64">
    <w:name w:val="xl164"/>
    <w:basedOn w:val="Normalny"/>
    <w:rsid w:val="006B024A"/>
    <w:pPr>
      <w:pBdr>
        <w:top w:val="single" w:sz="4" w:space="0" w:color="000000"/>
        <w:bottom w:val="single" w:sz="4" w:space="0" w:color="000000"/>
        <w:right w:val="single" w:sz="4" w:space="0" w:color="000000"/>
      </w:pBdr>
      <w:spacing w:before="100" w:beforeAutospacing="1" w:after="100" w:afterAutospacing="1" w:line="240" w:lineRule="auto"/>
      <w:ind w:firstLine="0"/>
      <w:jc w:val="center"/>
    </w:pPr>
    <w:rPr>
      <w:rFonts w:ascii="Times New Roman" w:hAnsi="Times New Roman"/>
      <w:sz w:val="24"/>
    </w:rPr>
  </w:style>
  <w:style w:type="paragraph" w:customStyle="1" w:styleId="xl165">
    <w:name w:val="xl16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66">
    <w:name w:val="xl166"/>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67">
    <w:name w:val="xl167"/>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cs="Arial"/>
      <w:sz w:val="24"/>
    </w:rPr>
  </w:style>
  <w:style w:type="paragraph" w:customStyle="1" w:styleId="xl168">
    <w:name w:val="xl168"/>
    <w:basedOn w:val="Normalny"/>
    <w:rsid w:val="006B024A"/>
    <w:pPr>
      <w:pBdr>
        <w:top w:val="single" w:sz="4" w:space="0" w:color="000000"/>
        <w:left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69">
    <w:name w:val="xl169"/>
    <w:basedOn w:val="Normalny"/>
    <w:rsid w:val="006B024A"/>
    <w:pPr>
      <w:pBdr>
        <w:top w:val="single" w:sz="4" w:space="0" w:color="000000"/>
        <w:right w:val="single" w:sz="4" w:space="0" w:color="000000"/>
      </w:pBdr>
      <w:spacing w:before="100" w:beforeAutospacing="1" w:after="100" w:afterAutospacing="1" w:line="240" w:lineRule="auto"/>
      <w:ind w:firstLine="0"/>
    </w:pPr>
    <w:rPr>
      <w:rFonts w:ascii="Times New Roman" w:hAnsi="Times New Roman"/>
      <w:sz w:val="24"/>
    </w:rPr>
  </w:style>
  <w:style w:type="paragraph" w:customStyle="1" w:styleId="xl170">
    <w:name w:val="xl170"/>
    <w:basedOn w:val="Normalny"/>
    <w:rsid w:val="006B024A"/>
    <w:pPr>
      <w:pBdr>
        <w:top w:val="single" w:sz="4" w:space="0" w:color="000000"/>
        <w:right w:val="single" w:sz="4" w:space="0" w:color="000000"/>
      </w:pBdr>
      <w:spacing w:before="100" w:beforeAutospacing="1" w:after="100" w:afterAutospacing="1" w:line="240" w:lineRule="auto"/>
      <w:ind w:firstLine="0"/>
      <w:jc w:val="center"/>
    </w:pPr>
    <w:rPr>
      <w:rFonts w:ascii="Times New Roman" w:hAnsi="Times New Roman"/>
      <w:sz w:val="24"/>
    </w:rPr>
  </w:style>
  <w:style w:type="paragraph" w:customStyle="1" w:styleId="xl171">
    <w:name w:val="xl171"/>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72">
    <w:name w:val="xl172"/>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4"/>
    </w:rPr>
  </w:style>
  <w:style w:type="paragraph" w:customStyle="1" w:styleId="xl173">
    <w:name w:val="xl173"/>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24"/>
    </w:rPr>
  </w:style>
  <w:style w:type="paragraph" w:customStyle="1" w:styleId="xl174">
    <w:name w:val="xl174"/>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cs="Arial"/>
      <w:sz w:val="24"/>
    </w:rPr>
  </w:style>
  <w:style w:type="paragraph" w:customStyle="1" w:styleId="xl175">
    <w:name w:val="xl17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24"/>
    </w:rPr>
  </w:style>
  <w:style w:type="paragraph" w:customStyle="1" w:styleId="xl176">
    <w:name w:val="xl176"/>
    <w:basedOn w:val="Normalny"/>
    <w:rsid w:val="006B024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77">
    <w:name w:val="xl177"/>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178">
    <w:name w:val="xl178"/>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79">
    <w:name w:val="xl179"/>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0">
    <w:name w:val="xl180"/>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1">
    <w:name w:val="xl181"/>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182">
    <w:name w:val="xl182"/>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183">
    <w:name w:val="xl183"/>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4">
    <w:name w:val="xl184"/>
    <w:basedOn w:val="Normalny"/>
    <w:rsid w:val="006B024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cs="Arial"/>
      <w:sz w:val="24"/>
    </w:rPr>
  </w:style>
  <w:style w:type="paragraph" w:customStyle="1" w:styleId="xl185">
    <w:name w:val="xl185"/>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rPr>
  </w:style>
  <w:style w:type="paragraph" w:customStyle="1" w:styleId="xl186">
    <w:name w:val="xl186"/>
    <w:basedOn w:val="Normalny"/>
    <w:rsid w:val="006B024A"/>
    <w:pPr>
      <w:pBdr>
        <w:top w:val="single" w:sz="4" w:space="0" w:color="auto"/>
        <w:left w:val="single" w:sz="4" w:space="0" w:color="auto"/>
        <w:right w:val="single" w:sz="4" w:space="0" w:color="auto"/>
      </w:pBdr>
      <w:shd w:val="clear" w:color="auto" w:fill="C0C0C0"/>
      <w:spacing w:before="100" w:beforeAutospacing="1" w:after="100" w:afterAutospacing="1" w:line="240" w:lineRule="auto"/>
      <w:ind w:firstLine="0"/>
      <w:textAlignment w:val="center"/>
    </w:pPr>
    <w:rPr>
      <w:rFonts w:cs="Arial"/>
      <w:sz w:val="24"/>
    </w:rPr>
  </w:style>
  <w:style w:type="paragraph" w:customStyle="1" w:styleId="xl187">
    <w:name w:val="xl187"/>
    <w:basedOn w:val="Normalny"/>
    <w:rsid w:val="006B024A"/>
    <w:pPr>
      <w:pBdr>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textAlignment w:val="center"/>
    </w:pPr>
    <w:rPr>
      <w:rFonts w:cs="Arial"/>
      <w:sz w:val="24"/>
    </w:rPr>
  </w:style>
  <w:style w:type="paragraph" w:customStyle="1" w:styleId="xl188">
    <w:name w:val="xl188"/>
    <w:basedOn w:val="Normalny"/>
    <w:rsid w:val="006B024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cs="Arial"/>
      <w:sz w:val="24"/>
    </w:rPr>
  </w:style>
  <w:style w:type="paragraph" w:customStyle="1" w:styleId="xl189">
    <w:name w:val="xl189"/>
    <w:basedOn w:val="Normalny"/>
    <w:rsid w:val="006B024A"/>
    <w:pPr>
      <w:spacing w:before="100" w:beforeAutospacing="1" w:after="100" w:afterAutospacing="1" w:line="240" w:lineRule="auto"/>
      <w:ind w:firstLine="0"/>
      <w:textAlignment w:val="top"/>
    </w:pPr>
    <w:rPr>
      <w:rFonts w:cs="Arial"/>
      <w:sz w:val="24"/>
    </w:rPr>
  </w:style>
  <w:style w:type="paragraph" w:customStyle="1" w:styleId="xl190">
    <w:name w:val="xl190"/>
    <w:basedOn w:val="Normalny"/>
    <w:rsid w:val="006B024A"/>
    <w:pPr>
      <w:spacing w:before="100" w:beforeAutospacing="1" w:after="100" w:afterAutospacing="1" w:line="240" w:lineRule="auto"/>
      <w:ind w:firstLine="0"/>
      <w:textAlignment w:val="top"/>
    </w:pPr>
    <w:rPr>
      <w:rFonts w:cs="Arial"/>
      <w:sz w:val="24"/>
    </w:rPr>
  </w:style>
  <w:style w:type="paragraph" w:styleId="Nagwekspisutreci">
    <w:name w:val="TOC Heading"/>
    <w:basedOn w:val="Nagwek1"/>
    <w:next w:val="Normalny"/>
    <w:uiPriority w:val="39"/>
    <w:unhideWhenUsed/>
    <w:qFormat/>
    <w:rsid w:val="000D458C"/>
    <w:pPr>
      <w:keepLines/>
      <w:numPr>
        <w:numId w:val="0"/>
      </w:numPr>
      <w:spacing w:before="480" w:after="0"/>
      <w:ind w:firstLine="510"/>
      <w:outlineLvl w:val="9"/>
    </w:pPr>
    <w:rPr>
      <w:rFonts w:ascii="Cambria" w:hAnsi="Cambria"/>
      <w:bCs/>
      <w:i w:val="0"/>
      <w:color w:val="365F91"/>
      <w:kern w:val="0"/>
      <w:sz w:val="28"/>
      <w:szCs w:val="28"/>
    </w:rPr>
  </w:style>
  <w:style w:type="paragraph" w:customStyle="1" w:styleId="Styl3NEDE">
    <w:name w:val="Styl_3_NEDE"/>
    <w:basedOn w:val="Nagwek3"/>
    <w:uiPriority w:val="99"/>
    <w:rsid w:val="0067467F"/>
    <w:pPr>
      <w:keepNext/>
      <w:numPr>
        <w:ilvl w:val="0"/>
        <w:numId w:val="39"/>
      </w:numPr>
      <w:tabs>
        <w:tab w:val="left" w:pos="851"/>
        <w:tab w:val="left" w:pos="1134"/>
      </w:tabs>
      <w:spacing w:before="180" w:line="288" w:lineRule="auto"/>
      <w:jc w:val="both"/>
    </w:pPr>
    <w:rPr>
      <w:rFonts w:cs="Times New Roman"/>
      <w:bCs/>
      <w:i w:val="0"/>
      <w:color w:val="C00000"/>
      <w:sz w:val="22"/>
      <w:szCs w:val="22"/>
      <w:lang w:eastAsia="en-US"/>
    </w:rPr>
  </w:style>
  <w:style w:type="character" w:customStyle="1" w:styleId="apple-converted-space">
    <w:name w:val="apple-converted-space"/>
    <w:basedOn w:val="Domylnaczcionkaakapitu"/>
    <w:rsid w:val="00230823"/>
  </w:style>
  <w:style w:type="character" w:styleId="Pogrubienie">
    <w:name w:val="Strong"/>
    <w:uiPriority w:val="22"/>
    <w:qFormat/>
    <w:rsid w:val="00230823"/>
    <w:rPr>
      <w:b/>
      <w:bCs/>
    </w:rPr>
  </w:style>
  <w:style w:type="character" w:customStyle="1" w:styleId="EquationCaption">
    <w:name w:val="_Equation Caption"/>
    <w:rsid w:val="00230823"/>
  </w:style>
  <w:style w:type="character" w:customStyle="1" w:styleId="highlightedsearchterm">
    <w:name w:val="highlightedsearchterm"/>
    <w:basedOn w:val="Domylnaczcionkaakapitu"/>
    <w:rsid w:val="00230823"/>
  </w:style>
  <w:style w:type="paragraph" w:customStyle="1" w:styleId="Tekstpodstawowy32">
    <w:name w:val="Tekst podstawowy 32"/>
    <w:basedOn w:val="Normalny"/>
    <w:rsid w:val="00230823"/>
    <w:pPr>
      <w:widowControl w:val="0"/>
      <w:jc w:val="both"/>
    </w:pPr>
    <w:rPr>
      <w:spacing w:val="-5"/>
      <w:szCs w:val="20"/>
    </w:rPr>
  </w:style>
  <w:style w:type="paragraph" w:customStyle="1" w:styleId="ListParagraph1">
    <w:name w:val="List Paragraph1"/>
    <w:basedOn w:val="Normalny"/>
    <w:rsid w:val="00230823"/>
    <w:pPr>
      <w:suppressAutoHyphens/>
      <w:spacing w:after="200" w:line="276" w:lineRule="auto"/>
      <w:ind w:left="720" w:firstLine="0"/>
    </w:pPr>
    <w:rPr>
      <w:rFonts w:ascii="Corbel" w:hAnsi="Corbel" w:cs="Calibri"/>
      <w:szCs w:val="22"/>
      <w:lang w:val="pt-PT" w:eastAsia="ar-SA"/>
    </w:rPr>
  </w:style>
  <w:style w:type="paragraph" w:customStyle="1" w:styleId="Tekstpodstawowy33">
    <w:name w:val="Tekst podstawowy 33"/>
    <w:basedOn w:val="Normalny"/>
    <w:rsid w:val="00382172"/>
    <w:pPr>
      <w:widowControl w:val="0"/>
      <w:spacing w:line="360" w:lineRule="auto"/>
      <w:ind w:firstLine="0"/>
      <w:jc w:val="both"/>
    </w:pPr>
    <w:rPr>
      <w:rFonts w:ascii="Times New Roman" w:hAnsi="Times New Roman"/>
      <w:spacing w:val="-5"/>
      <w:sz w:val="20"/>
      <w:szCs w:val="20"/>
    </w:rPr>
  </w:style>
  <w:style w:type="paragraph" w:styleId="Poprawka">
    <w:name w:val="Revision"/>
    <w:hidden/>
    <w:uiPriority w:val="99"/>
    <w:semiHidden/>
    <w:rsid w:val="00671211"/>
    <w:rPr>
      <w:rFonts w:ascii="Arial" w:hAnsi="Arial"/>
      <w:sz w:val="22"/>
      <w:szCs w:val="24"/>
    </w:rPr>
  </w:style>
  <w:style w:type="paragraph" w:customStyle="1" w:styleId="NormalnyNEDE">
    <w:name w:val="Normalny_NEDE"/>
    <w:basedOn w:val="Normalny"/>
    <w:link w:val="NormalnyNEDEZnak"/>
    <w:qFormat/>
    <w:rsid w:val="007C072D"/>
    <w:pPr>
      <w:spacing w:after="60" w:line="288" w:lineRule="auto"/>
      <w:ind w:firstLine="425"/>
      <w:jc w:val="both"/>
    </w:pPr>
    <w:rPr>
      <w:rFonts w:ascii="Tahoma" w:eastAsia="Calibri" w:hAnsi="Tahoma"/>
      <w:sz w:val="20"/>
      <w:szCs w:val="20"/>
      <w:lang w:val="x-none" w:eastAsia="en-US"/>
    </w:rPr>
  </w:style>
  <w:style w:type="character" w:customStyle="1" w:styleId="NormalnyNEDEZnak">
    <w:name w:val="Normalny_NEDE Znak"/>
    <w:link w:val="NormalnyNEDE"/>
    <w:rsid w:val="007C072D"/>
    <w:rPr>
      <w:rFonts w:ascii="Tahoma" w:eastAsia="Calibri" w:hAnsi="Tahoma" w:cs="Tahoma"/>
      <w:lang w:eastAsia="en-US"/>
    </w:rPr>
  </w:style>
  <w:style w:type="paragraph" w:customStyle="1" w:styleId="rdo">
    <w:name w:val="Źródło"/>
    <w:basedOn w:val="Normalny"/>
    <w:next w:val="Normalny"/>
    <w:link w:val="rdoZnak"/>
    <w:qFormat/>
    <w:rsid w:val="007C072D"/>
    <w:pPr>
      <w:spacing w:before="120" w:after="360" w:line="240" w:lineRule="auto"/>
      <w:ind w:firstLine="0"/>
      <w:jc w:val="both"/>
    </w:pPr>
    <w:rPr>
      <w:rFonts w:ascii="Times New Roman" w:hAnsi="Times New Roman"/>
      <w:b/>
      <w:i/>
      <w:color w:val="632423"/>
      <w:sz w:val="16"/>
      <w:lang w:val="x-none" w:eastAsia="x-none"/>
    </w:rPr>
  </w:style>
  <w:style w:type="character" w:customStyle="1" w:styleId="rdoZnak">
    <w:name w:val="Źródło Znak"/>
    <w:link w:val="rdo"/>
    <w:rsid w:val="007C072D"/>
    <w:rPr>
      <w:b/>
      <w:i/>
      <w:color w:val="632423"/>
      <w:sz w:val="16"/>
      <w:szCs w:val="24"/>
    </w:rPr>
  </w:style>
  <w:style w:type="paragraph" w:customStyle="1" w:styleId="LegendaNEDE">
    <w:name w:val="Legenda_NEDE"/>
    <w:basedOn w:val="Legenda"/>
    <w:link w:val="LegendaNEDEZnak"/>
    <w:qFormat/>
    <w:rsid w:val="007C072D"/>
    <w:pPr>
      <w:keepNext w:val="0"/>
    </w:pPr>
    <w:rPr>
      <w:bCs/>
      <w:color w:val="365F91"/>
      <w:spacing w:val="0"/>
      <w:sz w:val="20"/>
      <w:szCs w:val="20"/>
    </w:rPr>
  </w:style>
  <w:style w:type="character" w:customStyle="1" w:styleId="LegendaNEDEZnak">
    <w:name w:val="Legenda_NEDE Znak"/>
    <w:link w:val="LegendaNEDE"/>
    <w:rsid w:val="007C072D"/>
    <w:rPr>
      <w:rFonts w:ascii="Tahoma" w:hAnsi="Tahoma" w:cs="Tahoma"/>
      <w:b/>
      <w:bCs/>
      <w:color w:val="365F91"/>
    </w:rPr>
  </w:style>
  <w:style w:type="character" w:customStyle="1" w:styleId="tytul">
    <w:name w:val="tytul"/>
    <w:rsid w:val="007C072D"/>
  </w:style>
  <w:style w:type="character" w:customStyle="1" w:styleId="AkapitzlistZnak">
    <w:name w:val="Akapit z listą Znak"/>
    <w:rsid w:val="007C072D"/>
    <w:rPr>
      <w:rFonts w:ascii="Calibri" w:eastAsia="Calibri" w:hAnsi="Calibri" w:cs="Times New Roman"/>
      <w:lang w:eastAsia="pl-PL"/>
    </w:rPr>
  </w:style>
  <w:style w:type="character" w:customStyle="1" w:styleId="Zakotwiczenieprzypisudolnego">
    <w:name w:val="Zakotwiczenie przypisu dolnego"/>
    <w:rsid w:val="007C072D"/>
    <w:rPr>
      <w:vertAlign w:val="superscript"/>
    </w:rPr>
  </w:style>
  <w:style w:type="paragraph" w:customStyle="1" w:styleId="Tretekstu">
    <w:name w:val="Treść tekstu"/>
    <w:basedOn w:val="Normalny"/>
    <w:rsid w:val="007C072D"/>
    <w:pPr>
      <w:widowControl w:val="0"/>
      <w:tabs>
        <w:tab w:val="left" w:pos="709"/>
      </w:tabs>
      <w:suppressAutoHyphens/>
      <w:spacing w:after="120" w:line="276" w:lineRule="auto"/>
      <w:ind w:firstLine="0"/>
    </w:pPr>
    <w:rPr>
      <w:rFonts w:ascii="Times New Roman" w:eastAsia="Lucida Sans Unicode" w:hAnsi="Times New Roman" w:cs="Mangal"/>
      <w:color w:val="00000A"/>
      <w:sz w:val="24"/>
      <w:lang w:eastAsia="zh-CN" w:bidi="hi-IN"/>
    </w:rPr>
  </w:style>
  <w:style w:type="paragraph" w:customStyle="1" w:styleId="Akapitzlist1">
    <w:name w:val="Akapit z listą1"/>
    <w:basedOn w:val="Normalny"/>
    <w:rsid w:val="007C072D"/>
    <w:pPr>
      <w:spacing w:line="240" w:lineRule="auto"/>
      <w:ind w:left="720" w:firstLine="0"/>
      <w:contextualSpacing/>
    </w:pPr>
    <w:rPr>
      <w:rFonts w:ascii="Tms Rmn" w:eastAsia="Calibri" w:hAnsi="Tms Rmn"/>
      <w:sz w:val="20"/>
      <w:szCs w:val="20"/>
    </w:rPr>
  </w:style>
  <w:style w:type="character" w:customStyle="1" w:styleId="TekstprzypisudolnegoZnak1">
    <w:name w:val="Tekst przypisu dolnego Znak1"/>
    <w:aliases w:val="Podrozdział Znak1,Footnote Znak1,Podrozdzia3 Znak1,-E Fuﬂnotentext Znak1,Fuﬂnotentext Ursprung Znak1,footnote text Znak1,Fußnotentext Ursprung Znak1,-E Fußnotentext Znak1,Fußnote Znak1,Footnote text Znak1"/>
    <w:semiHidden/>
    <w:rsid w:val="00D8648F"/>
    <w:rPr>
      <w:lang w:eastAsia="en-US"/>
    </w:rPr>
  </w:style>
  <w:style w:type="character" w:customStyle="1" w:styleId="Tekstpodstawowy3Znak1">
    <w:name w:val="Tekst podstawowy 3 Znak1"/>
    <w:aliases w:val="tekst w tabeli Znak1"/>
    <w:semiHidden/>
    <w:rsid w:val="00D8648F"/>
    <w:rPr>
      <w:sz w:val="16"/>
      <w:szCs w:val="16"/>
      <w:lang w:eastAsia="en-US"/>
    </w:rPr>
  </w:style>
  <w:style w:type="character" w:customStyle="1" w:styleId="LegendaZnak1">
    <w:name w:val="Legenda Znak1"/>
    <w:aliases w:val="Legenda Znak Znak Znak Znak2,Legenda Znak Znak Znak2,Legenda Znak Znak Znak Znak Znak,Legenda Znak Znak Znak Znak Znak Znak Znak2,Legenda Znak Znak Znak Znak Znak Znak Znak Znak,Legenda Znak Znak Znak Znak Znak Znak Znak Znak Znak Z Znak"/>
    <w:link w:val="Legenda"/>
    <w:locked/>
    <w:rsid w:val="00B67027"/>
    <w:rPr>
      <w:rFonts w:ascii="Tahoma" w:hAnsi="Tahoma" w:cs="Tahoma"/>
      <w:b/>
      <w:spacing w:val="-2"/>
      <w:sz w:val="22"/>
      <w:szCs w:val="22"/>
    </w:rPr>
  </w:style>
  <w:style w:type="character" w:customStyle="1" w:styleId="WW8Num38z2">
    <w:name w:val="WW8Num38z2"/>
    <w:qFormat/>
    <w:rsid w:val="002D2F34"/>
  </w:style>
  <w:style w:type="paragraph" w:customStyle="1" w:styleId="TableParagraph">
    <w:name w:val="Table Paragraph"/>
    <w:basedOn w:val="Normalny"/>
    <w:uiPriority w:val="1"/>
    <w:qFormat/>
    <w:rsid w:val="00D73558"/>
    <w:pPr>
      <w:widowControl w:val="0"/>
      <w:spacing w:line="240" w:lineRule="auto"/>
      <w:ind w:firstLine="0"/>
    </w:pPr>
    <w:rPr>
      <w:rFonts w:ascii="Calibri" w:eastAsia="Calibri" w:hAnsi="Calibri"/>
      <w:szCs w:val="22"/>
      <w:lang w:val="en-US" w:eastAsia="en-US"/>
    </w:rPr>
  </w:style>
  <w:style w:type="table" w:customStyle="1" w:styleId="TableNormal">
    <w:name w:val="Table Normal"/>
    <w:uiPriority w:val="2"/>
    <w:semiHidden/>
    <w:unhideWhenUsed/>
    <w:qFormat/>
    <w:rsid w:val="003513B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3984">
      <w:bodyDiv w:val="1"/>
      <w:marLeft w:val="0"/>
      <w:marRight w:val="0"/>
      <w:marTop w:val="0"/>
      <w:marBottom w:val="0"/>
      <w:divBdr>
        <w:top w:val="none" w:sz="0" w:space="0" w:color="auto"/>
        <w:left w:val="none" w:sz="0" w:space="0" w:color="auto"/>
        <w:bottom w:val="none" w:sz="0" w:space="0" w:color="auto"/>
        <w:right w:val="none" w:sz="0" w:space="0" w:color="auto"/>
      </w:divBdr>
    </w:div>
    <w:div w:id="26492142">
      <w:bodyDiv w:val="1"/>
      <w:marLeft w:val="0"/>
      <w:marRight w:val="0"/>
      <w:marTop w:val="0"/>
      <w:marBottom w:val="0"/>
      <w:divBdr>
        <w:top w:val="none" w:sz="0" w:space="0" w:color="auto"/>
        <w:left w:val="none" w:sz="0" w:space="0" w:color="auto"/>
        <w:bottom w:val="none" w:sz="0" w:space="0" w:color="auto"/>
        <w:right w:val="none" w:sz="0" w:space="0" w:color="auto"/>
      </w:divBdr>
    </w:div>
    <w:div w:id="64030655">
      <w:bodyDiv w:val="1"/>
      <w:marLeft w:val="0"/>
      <w:marRight w:val="0"/>
      <w:marTop w:val="0"/>
      <w:marBottom w:val="0"/>
      <w:divBdr>
        <w:top w:val="none" w:sz="0" w:space="0" w:color="auto"/>
        <w:left w:val="none" w:sz="0" w:space="0" w:color="auto"/>
        <w:bottom w:val="none" w:sz="0" w:space="0" w:color="auto"/>
        <w:right w:val="none" w:sz="0" w:space="0" w:color="auto"/>
      </w:divBdr>
    </w:div>
    <w:div w:id="101150910">
      <w:bodyDiv w:val="1"/>
      <w:marLeft w:val="0"/>
      <w:marRight w:val="0"/>
      <w:marTop w:val="0"/>
      <w:marBottom w:val="0"/>
      <w:divBdr>
        <w:top w:val="none" w:sz="0" w:space="0" w:color="auto"/>
        <w:left w:val="none" w:sz="0" w:space="0" w:color="auto"/>
        <w:bottom w:val="none" w:sz="0" w:space="0" w:color="auto"/>
        <w:right w:val="none" w:sz="0" w:space="0" w:color="auto"/>
      </w:divBdr>
    </w:div>
    <w:div w:id="108939032">
      <w:bodyDiv w:val="1"/>
      <w:marLeft w:val="0"/>
      <w:marRight w:val="0"/>
      <w:marTop w:val="0"/>
      <w:marBottom w:val="0"/>
      <w:divBdr>
        <w:top w:val="none" w:sz="0" w:space="0" w:color="auto"/>
        <w:left w:val="none" w:sz="0" w:space="0" w:color="auto"/>
        <w:bottom w:val="none" w:sz="0" w:space="0" w:color="auto"/>
        <w:right w:val="none" w:sz="0" w:space="0" w:color="auto"/>
      </w:divBdr>
    </w:div>
    <w:div w:id="110057515">
      <w:bodyDiv w:val="1"/>
      <w:marLeft w:val="0"/>
      <w:marRight w:val="0"/>
      <w:marTop w:val="0"/>
      <w:marBottom w:val="0"/>
      <w:divBdr>
        <w:top w:val="none" w:sz="0" w:space="0" w:color="auto"/>
        <w:left w:val="none" w:sz="0" w:space="0" w:color="auto"/>
        <w:bottom w:val="none" w:sz="0" w:space="0" w:color="auto"/>
        <w:right w:val="none" w:sz="0" w:space="0" w:color="auto"/>
      </w:divBdr>
    </w:div>
    <w:div w:id="120727137">
      <w:bodyDiv w:val="1"/>
      <w:marLeft w:val="0"/>
      <w:marRight w:val="0"/>
      <w:marTop w:val="0"/>
      <w:marBottom w:val="0"/>
      <w:divBdr>
        <w:top w:val="none" w:sz="0" w:space="0" w:color="auto"/>
        <w:left w:val="none" w:sz="0" w:space="0" w:color="auto"/>
        <w:bottom w:val="none" w:sz="0" w:space="0" w:color="auto"/>
        <w:right w:val="none" w:sz="0" w:space="0" w:color="auto"/>
      </w:divBdr>
    </w:div>
    <w:div w:id="134107216">
      <w:bodyDiv w:val="1"/>
      <w:marLeft w:val="0"/>
      <w:marRight w:val="0"/>
      <w:marTop w:val="0"/>
      <w:marBottom w:val="0"/>
      <w:divBdr>
        <w:top w:val="none" w:sz="0" w:space="0" w:color="auto"/>
        <w:left w:val="none" w:sz="0" w:space="0" w:color="auto"/>
        <w:bottom w:val="none" w:sz="0" w:space="0" w:color="auto"/>
        <w:right w:val="none" w:sz="0" w:space="0" w:color="auto"/>
      </w:divBdr>
    </w:div>
    <w:div w:id="146434375">
      <w:bodyDiv w:val="1"/>
      <w:marLeft w:val="0"/>
      <w:marRight w:val="0"/>
      <w:marTop w:val="0"/>
      <w:marBottom w:val="0"/>
      <w:divBdr>
        <w:top w:val="none" w:sz="0" w:space="0" w:color="auto"/>
        <w:left w:val="none" w:sz="0" w:space="0" w:color="auto"/>
        <w:bottom w:val="none" w:sz="0" w:space="0" w:color="auto"/>
        <w:right w:val="none" w:sz="0" w:space="0" w:color="auto"/>
      </w:divBdr>
    </w:div>
    <w:div w:id="147020895">
      <w:bodyDiv w:val="1"/>
      <w:marLeft w:val="0"/>
      <w:marRight w:val="0"/>
      <w:marTop w:val="0"/>
      <w:marBottom w:val="0"/>
      <w:divBdr>
        <w:top w:val="none" w:sz="0" w:space="0" w:color="auto"/>
        <w:left w:val="none" w:sz="0" w:space="0" w:color="auto"/>
        <w:bottom w:val="none" w:sz="0" w:space="0" w:color="auto"/>
        <w:right w:val="none" w:sz="0" w:space="0" w:color="auto"/>
      </w:divBdr>
    </w:div>
    <w:div w:id="154104988">
      <w:bodyDiv w:val="1"/>
      <w:marLeft w:val="0"/>
      <w:marRight w:val="0"/>
      <w:marTop w:val="0"/>
      <w:marBottom w:val="0"/>
      <w:divBdr>
        <w:top w:val="none" w:sz="0" w:space="0" w:color="auto"/>
        <w:left w:val="none" w:sz="0" w:space="0" w:color="auto"/>
        <w:bottom w:val="none" w:sz="0" w:space="0" w:color="auto"/>
        <w:right w:val="none" w:sz="0" w:space="0" w:color="auto"/>
      </w:divBdr>
    </w:div>
    <w:div w:id="207954438">
      <w:bodyDiv w:val="1"/>
      <w:marLeft w:val="0"/>
      <w:marRight w:val="0"/>
      <w:marTop w:val="0"/>
      <w:marBottom w:val="0"/>
      <w:divBdr>
        <w:top w:val="none" w:sz="0" w:space="0" w:color="auto"/>
        <w:left w:val="none" w:sz="0" w:space="0" w:color="auto"/>
        <w:bottom w:val="none" w:sz="0" w:space="0" w:color="auto"/>
        <w:right w:val="none" w:sz="0" w:space="0" w:color="auto"/>
      </w:divBdr>
    </w:div>
    <w:div w:id="216550800">
      <w:bodyDiv w:val="1"/>
      <w:marLeft w:val="0"/>
      <w:marRight w:val="0"/>
      <w:marTop w:val="0"/>
      <w:marBottom w:val="0"/>
      <w:divBdr>
        <w:top w:val="none" w:sz="0" w:space="0" w:color="auto"/>
        <w:left w:val="none" w:sz="0" w:space="0" w:color="auto"/>
        <w:bottom w:val="none" w:sz="0" w:space="0" w:color="auto"/>
        <w:right w:val="none" w:sz="0" w:space="0" w:color="auto"/>
      </w:divBdr>
    </w:div>
    <w:div w:id="234634440">
      <w:bodyDiv w:val="1"/>
      <w:marLeft w:val="0"/>
      <w:marRight w:val="0"/>
      <w:marTop w:val="0"/>
      <w:marBottom w:val="0"/>
      <w:divBdr>
        <w:top w:val="none" w:sz="0" w:space="0" w:color="auto"/>
        <w:left w:val="none" w:sz="0" w:space="0" w:color="auto"/>
        <w:bottom w:val="none" w:sz="0" w:space="0" w:color="auto"/>
        <w:right w:val="none" w:sz="0" w:space="0" w:color="auto"/>
      </w:divBdr>
    </w:div>
    <w:div w:id="267321926">
      <w:bodyDiv w:val="1"/>
      <w:marLeft w:val="0"/>
      <w:marRight w:val="0"/>
      <w:marTop w:val="0"/>
      <w:marBottom w:val="0"/>
      <w:divBdr>
        <w:top w:val="none" w:sz="0" w:space="0" w:color="auto"/>
        <w:left w:val="none" w:sz="0" w:space="0" w:color="auto"/>
        <w:bottom w:val="none" w:sz="0" w:space="0" w:color="auto"/>
        <w:right w:val="none" w:sz="0" w:space="0" w:color="auto"/>
      </w:divBdr>
    </w:div>
    <w:div w:id="299196173">
      <w:bodyDiv w:val="1"/>
      <w:marLeft w:val="0"/>
      <w:marRight w:val="0"/>
      <w:marTop w:val="0"/>
      <w:marBottom w:val="0"/>
      <w:divBdr>
        <w:top w:val="none" w:sz="0" w:space="0" w:color="auto"/>
        <w:left w:val="none" w:sz="0" w:space="0" w:color="auto"/>
        <w:bottom w:val="none" w:sz="0" w:space="0" w:color="auto"/>
        <w:right w:val="none" w:sz="0" w:space="0" w:color="auto"/>
      </w:divBdr>
    </w:div>
    <w:div w:id="331880508">
      <w:bodyDiv w:val="1"/>
      <w:marLeft w:val="0"/>
      <w:marRight w:val="0"/>
      <w:marTop w:val="0"/>
      <w:marBottom w:val="0"/>
      <w:divBdr>
        <w:top w:val="none" w:sz="0" w:space="0" w:color="auto"/>
        <w:left w:val="none" w:sz="0" w:space="0" w:color="auto"/>
        <w:bottom w:val="none" w:sz="0" w:space="0" w:color="auto"/>
        <w:right w:val="none" w:sz="0" w:space="0" w:color="auto"/>
      </w:divBdr>
    </w:div>
    <w:div w:id="339430024">
      <w:bodyDiv w:val="1"/>
      <w:marLeft w:val="0"/>
      <w:marRight w:val="0"/>
      <w:marTop w:val="0"/>
      <w:marBottom w:val="0"/>
      <w:divBdr>
        <w:top w:val="none" w:sz="0" w:space="0" w:color="auto"/>
        <w:left w:val="none" w:sz="0" w:space="0" w:color="auto"/>
        <w:bottom w:val="none" w:sz="0" w:space="0" w:color="auto"/>
        <w:right w:val="none" w:sz="0" w:space="0" w:color="auto"/>
      </w:divBdr>
    </w:div>
    <w:div w:id="357246079">
      <w:bodyDiv w:val="1"/>
      <w:marLeft w:val="0"/>
      <w:marRight w:val="0"/>
      <w:marTop w:val="0"/>
      <w:marBottom w:val="0"/>
      <w:divBdr>
        <w:top w:val="none" w:sz="0" w:space="0" w:color="auto"/>
        <w:left w:val="none" w:sz="0" w:space="0" w:color="auto"/>
        <w:bottom w:val="none" w:sz="0" w:space="0" w:color="auto"/>
        <w:right w:val="none" w:sz="0" w:space="0" w:color="auto"/>
      </w:divBdr>
    </w:div>
    <w:div w:id="373776956">
      <w:bodyDiv w:val="1"/>
      <w:marLeft w:val="0"/>
      <w:marRight w:val="0"/>
      <w:marTop w:val="0"/>
      <w:marBottom w:val="0"/>
      <w:divBdr>
        <w:top w:val="none" w:sz="0" w:space="0" w:color="auto"/>
        <w:left w:val="none" w:sz="0" w:space="0" w:color="auto"/>
        <w:bottom w:val="none" w:sz="0" w:space="0" w:color="auto"/>
        <w:right w:val="none" w:sz="0" w:space="0" w:color="auto"/>
      </w:divBdr>
    </w:div>
    <w:div w:id="397214773">
      <w:bodyDiv w:val="1"/>
      <w:marLeft w:val="0"/>
      <w:marRight w:val="0"/>
      <w:marTop w:val="0"/>
      <w:marBottom w:val="0"/>
      <w:divBdr>
        <w:top w:val="none" w:sz="0" w:space="0" w:color="auto"/>
        <w:left w:val="none" w:sz="0" w:space="0" w:color="auto"/>
        <w:bottom w:val="none" w:sz="0" w:space="0" w:color="auto"/>
        <w:right w:val="none" w:sz="0" w:space="0" w:color="auto"/>
      </w:divBdr>
    </w:div>
    <w:div w:id="400297744">
      <w:bodyDiv w:val="1"/>
      <w:marLeft w:val="0"/>
      <w:marRight w:val="0"/>
      <w:marTop w:val="0"/>
      <w:marBottom w:val="0"/>
      <w:divBdr>
        <w:top w:val="none" w:sz="0" w:space="0" w:color="auto"/>
        <w:left w:val="none" w:sz="0" w:space="0" w:color="auto"/>
        <w:bottom w:val="none" w:sz="0" w:space="0" w:color="auto"/>
        <w:right w:val="none" w:sz="0" w:space="0" w:color="auto"/>
      </w:divBdr>
    </w:div>
    <w:div w:id="427238767">
      <w:bodyDiv w:val="1"/>
      <w:marLeft w:val="0"/>
      <w:marRight w:val="0"/>
      <w:marTop w:val="0"/>
      <w:marBottom w:val="0"/>
      <w:divBdr>
        <w:top w:val="none" w:sz="0" w:space="0" w:color="auto"/>
        <w:left w:val="none" w:sz="0" w:space="0" w:color="auto"/>
        <w:bottom w:val="none" w:sz="0" w:space="0" w:color="auto"/>
        <w:right w:val="none" w:sz="0" w:space="0" w:color="auto"/>
      </w:divBdr>
    </w:div>
    <w:div w:id="536048793">
      <w:bodyDiv w:val="1"/>
      <w:marLeft w:val="0"/>
      <w:marRight w:val="0"/>
      <w:marTop w:val="0"/>
      <w:marBottom w:val="0"/>
      <w:divBdr>
        <w:top w:val="none" w:sz="0" w:space="0" w:color="auto"/>
        <w:left w:val="none" w:sz="0" w:space="0" w:color="auto"/>
        <w:bottom w:val="none" w:sz="0" w:space="0" w:color="auto"/>
        <w:right w:val="none" w:sz="0" w:space="0" w:color="auto"/>
      </w:divBdr>
    </w:div>
    <w:div w:id="549347034">
      <w:bodyDiv w:val="1"/>
      <w:marLeft w:val="0"/>
      <w:marRight w:val="0"/>
      <w:marTop w:val="0"/>
      <w:marBottom w:val="0"/>
      <w:divBdr>
        <w:top w:val="none" w:sz="0" w:space="0" w:color="auto"/>
        <w:left w:val="none" w:sz="0" w:space="0" w:color="auto"/>
        <w:bottom w:val="none" w:sz="0" w:space="0" w:color="auto"/>
        <w:right w:val="none" w:sz="0" w:space="0" w:color="auto"/>
      </w:divBdr>
    </w:div>
    <w:div w:id="557088138">
      <w:bodyDiv w:val="1"/>
      <w:marLeft w:val="0"/>
      <w:marRight w:val="0"/>
      <w:marTop w:val="0"/>
      <w:marBottom w:val="0"/>
      <w:divBdr>
        <w:top w:val="none" w:sz="0" w:space="0" w:color="auto"/>
        <w:left w:val="none" w:sz="0" w:space="0" w:color="auto"/>
        <w:bottom w:val="none" w:sz="0" w:space="0" w:color="auto"/>
        <w:right w:val="none" w:sz="0" w:space="0" w:color="auto"/>
      </w:divBdr>
    </w:div>
    <w:div w:id="604653531">
      <w:bodyDiv w:val="1"/>
      <w:marLeft w:val="0"/>
      <w:marRight w:val="0"/>
      <w:marTop w:val="0"/>
      <w:marBottom w:val="0"/>
      <w:divBdr>
        <w:top w:val="none" w:sz="0" w:space="0" w:color="auto"/>
        <w:left w:val="none" w:sz="0" w:space="0" w:color="auto"/>
        <w:bottom w:val="none" w:sz="0" w:space="0" w:color="auto"/>
        <w:right w:val="none" w:sz="0" w:space="0" w:color="auto"/>
      </w:divBdr>
    </w:div>
    <w:div w:id="605581387">
      <w:bodyDiv w:val="1"/>
      <w:marLeft w:val="0"/>
      <w:marRight w:val="0"/>
      <w:marTop w:val="0"/>
      <w:marBottom w:val="0"/>
      <w:divBdr>
        <w:top w:val="none" w:sz="0" w:space="0" w:color="auto"/>
        <w:left w:val="none" w:sz="0" w:space="0" w:color="auto"/>
        <w:bottom w:val="none" w:sz="0" w:space="0" w:color="auto"/>
        <w:right w:val="none" w:sz="0" w:space="0" w:color="auto"/>
      </w:divBdr>
    </w:div>
    <w:div w:id="614560101">
      <w:bodyDiv w:val="1"/>
      <w:marLeft w:val="0"/>
      <w:marRight w:val="0"/>
      <w:marTop w:val="0"/>
      <w:marBottom w:val="0"/>
      <w:divBdr>
        <w:top w:val="none" w:sz="0" w:space="0" w:color="auto"/>
        <w:left w:val="none" w:sz="0" w:space="0" w:color="auto"/>
        <w:bottom w:val="none" w:sz="0" w:space="0" w:color="auto"/>
        <w:right w:val="none" w:sz="0" w:space="0" w:color="auto"/>
      </w:divBdr>
    </w:div>
    <w:div w:id="614749372">
      <w:bodyDiv w:val="1"/>
      <w:marLeft w:val="0"/>
      <w:marRight w:val="0"/>
      <w:marTop w:val="0"/>
      <w:marBottom w:val="0"/>
      <w:divBdr>
        <w:top w:val="none" w:sz="0" w:space="0" w:color="auto"/>
        <w:left w:val="none" w:sz="0" w:space="0" w:color="auto"/>
        <w:bottom w:val="none" w:sz="0" w:space="0" w:color="auto"/>
        <w:right w:val="none" w:sz="0" w:space="0" w:color="auto"/>
      </w:divBdr>
    </w:div>
    <w:div w:id="635834738">
      <w:bodyDiv w:val="1"/>
      <w:marLeft w:val="0"/>
      <w:marRight w:val="0"/>
      <w:marTop w:val="0"/>
      <w:marBottom w:val="0"/>
      <w:divBdr>
        <w:top w:val="none" w:sz="0" w:space="0" w:color="auto"/>
        <w:left w:val="none" w:sz="0" w:space="0" w:color="auto"/>
        <w:bottom w:val="none" w:sz="0" w:space="0" w:color="auto"/>
        <w:right w:val="none" w:sz="0" w:space="0" w:color="auto"/>
      </w:divBdr>
    </w:div>
    <w:div w:id="641620563">
      <w:bodyDiv w:val="1"/>
      <w:marLeft w:val="0"/>
      <w:marRight w:val="0"/>
      <w:marTop w:val="0"/>
      <w:marBottom w:val="0"/>
      <w:divBdr>
        <w:top w:val="none" w:sz="0" w:space="0" w:color="auto"/>
        <w:left w:val="none" w:sz="0" w:space="0" w:color="auto"/>
        <w:bottom w:val="none" w:sz="0" w:space="0" w:color="auto"/>
        <w:right w:val="none" w:sz="0" w:space="0" w:color="auto"/>
      </w:divBdr>
    </w:div>
    <w:div w:id="642078125">
      <w:bodyDiv w:val="1"/>
      <w:marLeft w:val="0"/>
      <w:marRight w:val="0"/>
      <w:marTop w:val="0"/>
      <w:marBottom w:val="0"/>
      <w:divBdr>
        <w:top w:val="none" w:sz="0" w:space="0" w:color="auto"/>
        <w:left w:val="none" w:sz="0" w:space="0" w:color="auto"/>
        <w:bottom w:val="none" w:sz="0" w:space="0" w:color="auto"/>
        <w:right w:val="none" w:sz="0" w:space="0" w:color="auto"/>
      </w:divBdr>
    </w:div>
    <w:div w:id="642849528">
      <w:bodyDiv w:val="1"/>
      <w:marLeft w:val="0"/>
      <w:marRight w:val="0"/>
      <w:marTop w:val="0"/>
      <w:marBottom w:val="0"/>
      <w:divBdr>
        <w:top w:val="none" w:sz="0" w:space="0" w:color="auto"/>
        <w:left w:val="none" w:sz="0" w:space="0" w:color="auto"/>
        <w:bottom w:val="none" w:sz="0" w:space="0" w:color="auto"/>
        <w:right w:val="none" w:sz="0" w:space="0" w:color="auto"/>
      </w:divBdr>
    </w:div>
    <w:div w:id="664557523">
      <w:bodyDiv w:val="1"/>
      <w:marLeft w:val="0"/>
      <w:marRight w:val="0"/>
      <w:marTop w:val="0"/>
      <w:marBottom w:val="0"/>
      <w:divBdr>
        <w:top w:val="none" w:sz="0" w:space="0" w:color="auto"/>
        <w:left w:val="none" w:sz="0" w:space="0" w:color="auto"/>
        <w:bottom w:val="none" w:sz="0" w:space="0" w:color="auto"/>
        <w:right w:val="none" w:sz="0" w:space="0" w:color="auto"/>
      </w:divBdr>
    </w:div>
    <w:div w:id="668606695">
      <w:bodyDiv w:val="1"/>
      <w:marLeft w:val="0"/>
      <w:marRight w:val="0"/>
      <w:marTop w:val="0"/>
      <w:marBottom w:val="0"/>
      <w:divBdr>
        <w:top w:val="none" w:sz="0" w:space="0" w:color="auto"/>
        <w:left w:val="none" w:sz="0" w:space="0" w:color="auto"/>
        <w:bottom w:val="none" w:sz="0" w:space="0" w:color="auto"/>
        <w:right w:val="none" w:sz="0" w:space="0" w:color="auto"/>
      </w:divBdr>
    </w:div>
    <w:div w:id="672219490">
      <w:bodyDiv w:val="1"/>
      <w:marLeft w:val="0"/>
      <w:marRight w:val="0"/>
      <w:marTop w:val="0"/>
      <w:marBottom w:val="0"/>
      <w:divBdr>
        <w:top w:val="none" w:sz="0" w:space="0" w:color="auto"/>
        <w:left w:val="none" w:sz="0" w:space="0" w:color="auto"/>
        <w:bottom w:val="none" w:sz="0" w:space="0" w:color="auto"/>
        <w:right w:val="none" w:sz="0" w:space="0" w:color="auto"/>
      </w:divBdr>
    </w:div>
    <w:div w:id="673339131">
      <w:bodyDiv w:val="1"/>
      <w:marLeft w:val="0"/>
      <w:marRight w:val="0"/>
      <w:marTop w:val="0"/>
      <w:marBottom w:val="0"/>
      <w:divBdr>
        <w:top w:val="none" w:sz="0" w:space="0" w:color="auto"/>
        <w:left w:val="none" w:sz="0" w:space="0" w:color="auto"/>
        <w:bottom w:val="none" w:sz="0" w:space="0" w:color="auto"/>
        <w:right w:val="none" w:sz="0" w:space="0" w:color="auto"/>
      </w:divBdr>
    </w:div>
    <w:div w:id="679234046">
      <w:bodyDiv w:val="1"/>
      <w:marLeft w:val="0"/>
      <w:marRight w:val="0"/>
      <w:marTop w:val="0"/>
      <w:marBottom w:val="0"/>
      <w:divBdr>
        <w:top w:val="none" w:sz="0" w:space="0" w:color="auto"/>
        <w:left w:val="none" w:sz="0" w:space="0" w:color="auto"/>
        <w:bottom w:val="none" w:sz="0" w:space="0" w:color="auto"/>
        <w:right w:val="none" w:sz="0" w:space="0" w:color="auto"/>
      </w:divBdr>
    </w:div>
    <w:div w:id="681929204">
      <w:bodyDiv w:val="1"/>
      <w:marLeft w:val="0"/>
      <w:marRight w:val="0"/>
      <w:marTop w:val="0"/>
      <w:marBottom w:val="0"/>
      <w:divBdr>
        <w:top w:val="none" w:sz="0" w:space="0" w:color="auto"/>
        <w:left w:val="none" w:sz="0" w:space="0" w:color="auto"/>
        <w:bottom w:val="none" w:sz="0" w:space="0" w:color="auto"/>
        <w:right w:val="none" w:sz="0" w:space="0" w:color="auto"/>
      </w:divBdr>
    </w:div>
    <w:div w:id="688289571">
      <w:bodyDiv w:val="1"/>
      <w:marLeft w:val="0"/>
      <w:marRight w:val="0"/>
      <w:marTop w:val="0"/>
      <w:marBottom w:val="0"/>
      <w:divBdr>
        <w:top w:val="none" w:sz="0" w:space="0" w:color="auto"/>
        <w:left w:val="none" w:sz="0" w:space="0" w:color="auto"/>
        <w:bottom w:val="none" w:sz="0" w:space="0" w:color="auto"/>
        <w:right w:val="none" w:sz="0" w:space="0" w:color="auto"/>
      </w:divBdr>
    </w:div>
    <w:div w:id="709958053">
      <w:bodyDiv w:val="1"/>
      <w:marLeft w:val="0"/>
      <w:marRight w:val="0"/>
      <w:marTop w:val="0"/>
      <w:marBottom w:val="0"/>
      <w:divBdr>
        <w:top w:val="none" w:sz="0" w:space="0" w:color="auto"/>
        <w:left w:val="none" w:sz="0" w:space="0" w:color="auto"/>
        <w:bottom w:val="none" w:sz="0" w:space="0" w:color="auto"/>
        <w:right w:val="none" w:sz="0" w:space="0" w:color="auto"/>
      </w:divBdr>
    </w:div>
    <w:div w:id="719019011">
      <w:bodyDiv w:val="1"/>
      <w:marLeft w:val="0"/>
      <w:marRight w:val="0"/>
      <w:marTop w:val="0"/>
      <w:marBottom w:val="0"/>
      <w:divBdr>
        <w:top w:val="none" w:sz="0" w:space="0" w:color="auto"/>
        <w:left w:val="none" w:sz="0" w:space="0" w:color="auto"/>
        <w:bottom w:val="none" w:sz="0" w:space="0" w:color="auto"/>
        <w:right w:val="none" w:sz="0" w:space="0" w:color="auto"/>
      </w:divBdr>
    </w:div>
    <w:div w:id="721370195">
      <w:bodyDiv w:val="1"/>
      <w:marLeft w:val="0"/>
      <w:marRight w:val="0"/>
      <w:marTop w:val="0"/>
      <w:marBottom w:val="0"/>
      <w:divBdr>
        <w:top w:val="none" w:sz="0" w:space="0" w:color="auto"/>
        <w:left w:val="none" w:sz="0" w:space="0" w:color="auto"/>
        <w:bottom w:val="none" w:sz="0" w:space="0" w:color="auto"/>
        <w:right w:val="none" w:sz="0" w:space="0" w:color="auto"/>
      </w:divBdr>
    </w:div>
    <w:div w:id="732045633">
      <w:bodyDiv w:val="1"/>
      <w:marLeft w:val="0"/>
      <w:marRight w:val="0"/>
      <w:marTop w:val="0"/>
      <w:marBottom w:val="0"/>
      <w:divBdr>
        <w:top w:val="none" w:sz="0" w:space="0" w:color="auto"/>
        <w:left w:val="none" w:sz="0" w:space="0" w:color="auto"/>
        <w:bottom w:val="none" w:sz="0" w:space="0" w:color="auto"/>
        <w:right w:val="none" w:sz="0" w:space="0" w:color="auto"/>
      </w:divBdr>
    </w:div>
    <w:div w:id="738359870">
      <w:bodyDiv w:val="1"/>
      <w:marLeft w:val="0"/>
      <w:marRight w:val="0"/>
      <w:marTop w:val="0"/>
      <w:marBottom w:val="0"/>
      <w:divBdr>
        <w:top w:val="none" w:sz="0" w:space="0" w:color="auto"/>
        <w:left w:val="none" w:sz="0" w:space="0" w:color="auto"/>
        <w:bottom w:val="none" w:sz="0" w:space="0" w:color="auto"/>
        <w:right w:val="none" w:sz="0" w:space="0" w:color="auto"/>
      </w:divBdr>
    </w:div>
    <w:div w:id="744492243">
      <w:bodyDiv w:val="1"/>
      <w:marLeft w:val="0"/>
      <w:marRight w:val="0"/>
      <w:marTop w:val="0"/>
      <w:marBottom w:val="0"/>
      <w:divBdr>
        <w:top w:val="none" w:sz="0" w:space="0" w:color="auto"/>
        <w:left w:val="none" w:sz="0" w:space="0" w:color="auto"/>
        <w:bottom w:val="none" w:sz="0" w:space="0" w:color="auto"/>
        <w:right w:val="none" w:sz="0" w:space="0" w:color="auto"/>
      </w:divBdr>
    </w:div>
    <w:div w:id="750544564">
      <w:bodyDiv w:val="1"/>
      <w:marLeft w:val="0"/>
      <w:marRight w:val="0"/>
      <w:marTop w:val="0"/>
      <w:marBottom w:val="0"/>
      <w:divBdr>
        <w:top w:val="none" w:sz="0" w:space="0" w:color="auto"/>
        <w:left w:val="none" w:sz="0" w:space="0" w:color="auto"/>
        <w:bottom w:val="none" w:sz="0" w:space="0" w:color="auto"/>
        <w:right w:val="none" w:sz="0" w:space="0" w:color="auto"/>
      </w:divBdr>
    </w:div>
    <w:div w:id="751512963">
      <w:bodyDiv w:val="1"/>
      <w:marLeft w:val="0"/>
      <w:marRight w:val="0"/>
      <w:marTop w:val="0"/>
      <w:marBottom w:val="0"/>
      <w:divBdr>
        <w:top w:val="none" w:sz="0" w:space="0" w:color="auto"/>
        <w:left w:val="none" w:sz="0" w:space="0" w:color="auto"/>
        <w:bottom w:val="none" w:sz="0" w:space="0" w:color="auto"/>
        <w:right w:val="none" w:sz="0" w:space="0" w:color="auto"/>
      </w:divBdr>
    </w:div>
    <w:div w:id="772553091">
      <w:bodyDiv w:val="1"/>
      <w:marLeft w:val="0"/>
      <w:marRight w:val="0"/>
      <w:marTop w:val="0"/>
      <w:marBottom w:val="0"/>
      <w:divBdr>
        <w:top w:val="none" w:sz="0" w:space="0" w:color="auto"/>
        <w:left w:val="none" w:sz="0" w:space="0" w:color="auto"/>
        <w:bottom w:val="none" w:sz="0" w:space="0" w:color="auto"/>
        <w:right w:val="none" w:sz="0" w:space="0" w:color="auto"/>
      </w:divBdr>
    </w:div>
    <w:div w:id="773133365">
      <w:bodyDiv w:val="1"/>
      <w:marLeft w:val="0"/>
      <w:marRight w:val="0"/>
      <w:marTop w:val="0"/>
      <w:marBottom w:val="0"/>
      <w:divBdr>
        <w:top w:val="none" w:sz="0" w:space="0" w:color="auto"/>
        <w:left w:val="none" w:sz="0" w:space="0" w:color="auto"/>
        <w:bottom w:val="none" w:sz="0" w:space="0" w:color="auto"/>
        <w:right w:val="none" w:sz="0" w:space="0" w:color="auto"/>
      </w:divBdr>
    </w:div>
    <w:div w:id="786461026">
      <w:bodyDiv w:val="1"/>
      <w:marLeft w:val="0"/>
      <w:marRight w:val="0"/>
      <w:marTop w:val="0"/>
      <w:marBottom w:val="0"/>
      <w:divBdr>
        <w:top w:val="none" w:sz="0" w:space="0" w:color="auto"/>
        <w:left w:val="none" w:sz="0" w:space="0" w:color="auto"/>
        <w:bottom w:val="none" w:sz="0" w:space="0" w:color="auto"/>
        <w:right w:val="none" w:sz="0" w:space="0" w:color="auto"/>
      </w:divBdr>
    </w:div>
    <w:div w:id="797457333">
      <w:bodyDiv w:val="1"/>
      <w:marLeft w:val="0"/>
      <w:marRight w:val="0"/>
      <w:marTop w:val="0"/>
      <w:marBottom w:val="0"/>
      <w:divBdr>
        <w:top w:val="none" w:sz="0" w:space="0" w:color="auto"/>
        <w:left w:val="none" w:sz="0" w:space="0" w:color="auto"/>
        <w:bottom w:val="none" w:sz="0" w:space="0" w:color="auto"/>
        <w:right w:val="none" w:sz="0" w:space="0" w:color="auto"/>
      </w:divBdr>
    </w:div>
    <w:div w:id="835267872">
      <w:bodyDiv w:val="1"/>
      <w:marLeft w:val="0"/>
      <w:marRight w:val="0"/>
      <w:marTop w:val="0"/>
      <w:marBottom w:val="0"/>
      <w:divBdr>
        <w:top w:val="none" w:sz="0" w:space="0" w:color="auto"/>
        <w:left w:val="none" w:sz="0" w:space="0" w:color="auto"/>
        <w:bottom w:val="none" w:sz="0" w:space="0" w:color="auto"/>
        <w:right w:val="none" w:sz="0" w:space="0" w:color="auto"/>
      </w:divBdr>
    </w:div>
    <w:div w:id="840894111">
      <w:bodyDiv w:val="1"/>
      <w:marLeft w:val="0"/>
      <w:marRight w:val="0"/>
      <w:marTop w:val="0"/>
      <w:marBottom w:val="0"/>
      <w:divBdr>
        <w:top w:val="none" w:sz="0" w:space="0" w:color="auto"/>
        <w:left w:val="none" w:sz="0" w:space="0" w:color="auto"/>
        <w:bottom w:val="none" w:sz="0" w:space="0" w:color="auto"/>
        <w:right w:val="none" w:sz="0" w:space="0" w:color="auto"/>
      </w:divBdr>
    </w:div>
    <w:div w:id="858081770">
      <w:bodyDiv w:val="1"/>
      <w:marLeft w:val="0"/>
      <w:marRight w:val="0"/>
      <w:marTop w:val="0"/>
      <w:marBottom w:val="0"/>
      <w:divBdr>
        <w:top w:val="none" w:sz="0" w:space="0" w:color="auto"/>
        <w:left w:val="none" w:sz="0" w:space="0" w:color="auto"/>
        <w:bottom w:val="none" w:sz="0" w:space="0" w:color="auto"/>
        <w:right w:val="none" w:sz="0" w:space="0" w:color="auto"/>
      </w:divBdr>
    </w:div>
    <w:div w:id="886141661">
      <w:bodyDiv w:val="1"/>
      <w:marLeft w:val="0"/>
      <w:marRight w:val="0"/>
      <w:marTop w:val="0"/>
      <w:marBottom w:val="0"/>
      <w:divBdr>
        <w:top w:val="none" w:sz="0" w:space="0" w:color="auto"/>
        <w:left w:val="none" w:sz="0" w:space="0" w:color="auto"/>
        <w:bottom w:val="none" w:sz="0" w:space="0" w:color="auto"/>
        <w:right w:val="none" w:sz="0" w:space="0" w:color="auto"/>
      </w:divBdr>
    </w:div>
    <w:div w:id="889610169">
      <w:bodyDiv w:val="1"/>
      <w:marLeft w:val="0"/>
      <w:marRight w:val="0"/>
      <w:marTop w:val="0"/>
      <w:marBottom w:val="0"/>
      <w:divBdr>
        <w:top w:val="none" w:sz="0" w:space="0" w:color="auto"/>
        <w:left w:val="none" w:sz="0" w:space="0" w:color="auto"/>
        <w:bottom w:val="none" w:sz="0" w:space="0" w:color="auto"/>
        <w:right w:val="none" w:sz="0" w:space="0" w:color="auto"/>
      </w:divBdr>
    </w:div>
    <w:div w:id="905260968">
      <w:bodyDiv w:val="1"/>
      <w:marLeft w:val="0"/>
      <w:marRight w:val="0"/>
      <w:marTop w:val="0"/>
      <w:marBottom w:val="0"/>
      <w:divBdr>
        <w:top w:val="none" w:sz="0" w:space="0" w:color="auto"/>
        <w:left w:val="none" w:sz="0" w:space="0" w:color="auto"/>
        <w:bottom w:val="none" w:sz="0" w:space="0" w:color="auto"/>
        <w:right w:val="none" w:sz="0" w:space="0" w:color="auto"/>
      </w:divBdr>
    </w:div>
    <w:div w:id="939021008">
      <w:bodyDiv w:val="1"/>
      <w:marLeft w:val="0"/>
      <w:marRight w:val="0"/>
      <w:marTop w:val="0"/>
      <w:marBottom w:val="0"/>
      <w:divBdr>
        <w:top w:val="none" w:sz="0" w:space="0" w:color="auto"/>
        <w:left w:val="none" w:sz="0" w:space="0" w:color="auto"/>
        <w:bottom w:val="none" w:sz="0" w:space="0" w:color="auto"/>
        <w:right w:val="none" w:sz="0" w:space="0" w:color="auto"/>
      </w:divBdr>
    </w:div>
    <w:div w:id="965697704">
      <w:bodyDiv w:val="1"/>
      <w:marLeft w:val="0"/>
      <w:marRight w:val="0"/>
      <w:marTop w:val="0"/>
      <w:marBottom w:val="0"/>
      <w:divBdr>
        <w:top w:val="none" w:sz="0" w:space="0" w:color="auto"/>
        <w:left w:val="none" w:sz="0" w:space="0" w:color="auto"/>
        <w:bottom w:val="none" w:sz="0" w:space="0" w:color="auto"/>
        <w:right w:val="none" w:sz="0" w:space="0" w:color="auto"/>
      </w:divBdr>
    </w:div>
    <w:div w:id="966132260">
      <w:bodyDiv w:val="1"/>
      <w:marLeft w:val="0"/>
      <w:marRight w:val="0"/>
      <w:marTop w:val="0"/>
      <w:marBottom w:val="0"/>
      <w:divBdr>
        <w:top w:val="none" w:sz="0" w:space="0" w:color="auto"/>
        <w:left w:val="none" w:sz="0" w:space="0" w:color="auto"/>
        <w:bottom w:val="none" w:sz="0" w:space="0" w:color="auto"/>
        <w:right w:val="none" w:sz="0" w:space="0" w:color="auto"/>
      </w:divBdr>
    </w:div>
    <w:div w:id="967664442">
      <w:bodyDiv w:val="1"/>
      <w:marLeft w:val="0"/>
      <w:marRight w:val="0"/>
      <w:marTop w:val="0"/>
      <w:marBottom w:val="0"/>
      <w:divBdr>
        <w:top w:val="none" w:sz="0" w:space="0" w:color="auto"/>
        <w:left w:val="none" w:sz="0" w:space="0" w:color="auto"/>
        <w:bottom w:val="none" w:sz="0" w:space="0" w:color="auto"/>
        <w:right w:val="none" w:sz="0" w:space="0" w:color="auto"/>
      </w:divBdr>
    </w:div>
    <w:div w:id="977805754">
      <w:bodyDiv w:val="1"/>
      <w:marLeft w:val="0"/>
      <w:marRight w:val="0"/>
      <w:marTop w:val="0"/>
      <w:marBottom w:val="0"/>
      <w:divBdr>
        <w:top w:val="none" w:sz="0" w:space="0" w:color="auto"/>
        <w:left w:val="none" w:sz="0" w:space="0" w:color="auto"/>
        <w:bottom w:val="none" w:sz="0" w:space="0" w:color="auto"/>
        <w:right w:val="none" w:sz="0" w:space="0" w:color="auto"/>
      </w:divBdr>
    </w:div>
    <w:div w:id="978146053">
      <w:bodyDiv w:val="1"/>
      <w:marLeft w:val="0"/>
      <w:marRight w:val="0"/>
      <w:marTop w:val="0"/>
      <w:marBottom w:val="0"/>
      <w:divBdr>
        <w:top w:val="none" w:sz="0" w:space="0" w:color="auto"/>
        <w:left w:val="none" w:sz="0" w:space="0" w:color="auto"/>
        <w:bottom w:val="none" w:sz="0" w:space="0" w:color="auto"/>
        <w:right w:val="none" w:sz="0" w:space="0" w:color="auto"/>
      </w:divBdr>
    </w:div>
    <w:div w:id="1005787397">
      <w:bodyDiv w:val="1"/>
      <w:marLeft w:val="0"/>
      <w:marRight w:val="0"/>
      <w:marTop w:val="0"/>
      <w:marBottom w:val="0"/>
      <w:divBdr>
        <w:top w:val="none" w:sz="0" w:space="0" w:color="auto"/>
        <w:left w:val="none" w:sz="0" w:space="0" w:color="auto"/>
        <w:bottom w:val="none" w:sz="0" w:space="0" w:color="auto"/>
        <w:right w:val="none" w:sz="0" w:space="0" w:color="auto"/>
      </w:divBdr>
    </w:div>
    <w:div w:id="1027751911">
      <w:bodyDiv w:val="1"/>
      <w:marLeft w:val="0"/>
      <w:marRight w:val="0"/>
      <w:marTop w:val="0"/>
      <w:marBottom w:val="0"/>
      <w:divBdr>
        <w:top w:val="none" w:sz="0" w:space="0" w:color="auto"/>
        <w:left w:val="none" w:sz="0" w:space="0" w:color="auto"/>
        <w:bottom w:val="none" w:sz="0" w:space="0" w:color="auto"/>
        <w:right w:val="none" w:sz="0" w:space="0" w:color="auto"/>
      </w:divBdr>
    </w:div>
    <w:div w:id="1036659234">
      <w:bodyDiv w:val="1"/>
      <w:marLeft w:val="0"/>
      <w:marRight w:val="0"/>
      <w:marTop w:val="0"/>
      <w:marBottom w:val="0"/>
      <w:divBdr>
        <w:top w:val="none" w:sz="0" w:space="0" w:color="auto"/>
        <w:left w:val="none" w:sz="0" w:space="0" w:color="auto"/>
        <w:bottom w:val="none" w:sz="0" w:space="0" w:color="auto"/>
        <w:right w:val="none" w:sz="0" w:space="0" w:color="auto"/>
      </w:divBdr>
    </w:div>
    <w:div w:id="1043361930">
      <w:bodyDiv w:val="1"/>
      <w:marLeft w:val="0"/>
      <w:marRight w:val="0"/>
      <w:marTop w:val="0"/>
      <w:marBottom w:val="0"/>
      <w:divBdr>
        <w:top w:val="none" w:sz="0" w:space="0" w:color="auto"/>
        <w:left w:val="none" w:sz="0" w:space="0" w:color="auto"/>
        <w:bottom w:val="none" w:sz="0" w:space="0" w:color="auto"/>
        <w:right w:val="none" w:sz="0" w:space="0" w:color="auto"/>
      </w:divBdr>
    </w:div>
    <w:div w:id="1051613368">
      <w:bodyDiv w:val="1"/>
      <w:marLeft w:val="0"/>
      <w:marRight w:val="0"/>
      <w:marTop w:val="0"/>
      <w:marBottom w:val="0"/>
      <w:divBdr>
        <w:top w:val="none" w:sz="0" w:space="0" w:color="auto"/>
        <w:left w:val="none" w:sz="0" w:space="0" w:color="auto"/>
        <w:bottom w:val="none" w:sz="0" w:space="0" w:color="auto"/>
        <w:right w:val="none" w:sz="0" w:space="0" w:color="auto"/>
      </w:divBdr>
    </w:div>
    <w:div w:id="1057633520">
      <w:bodyDiv w:val="1"/>
      <w:marLeft w:val="0"/>
      <w:marRight w:val="0"/>
      <w:marTop w:val="0"/>
      <w:marBottom w:val="0"/>
      <w:divBdr>
        <w:top w:val="none" w:sz="0" w:space="0" w:color="auto"/>
        <w:left w:val="none" w:sz="0" w:space="0" w:color="auto"/>
        <w:bottom w:val="none" w:sz="0" w:space="0" w:color="auto"/>
        <w:right w:val="none" w:sz="0" w:space="0" w:color="auto"/>
      </w:divBdr>
    </w:div>
    <w:div w:id="1083720273">
      <w:bodyDiv w:val="1"/>
      <w:marLeft w:val="0"/>
      <w:marRight w:val="0"/>
      <w:marTop w:val="0"/>
      <w:marBottom w:val="0"/>
      <w:divBdr>
        <w:top w:val="none" w:sz="0" w:space="0" w:color="auto"/>
        <w:left w:val="none" w:sz="0" w:space="0" w:color="auto"/>
        <w:bottom w:val="none" w:sz="0" w:space="0" w:color="auto"/>
        <w:right w:val="none" w:sz="0" w:space="0" w:color="auto"/>
      </w:divBdr>
    </w:div>
    <w:div w:id="1116681770">
      <w:bodyDiv w:val="1"/>
      <w:marLeft w:val="0"/>
      <w:marRight w:val="0"/>
      <w:marTop w:val="0"/>
      <w:marBottom w:val="0"/>
      <w:divBdr>
        <w:top w:val="none" w:sz="0" w:space="0" w:color="auto"/>
        <w:left w:val="none" w:sz="0" w:space="0" w:color="auto"/>
        <w:bottom w:val="none" w:sz="0" w:space="0" w:color="auto"/>
        <w:right w:val="none" w:sz="0" w:space="0" w:color="auto"/>
      </w:divBdr>
    </w:div>
    <w:div w:id="1131557952">
      <w:bodyDiv w:val="1"/>
      <w:marLeft w:val="0"/>
      <w:marRight w:val="0"/>
      <w:marTop w:val="0"/>
      <w:marBottom w:val="0"/>
      <w:divBdr>
        <w:top w:val="none" w:sz="0" w:space="0" w:color="auto"/>
        <w:left w:val="none" w:sz="0" w:space="0" w:color="auto"/>
        <w:bottom w:val="none" w:sz="0" w:space="0" w:color="auto"/>
        <w:right w:val="none" w:sz="0" w:space="0" w:color="auto"/>
      </w:divBdr>
    </w:div>
    <w:div w:id="1133206618">
      <w:bodyDiv w:val="1"/>
      <w:marLeft w:val="0"/>
      <w:marRight w:val="0"/>
      <w:marTop w:val="0"/>
      <w:marBottom w:val="0"/>
      <w:divBdr>
        <w:top w:val="none" w:sz="0" w:space="0" w:color="auto"/>
        <w:left w:val="none" w:sz="0" w:space="0" w:color="auto"/>
        <w:bottom w:val="none" w:sz="0" w:space="0" w:color="auto"/>
        <w:right w:val="none" w:sz="0" w:space="0" w:color="auto"/>
      </w:divBdr>
    </w:div>
    <w:div w:id="1140221972">
      <w:bodyDiv w:val="1"/>
      <w:marLeft w:val="0"/>
      <w:marRight w:val="0"/>
      <w:marTop w:val="0"/>
      <w:marBottom w:val="0"/>
      <w:divBdr>
        <w:top w:val="none" w:sz="0" w:space="0" w:color="auto"/>
        <w:left w:val="none" w:sz="0" w:space="0" w:color="auto"/>
        <w:bottom w:val="none" w:sz="0" w:space="0" w:color="auto"/>
        <w:right w:val="none" w:sz="0" w:space="0" w:color="auto"/>
      </w:divBdr>
    </w:div>
    <w:div w:id="1147631134">
      <w:bodyDiv w:val="1"/>
      <w:marLeft w:val="0"/>
      <w:marRight w:val="0"/>
      <w:marTop w:val="0"/>
      <w:marBottom w:val="0"/>
      <w:divBdr>
        <w:top w:val="none" w:sz="0" w:space="0" w:color="auto"/>
        <w:left w:val="none" w:sz="0" w:space="0" w:color="auto"/>
        <w:bottom w:val="none" w:sz="0" w:space="0" w:color="auto"/>
        <w:right w:val="none" w:sz="0" w:space="0" w:color="auto"/>
      </w:divBdr>
    </w:div>
    <w:div w:id="1157457946">
      <w:bodyDiv w:val="1"/>
      <w:marLeft w:val="0"/>
      <w:marRight w:val="0"/>
      <w:marTop w:val="0"/>
      <w:marBottom w:val="0"/>
      <w:divBdr>
        <w:top w:val="none" w:sz="0" w:space="0" w:color="auto"/>
        <w:left w:val="none" w:sz="0" w:space="0" w:color="auto"/>
        <w:bottom w:val="none" w:sz="0" w:space="0" w:color="auto"/>
        <w:right w:val="none" w:sz="0" w:space="0" w:color="auto"/>
      </w:divBdr>
    </w:div>
    <w:div w:id="1165823836">
      <w:bodyDiv w:val="1"/>
      <w:marLeft w:val="0"/>
      <w:marRight w:val="0"/>
      <w:marTop w:val="0"/>
      <w:marBottom w:val="0"/>
      <w:divBdr>
        <w:top w:val="none" w:sz="0" w:space="0" w:color="auto"/>
        <w:left w:val="none" w:sz="0" w:space="0" w:color="auto"/>
        <w:bottom w:val="none" w:sz="0" w:space="0" w:color="auto"/>
        <w:right w:val="none" w:sz="0" w:space="0" w:color="auto"/>
      </w:divBdr>
    </w:div>
    <w:div w:id="1193690139">
      <w:bodyDiv w:val="1"/>
      <w:marLeft w:val="0"/>
      <w:marRight w:val="0"/>
      <w:marTop w:val="0"/>
      <w:marBottom w:val="0"/>
      <w:divBdr>
        <w:top w:val="none" w:sz="0" w:space="0" w:color="auto"/>
        <w:left w:val="none" w:sz="0" w:space="0" w:color="auto"/>
        <w:bottom w:val="none" w:sz="0" w:space="0" w:color="auto"/>
        <w:right w:val="none" w:sz="0" w:space="0" w:color="auto"/>
      </w:divBdr>
    </w:div>
    <w:div w:id="1193805185">
      <w:bodyDiv w:val="1"/>
      <w:marLeft w:val="0"/>
      <w:marRight w:val="0"/>
      <w:marTop w:val="0"/>
      <w:marBottom w:val="0"/>
      <w:divBdr>
        <w:top w:val="none" w:sz="0" w:space="0" w:color="auto"/>
        <w:left w:val="none" w:sz="0" w:space="0" w:color="auto"/>
        <w:bottom w:val="none" w:sz="0" w:space="0" w:color="auto"/>
        <w:right w:val="none" w:sz="0" w:space="0" w:color="auto"/>
      </w:divBdr>
    </w:div>
    <w:div w:id="1194610289">
      <w:bodyDiv w:val="1"/>
      <w:marLeft w:val="0"/>
      <w:marRight w:val="0"/>
      <w:marTop w:val="0"/>
      <w:marBottom w:val="0"/>
      <w:divBdr>
        <w:top w:val="none" w:sz="0" w:space="0" w:color="auto"/>
        <w:left w:val="none" w:sz="0" w:space="0" w:color="auto"/>
        <w:bottom w:val="none" w:sz="0" w:space="0" w:color="auto"/>
        <w:right w:val="none" w:sz="0" w:space="0" w:color="auto"/>
      </w:divBdr>
    </w:div>
    <w:div w:id="1209800654">
      <w:bodyDiv w:val="1"/>
      <w:marLeft w:val="0"/>
      <w:marRight w:val="0"/>
      <w:marTop w:val="0"/>
      <w:marBottom w:val="0"/>
      <w:divBdr>
        <w:top w:val="none" w:sz="0" w:space="0" w:color="auto"/>
        <w:left w:val="none" w:sz="0" w:space="0" w:color="auto"/>
        <w:bottom w:val="none" w:sz="0" w:space="0" w:color="auto"/>
        <w:right w:val="none" w:sz="0" w:space="0" w:color="auto"/>
      </w:divBdr>
    </w:div>
    <w:div w:id="1211040838">
      <w:bodyDiv w:val="1"/>
      <w:marLeft w:val="0"/>
      <w:marRight w:val="0"/>
      <w:marTop w:val="0"/>
      <w:marBottom w:val="0"/>
      <w:divBdr>
        <w:top w:val="none" w:sz="0" w:space="0" w:color="auto"/>
        <w:left w:val="none" w:sz="0" w:space="0" w:color="auto"/>
        <w:bottom w:val="none" w:sz="0" w:space="0" w:color="auto"/>
        <w:right w:val="none" w:sz="0" w:space="0" w:color="auto"/>
      </w:divBdr>
    </w:div>
    <w:div w:id="1294336057">
      <w:bodyDiv w:val="1"/>
      <w:marLeft w:val="0"/>
      <w:marRight w:val="0"/>
      <w:marTop w:val="0"/>
      <w:marBottom w:val="0"/>
      <w:divBdr>
        <w:top w:val="none" w:sz="0" w:space="0" w:color="auto"/>
        <w:left w:val="none" w:sz="0" w:space="0" w:color="auto"/>
        <w:bottom w:val="none" w:sz="0" w:space="0" w:color="auto"/>
        <w:right w:val="none" w:sz="0" w:space="0" w:color="auto"/>
      </w:divBdr>
    </w:div>
    <w:div w:id="1321154543">
      <w:bodyDiv w:val="1"/>
      <w:marLeft w:val="0"/>
      <w:marRight w:val="0"/>
      <w:marTop w:val="0"/>
      <w:marBottom w:val="0"/>
      <w:divBdr>
        <w:top w:val="none" w:sz="0" w:space="0" w:color="auto"/>
        <w:left w:val="none" w:sz="0" w:space="0" w:color="auto"/>
        <w:bottom w:val="none" w:sz="0" w:space="0" w:color="auto"/>
        <w:right w:val="none" w:sz="0" w:space="0" w:color="auto"/>
      </w:divBdr>
    </w:div>
    <w:div w:id="1322394301">
      <w:bodyDiv w:val="1"/>
      <w:marLeft w:val="0"/>
      <w:marRight w:val="0"/>
      <w:marTop w:val="0"/>
      <w:marBottom w:val="0"/>
      <w:divBdr>
        <w:top w:val="none" w:sz="0" w:space="0" w:color="auto"/>
        <w:left w:val="none" w:sz="0" w:space="0" w:color="auto"/>
        <w:bottom w:val="none" w:sz="0" w:space="0" w:color="auto"/>
        <w:right w:val="none" w:sz="0" w:space="0" w:color="auto"/>
      </w:divBdr>
    </w:div>
    <w:div w:id="1335840050">
      <w:bodyDiv w:val="1"/>
      <w:marLeft w:val="0"/>
      <w:marRight w:val="0"/>
      <w:marTop w:val="0"/>
      <w:marBottom w:val="0"/>
      <w:divBdr>
        <w:top w:val="none" w:sz="0" w:space="0" w:color="auto"/>
        <w:left w:val="none" w:sz="0" w:space="0" w:color="auto"/>
        <w:bottom w:val="none" w:sz="0" w:space="0" w:color="auto"/>
        <w:right w:val="none" w:sz="0" w:space="0" w:color="auto"/>
      </w:divBdr>
    </w:div>
    <w:div w:id="1355889044">
      <w:bodyDiv w:val="1"/>
      <w:marLeft w:val="0"/>
      <w:marRight w:val="0"/>
      <w:marTop w:val="0"/>
      <w:marBottom w:val="0"/>
      <w:divBdr>
        <w:top w:val="none" w:sz="0" w:space="0" w:color="auto"/>
        <w:left w:val="none" w:sz="0" w:space="0" w:color="auto"/>
        <w:bottom w:val="none" w:sz="0" w:space="0" w:color="auto"/>
        <w:right w:val="none" w:sz="0" w:space="0" w:color="auto"/>
      </w:divBdr>
    </w:div>
    <w:div w:id="1358044950">
      <w:bodyDiv w:val="1"/>
      <w:marLeft w:val="0"/>
      <w:marRight w:val="0"/>
      <w:marTop w:val="0"/>
      <w:marBottom w:val="0"/>
      <w:divBdr>
        <w:top w:val="none" w:sz="0" w:space="0" w:color="auto"/>
        <w:left w:val="none" w:sz="0" w:space="0" w:color="auto"/>
        <w:bottom w:val="none" w:sz="0" w:space="0" w:color="auto"/>
        <w:right w:val="none" w:sz="0" w:space="0" w:color="auto"/>
      </w:divBdr>
    </w:div>
    <w:div w:id="1372458834">
      <w:bodyDiv w:val="1"/>
      <w:marLeft w:val="0"/>
      <w:marRight w:val="0"/>
      <w:marTop w:val="0"/>
      <w:marBottom w:val="0"/>
      <w:divBdr>
        <w:top w:val="none" w:sz="0" w:space="0" w:color="auto"/>
        <w:left w:val="none" w:sz="0" w:space="0" w:color="auto"/>
        <w:bottom w:val="none" w:sz="0" w:space="0" w:color="auto"/>
        <w:right w:val="none" w:sz="0" w:space="0" w:color="auto"/>
      </w:divBdr>
    </w:div>
    <w:div w:id="1393428862">
      <w:bodyDiv w:val="1"/>
      <w:marLeft w:val="0"/>
      <w:marRight w:val="0"/>
      <w:marTop w:val="0"/>
      <w:marBottom w:val="0"/>
      <w:divBdr>
        <w:top w:val="none" w:sz="0" w:space="0" w:color="auto"/>
        <w:left w:val="none" w:sz="0" w:space="0" w:color="auto"/>
        <w:bottom w:val="none" w:sz="0" w:space="0" w:color="auto"/>
        <w:right w:val="none" w:sz="0" w:space="0" w:color="auto"/>
      </w:divBdr>
    </w:div>
    <w:div w:id="1417558572">
      <w:bodyDiv w:val="1"/>
      <w:marLeft w:val="0"/>
      <w:marRight w:val="0"/>
      <w:marTop w:val="0"/>
      <w:marBottom w:val="0"/>
      <w:divBdr>
        <w:top w:val="none" w:sz="0" w:space="0" w:color="auto"/>
        <w:left w:val="none" w:sz="0" w:space="0" w:color="auto"/>
        <w:bottom w:val="none" w:sz="0" w:space="0" w:color="auto"/>
        <w:right w:val="none" w:sz="0" w:space="0" w:color="auto"/>
      </w:divBdr>
    </w:div>
    <w:div w:id="1435714092">
      <w:bodyDiv w:val="1"/>
      <w:marLeft w:val="0"/>
      <w:marRight w:val="0"/>
      <w:marTop w:val="0"/>
      <w:marBottom w:val="0"/>
      <w:divBdr>
        <w:top w:val="none" w:sz="0" w:space="0" w:color="auto"/>
        <w:left w:val="none" w:sz="0" w:space="0" w:color="auto"/>
        <w:bottom w:val="none" w:sz="0" w:space="0" w:color="auto"/>
        <w:right w:val="none" w:sz="0" w:space="0" w:color="auto"/>
      </w:divBdr>
    </w:div>
    <w:div w:id="1436897503">
      <w:bodyDiv w:val="1"/>
      <w:marLeft w:val="0"/>
      <w:marRight w:val="0"/>
      <w:marTop w:val="0"/>
      <w:marBottom w:val="0"/>
      <w:divBdr>
        <w:top w:val="none" w:sz="0" w:space="0" w:color="auto"/>
        <w:left w:val="none" w:sz="0" w:space="0" w:color="auto"/>
        <w:bottom w:val="none" w:sz="0" w:space="0" w:color="auto"/>
        <w:right w:val="none" w:sz="0" w:space="0" w:color="auto"/>
      </w:divBdr>
    </w:div>
    <w:div w:id="1438058704">
      <w:bodyDiv w:val="1"/>
      <w:marLeft w:val="0"/>
      <w:marRight w:val="0"/>
      <w:marTop w:val="0"/>
      <w:marBottom w:val="0"/>
      <w:divBdr>
        <w:top w:val="none" w:sz="0" w:space="0" w:color="auto"/>
        <w:left w:val="none" w:sz="0" w:space="0" w:color="auto"/>
        <w:bottom w:val="none" w:sz="0" w:space="0" w:color="auto"/>
        <w:right w:val="none" w:sz="0" w:space="0" w:color="auto"/>
      </w:divBdr>
    </w:div>
    <w:div w:id="1452285118">
      <w:bodyDiv w:val="1"/>
      <w:marLeft w:val="0"/>
      <w:marRight w:val="0"/>
      <w:marTop w:val="0"/>
      <w:marBottom w:val="0"/>
      <w:divBdr>
        <w:top w:val="none" w:sz="0" w:space="0" w:color="auto"/>
        <w:left w:val="none" w:sz="0" w:space="0" w:color="auto"/>
        <w:bottom w:val="none" w:sz="0" w:space="0" w:color="auto"/>
        <w:right w:val="none" w:sz="0" w:space="0" w:color="auto"/>
      </w:divBdr>
    </w:div>
    <w:div w:id="1459446088">
      <w:bodyDiv w:val="1"/>
      <w:marLeft w:val="0"/>
      <w:marRight w:val="0"/>
      <w:marTop w:val="0"/>
      <w:marBottom w:val="0"/>
      <w:divBdr>
        <w:top w:val="none" w:sz="0" w:space="0" w:color="auto"/>
        <w:left w:val="none" w:sz="0" w:space="0" w:color="auto"/>
        <w:bottom w:val="none" w:sz="0" w:space="0" w:color="auto"/>
        <w:right w:val="none" w:sz="0" w:space="0" w:color="auto"/>
      </w:divBdr>
    </w:div>
    <w:div w:id="1469858960">
      <w:bodyDiv w:val="1"/>
      <w:marLeft w:val="0"/>
      <w:marRight w:val="0"/>
      <w:marTop w:val="0"/>
      <w:marBottom w:val="0"/>
      <w:divBdr>
        <w:top w:val="none" w:sz="0" w:space="0" w:color="auto"/>
        <w:left w:val="none" w:sz="0" w:space="0" w:color="auto"/>
        <w:bottom w:val="none" w:sz="0" w:space="0" w:color="auto"/>
        <w:right w:val="none" w:sz="0" w:space="0" w:color="auto"/>
      </w:divBdr>
    </w:div>
    <w:div w:id="1474516470">
      <w:bodyDiv w:val="1"/>
      <w:marLeft w:val="0"/>
      <w:marRight w:val="0"/>
      <w:marTop w:val="0"/>
      <w:marBottom w:val="0"/>
      <w:divBdr>
        <w:top w:val="none" w:sz="0" w:space="0" w:color="auto"/>
        <w:left w:val="none" w:sz="0" w:space="0" w:color="auto"/>
        <w:bottom w:val="none" w:sz="0" w:space="0" w:color="auto"/>
        <w:right w:val="none" w:sz="0" w:space="0" w:color="auto"/>
      </w:divBdr>
    </w:div>
    <w:div w:id="1487940992">
      <w:bodyDiv w:val="1"/>
      <w:marLeft w:val="0"/>
      <w:marRight w:val="0"/>
      <w:marTop w:val="0"/>
      <w:marBottom w:val="0"/>
      <w:divBdr>
        <w:top w:val="none" w:sz="0" w:space="0" w:color="auto"/>
        <w:left w:val="none" w:sz="0" w:space="0" w:color="auto"/>
        <w:bottom w:val="none" w:sz="0" w:space="0" w:color="auto"/>
        <w:right w:val="none" w:sz="0" w:space="0" w:color="auto"/>
      </w:divBdr>
    </w:div>
    <w:div w:id="1527787943">
      <w:bodyDiv w:val="1"/>
      <w:marLeft w:val="0"/>
      <w:marRight w:val="0"/>
      <w:marTop w:val="0"/>
      <w:marBottom w:val="0"/>
      <w:divBdr>
        <w:top w:val="none" w:sz="0" w:space="0" w:color="auto"/>
        <w:left w:val="none" w:sz="0" w:space="0" w:color="auto"/>
        <w:bottom w:val="none" w:sz="0" w:space="0" w:color="auto"/>
        <w:right w:val="none" w:sz="0" w:space="0" w:color="auto"/>
      </w:divBdr>
    </w:div>
    <w:div w:id="1558391697">
      <w:bodyDiv w:val="1"/>
      <w:marLeft w:val="0"/>
      <w:marRight w:val="0"/>
      <w:marTop w:val="0"/>
      <w:marBottom w:val="0"/>
      <w:divBdr>
        <w:top w:val="none" w:sz="0" w:space="0" w:color="auto"/>
        <w:left w:val="none" w:sz="0" w:space="0" w:color="auto"/>
        <w:bottom w:val="none" w:sz="0" w:space="0" w:color="auto"/>
        <w:right w:val="none" w:sz="0" w:space="0" w:color="auto"/>
      </w:divBdr>
    </w:div>
    <w:div w:id="1563523729">
      <w:bodyDiv w:val="1"/>
      <w:marLeft w:val="0"/>
      <w:marRight w:val="0"/>
      <w:marTop w:val="0"/>
      <w:marBottom w:val="0"/>
      <w:divBdr>
        <w:top w:val="none" w:sz="0" w:space="0" w:color="auto"/>
        <w:left w:val="none" w:sz="0" w:space="0" w:color="auto"/>
        <w:bottom w:val="none" w:sz="0" w:space="0" w:color="auto"/>
        <w:right w:val="none" w:sz="0" w:space="0" w:color="auto"/>
      </w:divBdr>
    </w:div>
    <w:div w:id="1613049115">
      <w:bodyDiv w:val="1"/>
      <w:marLeft w:val="0"/>
      <w:marRight w:val="0"/>
      <w:marTop w:val="0"/>
      <w:marBottom w:val="0"/>
      <w:divBdr>
        <w:top w:val="none" w:sz="0" w:space="0" w:color="auto"/>
        <w:left w:val="none" w:sz="0" w:space="0" w:color="auto"/>
        <w:bottom w:val="none" w:sz="0" w:space="0" w:color="auto"/>
        <w:right w:val="none" w:sz="0" w:space="0" w:color="auto"/>
      </w:divBdr>
    </w:div>
    <w:div w:id="1618098572">
      <w:bodyDiv w:val="1"/>
      <w:marLeft w:val="0"/>
      <w:marRight w:val="0"/>
      <w:marTop w:val="0"/>
      <w:marBottom w:val="0"/>
      <w:divBdr>
        <w:top w:val="none" w:sz="0" w:space="0" w:color="auto"/>
        <w:left w:val="none" w:sz="0" w:space="0" w:color="auto"/>
        <w:bottom w:val="none" w:sz="0" w:space="0" w:color="auto"/>
        <w:right w:val="none" w:sz="0" w:space="0" w:color="auto"/>
      </w:divBdr>
    </w:div>
    <w:div w:id="1619021153">
      <w:bodyDiv w:val="1"/>
      <w:marLeft w:val="0"/>
      <w:marRight w:val="0"/>
      <w:marTop w:val="0"/>
      <w:marBottom w:val="0"/>
      <w:divBdr>
        <w:top w:val="none" w:sz="0" w:space="0" w:color="auto"/>
        <w:left w:val="none" w:sz="0" w:space="0" w:color="auto"/>
        <w:bottom w:val="none" w:sz="0" w:space="0" w:color="auto"/>
        <w:right w:val="none" w:sz="0" w:space="0" w:color="auto"/>
      </w:divBdr>
    </w:div>
    <w:div w:id="1619529557">
      <w:bodyDiv w:val="1"/>
      <w:marLeft w:val="0"/>
      <w:marRight w:val="0"/>
      <w:marTop w:val="0"/>
      <w:marBottom w:val="0"/>
      <w:divBdr>
        <w:top w:val="none" w:sz="0" w:space="0" w:color="auto"/>
        <w:left w:val="none" w:sz="0" w:space="0" w:color="auto"/>
        <w:bottom w:val="none" w:sz="0" w:space="0" w:color="auto"/>
        <w:right w:val="none" w:sz="0" w:space="0" w:color="auto"/>
      </w:divBdr>
    </w:div>
    <w:div w:id="1630630004">
      <w:bodyDiv w:val="1"/>
      <w:marLeft w:val="0"/>
      <w:marRight w:val="0"/>
      <w:marTop w:val="0"/>
      <w:marBottom w:val="0"/>
      <w:divBdr>
        <w:top w:val="none" w:sz="0" w:space="0" w:color="auto"/>
        <w:left w:val="none" w:sz="0" w:space="0" w:color="auto"/>
        <w:bottom w:val="none" w:sz="0" w:space="0" w:color="auto"/>
        <w:right w:val="none" w:sz="0" w:space="0" w:color="auto"/>
      </w:divBdr>
    </w:div>
    <w:div w:id="1642156655">
      <w:bodyDiv w:val="1"/>
      <w:marLeft w:val="0"/>
      <w:marRight w:val="0"/>
      <w:marTop w:val="0"/>
      <w:marBottom w:val="0"/>
      <w:divBdr>
        <w:top w:val="none" w:sz="0" w:space="0" w:color="auto"/>
        <w:left w:val="none" w:sz="0" w:space="0" w:color="auto"/>
        <w:bottom w:val="none" w:sz="0" w:space="0" w:color="auto"/>
        <w:right w:val="none" w:sz="0" w:space="0" w:color="auto"/>
      </w:divBdr>
    </w:div>
    <w:div w:id="1669333136">
      <w:bodyDiv w:val="1"/>
      <w:marLeft w:val="0"/>
      <w:marRight w:val="0"/>
      <w:marTop w:val="0"/>
      <w:marBottom w:val="0"/>
      <w:divBdr>
        <w:top w:val="none" w:sz="0" w:space="0" w:color="auto"/>
        <w:left w:val="none" w:sz="0" w:space="0" w:color="auto"/>
        <w:bottom w:val="none" w:sz="0" w:space="0" w:color="auto"/>
        <w:right w:val="none" w:sz="0" w:space="0" w:color="auto"/>
      </w:divBdr>
    </w:div>
    <w:div w:id="1670137902">
      <w:bodyDiv w:val="1"/>
      <w:marLeft w:val="0"/>
      <w:marRight w:val="0"/>
      <w:marTop w:val="0"/>
      <w:marBottom w:val="0"/>
      <w:divBdr>
        <w:top w:val="none" w:sz="0" w:space="0" w:color="auto"/>
        <w:left w:val="none" w:sz="0" w:space="0" w:color="auto"/>
        <w:bottom w:val="none" w:sz="0" w:space="0" w:color="auto"/>
        <w:right w:val="none" w:sz="0" w:space="0" w:color="auto"/>
      </w:divBdr>
    </w:div>
    <w:div w:id="1679888596">
      <w:bodyDiv w:val="1"/>
      <w:marLeft w:val="0"/>
      <w:marRight w:val="0"/>
      <w:marTop w:val="0"/>
      <w:marBottom w:val="0"/>
      <w:divBdr>
        <w:top w:val="none" w:sz="0" w:space="0" w:color="auto"/>
        <w:left w:val="none" w:sz="0" w:space="0" w:color="auto"/>
        <w:bottom w:val="none" w:sz="0" w:space="0" w:color="auto"/>
        <w:right w:val="none" w:sz="0" w:space="0" w:color="auto"/>
      </w:divBdr>
    </w:div>
    <w:div w:id="1712654639">
      <w:bodyDiv w:val="1"/>
      <w:marLeft w:val="0"/>
      <w:marRight w:val="0"/>
      <w:marTop w:val="0"/>
      <w:marBottom w:val="0"/>
      <w:divBdr>
        <w:top w:val="none" w:sz="0" w:space="0" w:color="auto"/>
        <w:left w:val="none" w:sz="0" w:space="0" w:color="auto"/>
        <w:bottom w:val="none" w:sz="0" w:space="0" w:color="auto"/>
        <w:right w:val="none" w:sz="0" w:space="0" w:color="auto"/>
      </w:divBdr>
    </w:div>
    <w:div w:id="1722290499">
      <w:bodyDiv w:val="1"/>
      <w:marLeft w:val="0"/>
      <w:marRight w:val="0"/>
      <w:marTop w:val="0"/>
      <w:marBottom w:val="0"/>
      <w:divBdr>
        <w:top w:val="none" w:sz="0" w:space="0" w:color="auto"/>
        <w:left w:val="none" w:sz="0" w:space="0" w:color="auto"/>
        <w:bottom w:val="none" w:sz="0" w:space="0" w:color="auto"/>
        <w:right w:val="none" w:sz="0" w:space="0" w:color="auto"/>
      </w:divBdr>
    </w:div>
    <w:div w:id="1726445206">
      <w:bodyDiv w:val="1"/>
      <w:marLeft w:val="0"/>
      <w:marRight w:val="0"/>
      <w:marTop w:val="0"/>
      <w:marBottom w:val="0"/>
      <w:divBdr>
        <w:top w:val="none" w:sz="0" w:space="0" w:color="auto"/>
        <w:left w:val="none" w:sz="0" w:space="0" w:color="auto"/>
        <w:bottom w:val="none" w:sz="0" w:space="0" w:color="auto"/>
        <w:right w:val="none" w:sz="0" w:space="0" w:color="auto"/>
      </w:divBdr>
    </w:div>
    <w:div w:id="1738280313">
      <w:bodyDiv w:val="1"/>
      <w:marLeft w:val="0"/>
      <w:marRight w:val="0"/>
      <w:marTop w:val="0"/>
      <w:marBottom w:val="0"/>
      <w:divBdr>
        <w:top w:val="none" w:sz="0" w:space="0" w:color="auto"/>
        <w:left w:val="none" w:sz="0" w:space="0" w:color="auto"/>
        <w:bottom w:val="none" w:sz="0" w:space="0" w:color="auto"/>
        <w:right w:val="none" w:sz="0" w:space="0" w:color="auto"/>
      </w:divBdr>
    </w:div>
    <w:div w:id="1786461017">
      <w:bodyDiv w:val="1"/>
      <w:marLeft w:val="0"/>
      <w:marRight w:val="0"/>
      <w:marTop w:val="0"/>
      <w:marBottom w:val="0"/>
      <w:divBdr>
        <w:top w:val="none" w:sz="0" w:space="0" w:color="auto"/>
        <w:left w:val="none" w:sz="0" w:space="0" w:color="auto"/>
        <w:bottom w:val="none" w:sz="0" w:space="0" w:color="auto"/>
        <w:right w:val="none" w:sz="0" w:space="0" w:color="auto"/>
      </w:divBdr>
    </w:div>
    <w:div w:id="1798835277">
      <w:bodyDiv w:val="1"/>
      <w:marLeft w:val="0"/>
      <w:marRight w:val="0"/>
      <w:marTop w:val="0"/>
      <w:marBottom w:val="0"/>
      <w:divBdr>
        <w:top w:val="none" w:sz="0" w:space="0" w:color="auto"/>
        <w:left w:val="none" w:sz="0" w:space="0" w:color="auto"/>
        <w:bottom w:val="none" w:sz="0" w:space="0" w:color="auto"/>
        <w:right w:val="none" w:sz="0" w:space="0" w:color="auto"/>
      </w:divBdr>
    </w:div>
    <w:div w:id="1799638281">
      <w:bodyDiv w:val="1"/>
      <w:marLeft w:val="0"/>
      <w:marRight w:val="0"/>
      <w:marTop w:val="0"/>
      <w:marBottom w:val="0"/>
      <w:divBdr>
        <w:top w:val="none" w:sz="0" w:space="0" w:color="auto"/>
        <w:left w:val="none" w:sz="0" w:space="0" w:color="auto"/>
        <w:bottom w:val="none" w:sz="0" w:space="0" w:color="auto"/>
        <w:right w:val="none" w:sz="0" w:space="0" w:color="auto"/>
      </w:divBdr>
    </w:div>
    <w:div w:id="1801147247">
      <w:bodyDiv w:val="1"/>
      <w:marLeft w:val="0"/>
      <w:marRight w:val="0"/>
      <w:marTop w:val="0"/>
      <w:marBottom w:val="0"/>
      <w:divBdr>
        <w:top w:val="none" w:sz="0" w:space="0" w:color="auto"/>
        <w:left w:val="none" w:sz="0" w:space="0" w:color="auto"/>
        <w:bottom w:val="none" w:sz="0" w:space="0" w:color="auto"/>
        <w:right w:val="none" w:sz="0" w:space="0" w:color="auto"/>
      </w:divBdr>
    </w:div>
    <w:div w:id="1822041399">
      <w:bodyDiv w:val="1"/>
      <w:marLeft w:val="0"/>
      <w:marRight w:val="0"/>
      <w:marTop w:val="0"/>
      <w:marBottom w:val="0"/>
      <w:divBdr>
        <w:top w:val="none" w:sz="0" w:space="0" w:color="auto"/>
        <w:left w:val="none" w:sz="0" w:space="0" w:color="auto"/>
        <w:bottom w:val="none" w:sz="0" w:space="0" w:color="auto"/>
        <w:right w:val="none" w:sz="0" w:space="0" w:color="auto"/>
      </w:divBdr>
    </w:div>
    <w:div w:id="1828010299">
      <w:bodyDiv w:val="1"/>
      <w:marLeft w:val="0"/>
      <w:marRight w:val="0"/>
      <w:marTop w:val="0"/>
      <w:marBottom w:val="0"/>
      <w:divBdr>
        <w:top w:val="none" w:sz="0" w:space="0" w:color="auto"/>
        <w:left w:val="none" w:sz="0" w:space="0" w:color="auto"/>
        <w:bottom w:val="none" w:sz="0" w:space="0" w:color="auto"/>
        <w:right w:val="none" w:sz="0" w:space="0" w:color="auto"/>
      </w:divBdr>
    </w:div>
    <w:div w:id="1836533973">
      <w:bodyDiv w:val="1"/>
      <w:marLeft w:val="0"/>
      <w:marRight w:val="0"/>
      <w:marTop w:val="0"/>
      <w:marBottom w:val="0"/>
      <w:divBdr>
        <w:top w:val="none" w:sz="0" w:space="0" w:color="auto"/>
        <w:left w:val="none" w:sz="0" w:space="0" w:color="auto"/>
        <w:bottom w:val="none" w:sz="0" w:space="0" w:color="auto"/>
        <w:right w:val="none" w:sz="0" w:space="0" w:color="auto"/>
      </w:divBdr>
    </w:div>
    <w:div w:id="1845051236">
      <w:bodyDiv w:val="1"/>
      <w:marLeft w:val="0"/>
      <w:marRight w:val="0"/>
      <w:marTop w:val="0"/>
      <w:marBottom w:val="0"/>
      <w:divBdr>
        <w:top w:val="none" w:sz="0" w:space="0" w:color="auto"/>
        <w:left w:val="none" w:sz="0" w:space="0" w:color="auto"/>
        <w:bottom w:val="none" w:sz="0" w:space="0" w:color="auto"/>
        <w:right w:val="none" w:sz="0" w:space="0" w:color="auto"/>
      </w:divBdr>
    </w:div>
    <w:div w:id="1868327602">
      <w:bodyDiv w:val="1"/>
      <w:marLeft w:val="0"/>
      <w:marRight w:val="0"/>
      <w:marTop w:val="0"/>
      <w:marBottom w:val="0"/>
      <w:divBdr>
        <w:top w:val="none" w:sz="0" w:space="0" w:color="auto"/>
        <w:left w:val="none" w:sz="0" w:space="0" w:color="auto"/>
        <w:bottom w:val="none" w:sz="0" w:space="0" w:color="auto"/>
        <w:right w:val="none" w:sz="0" w:space="0" w:color="auto"/>
      </w:divBdr>
    </w:div>
    <w:div w:id="1873885728">
      <w:bodyDiv w:val="1"/>
      <w:marLeft w:val="0"/>
      <w:marRight w:val="0"/>
      <w:marTop w:val="0"/>
      <w:marBottom w:val="0"/>
      <w:divBdr>
        <w:top w:val="none" w:sz="0" w:space="0" w:color="auto"/>
        <w:left w:val="none" w:sz="0" w:space="0" w:color="auto"/>
        <w:bottom w:val="none" w:sz="0" w:space="0" w:color="auto"/>
        <w:right w:val="none" w:sz="0" w:space="0" w:color="auto"/>
      </w:divBdr>
    </w:div>
    <w:div w:id="1888251679">
      <w:bodyDiv w:val="1"/>
      <w:marLeft w:val="0"/>
      <w:marRight w:val="0"/>
      <w:marTop w:val="0"/>
      <w:marBottom w:val="0"/>
      <w:divBdr>
        <w:top w:val="none" w:sz="0" w:space="0" w:color="auto"/>
        <w:left w:val="none" w:sz="0" w:space="0" w:color="auto"/>
        <w:bottom w:val="none" w:sz="0" w:space="0" w:color="auto"/>
        <w:right w:val="none" w:sz="0" w:space="0" w:color="auto"/>
      </w:divBdr>
    </w:div>
    <w:div w:id="1889610965">
      <w:bodyDiv w:val="1"/>
      <w:marLeft w:val="0"/>
      <w:marRight w:val="0"/>
      <w:marTop w:val="0"/>
      <w:marBottom w:val="0"/>
      <w:divBdr>
        <w:top w:val="none" w:sz="0" w:space="0" w:color="auto"/>
        <w:left w:val="none" w:sz="0" w:space="0" w:color="auto"/>
        <w:bottom w:val="none" w:sz="0" w:space="0" w:color="auto"/>
        <w:right w:val="none" w:sz="0" w:space="0" w:color="auto"/>
      </w:divBdr>
    </w:div>
    <w:div w:id="1898122689">
      <w:bodyDiv w:val="1"/>
      <w:marLeft w:val="0"/>
      <w:marRight w:val="0"/>
      <w:marTop w:val="0"/>
      <w:marBottom w:val="0"/>
      <w:divBdr>
        <w:top w:val="none" w:sz="0" w:space="0" w:color="auto"/>
        <w:left w:val="none" w:sz="0" w:space="0" w:color="auto"/>
        <w:bottom w:val="none" w:sz="0" w:space="0" w:color="auto"/>
        <w:right w:val="none" w:sz="0" w:space="0" w:color="auto"/>
      </w:divBdr>
    </w:div>
    <w:div w:id="1898202634">
      <w:bodyDiv w:val="1"/>
      <w:marLeft w:val="0"/>
      <w:marRight w:val="0"/>
      <w:marTop w:val="0"/>
      <w:marBottom w:val="0"/>
      <w:divBdr>
        <w:top w:val="none" w:sz="0" w:space="0" w:color="auto"/>
        <w:left w:val="none" w:sz="0" w:space="0" w:color="auto"/>
        <w:bottom w:val="none" w:sz="0" w:space="0" w:color="auto"/>
        <w:right w:val="none" w:sz="0" w:space="0" w:color="auto"/>
      </w:divBdr>
    </w:div>
    <w:div w:id="1898587805">
      <w:bodyDiv w:val="1"/>
      <w:marLeft w:val="0"/>
      <w:marRight w:val="0"/>
      <w:marTop w:val="0"/>
      <w:marBottom w:val="0"/>
      <w:divBdr>
        <w:top w:val="none" w:sz="0" w:space="0" w:color="auto"/>
        <w:left w:val="none" w:sz="0" w:space="0" w:color="auto"/>
        <w:bottom w:val="none" w:sz="0" w:space="0" w:color="auto"/>
        <w:right w:val="none" w:sz="0" w:space="0" w:color="auto"/>
      </w:divBdr>
    </w:div>
    <w:div w:id="1910992090">
      <w:bodyDiv w:val="1"/>
      <w:marLeft w:val="0"/>
      <w:marRight w:val="0"/>
      <w:marTop w:val="0"/>
      <w:marBottom w:val="0"/>
      <w:divBdr>
        <w:top w:val="none" w:sz="0" w:space="0" w:color="auto"/>
        <w:left w:val="none" w:sz="0" w:space="0" w:color="auto"/>
        <w:bottom w:val="none" w:sz="0" w:space="0" w:color="auto"/>
        <w:right w:val="none" w:sz="0" w:space="0" w:color="auto"/>
      </w:divBdr>
    </w:div>
    <w:div w:id="1920628777">
      <w:bodyDiv w:val="1"/>
      <w:marLeft w:val="0"/>
      <w:marRight w:val="0"/>
      <w:marTop w:val="0"/>
      <w:marBottom w:val="0"/>
      <w:divBdr>
        <w:top w:val="none" w:sz="0" w:space="0" w:color="auto"/>
        <w:left w:val="none" w:sz="0" w:space="0" w:color="auto"/>
        <w:bottom w:val="none" w:sz="0" w:space="0" w:color="auto"/>
        <w:right w:val="none" w:sz="0" w:space="0" w:color="auto"/>
      </w:divBdr>
    </w:div>
    <w:div w:id="1936985348">
      <w:bodyDiv w:val="1"/>
      <w:marLeft w:val="0"/>
      <w:marRight w:val="0"/>
      <w:marTop w:val="0"/>
      <w:marBottom w:val="0"/>
      <w:divBdr>
        <w:top w:val="none" w:sz="0" w:space="0" w:color="auto"/>
        <w:left w:val="none" w:sz="0" w:space="0" w:color="auto"/>
        <w:bottom w:val="none" w:sz="0" w:space="0" w:color="auto"/>
        <w:right w:val="none" w:sz="0" w:space="0" w:color="auto"/>
      </w:divBdr>
    </w:div>
    <w:div w:id="1988776194">
      <w:bodyDiv w:val="1"/>
      <w:marLeft w:val="0"/>
      <w:marRight w:val="0"/>
      <w:marTop w:val="0"/>
      <w:marBottom w:val="0"/>
      <w:divBdr>
        <w:top w:val="none" w:sz="0" w:space="0" w:color="auto"/>
        <w:left w:val="none" w:sz="0" w:space="0" w:color="auto"/>
        <w:bottom w:val="none" w:sz="0" w:space="0" w:color="auto"/>
        <w:right w:val="none" w:sz="0" w:space="0" w:color="auto"/>
      </w:divBdr>
    </w:div>
    <w:div w:id="1997756464">
      <w:bodyDiv w:val="1"/>
      <w:marLeft w:val="0"/>
      <w:marRight w:val="0"/>
      <w:marTop w:val="0"/>
      <w:marBottom w:val="0"/>
      <w:divBdr>
        <w:top w:val="none" w:sz="0" w:space="0" w:color="auto"/>
        <w:left w:val="none" w:sz="0" w:space="0" w:color="auto"/>
        <w:bottom w:val="none" w:sz="0" w:space="0" w:color="auto"/>
        <w:right w:val="none" w:sz="0" w:space="0" w:color="auto"/>
      </w:divBdr>
    </w:div>
    <w:div w:id="2005086843">
      <w:bodyDiv w:val="1"/>
      <w:marLeft w:val="0"/>
      <w:marRight w:val="0"/>
      <w:marTop w:val="0"/>
      <w:marBottom w:val="0"/>
      <w:divBdr>
        <w:top w:val="none" w:sz="0" w:space="0" w:color="auto"/>
        <w:left w:val="none" w:sz="0" w:space="0" w:color="auto"/>
        <w:bottom w:val="none" w:sz="0" w:space="0" w:color="auto"/>
        <w:right w:val="none" w:sz="0" w:space="0" w:color="auto"/>
      </w:divBdr>
    </w:div>
    <w:div w:id="2013411059">
      <w:bodyDiv w:val="1"/>
      <w:marLeft w:val="0"/>
      <w:marRight w:val="0"/>
      <w:marTop w:val="0"/>
      <w:marBottom w:val="0"/>
      <w:divBdr>
        <w:top w:val="none" w:sz="0" w:space="0" w:color="auto"/>
        <w:left w:val="none" w:sz="0" w:space="0" w:color="auto"/>
        <w:bottom w:val="none" w:sz="0" w:space="0" w:color="auto"/>
        <w:right w:val="none" w:sz="0" w:space="0" w:color="auto"/>
      </w:divBdr>
    </w:div>
    <w:div w:id="2054844641">
      <w:bodyDiv w:val="1"/>
      <w:marLeft w:val="0"/>
      <w:marRight w:val="0"/>
      <w:marTop w:val="0"/>
      <w:marBottom w:val="0"/>
      <w:divBdr>
        <w:top w:val="none" w:sz="0" w:space="0" w:color="auto"/>
        <w:left w:val="none" w:sz="0" w:space="0" w:color="auto"/>
        <w:bottom w:val="none" w:sz="0" w:space="0" w:color="auto"/>
        <w:right w:val="none" w:sz="0" w:space="0" w:color="auto"/>
      </w:divBdr>
    </w:div>
    <w:div w:id="2069112007">
      <w:bodyDiv w:val="1"/>
      <w:marLeft w:val="0"/>
      <w:marRight w:val="0"/>
      <w:marTop w:val="0"/>
      <w:marBottom w:val="0"/>
      <w:divBdr>
        <w:top w:val="none" w:sz="0" w:space="0" w:color="auto"/>
        <w:left w:val="none" w:sz="0" w:space="0" w:color="auto"/>
        <w:bottom w:val="none" w:sz="0" w:space="0" w:color="auto"/>
        <w:right w:val="none" w:sz="0" w:space="0" w:color="auto"/>
      </w:divBdr>
    </w:div>
    <w:div w:id="2072583426">
      <w:bodyDiv w:val="1"/>
      <w:marLeft w:val="0"/>
      <w:marRight w:val="0"/>
      <w:marTop w:val="0"/>
      <w:marBottom w:val="0"/>
      <w:divBdr>
        <w:top w:val="none" w:sz="0" w:space="0" w:color="auto"/>
        <w:left w:val="none" w:sz="0" w:space="0" w:color="auto"/>
        <w:bottom w:val="none" w:sz="0" w:space="0" w:color="auto"/>
        <w:right w:val="none" w:sz="0" w:space="0" w:color="auto"/>
      </w:divBdr>
    </w:div>
    <w:div w:id="2074230416">
      <w:bodyDiv w:val="1"/>
      <w:marLeft w:val="0"/>
      <w:marRight w:val="0"/>
      <w:marTop w:val="0"/>
      <w:marBottom w:val="0"/>
      <w:divBdr>
        <w:top w:val="none" w:sz="0" w:space="0" w:color="auto"/>
        <w:left w:val="none" w:sz="0" w:space="0" w:color="auto"/>
        <w:bottom w:val="none" w:sz="0" w:space="0" w:color="auto"/>
        <w:right w:val="none" w:sz="0" w:space="0" w:color="auto"/>
      </w:divBdr>
    </w:div>
    <w:div w:id="2085029746">
      <w:bodyDiv w:val="1"/>
      <w:marLeft w:val="0"/>
      <w:marRight w:val="0"/>
      <w:marTop w:val="0"/>
      <w:marBottom w:val="0"/>
      <w:divBdr>
        <w:top w:val="none" w:sz="0" w:space="0" w:color="auto"/>
        <w:left w:val="none" w:sz="0" w:space="0" w:color="auto"/>
        <w:bottom w:val="none" w:sz="0" w:space="0" w:color="auto"/>
        <w:right w:val="none" w:sz="0" w:space="0" w:color="auto"/>
      </w:divBdr>
    </w:div>
    <w:div w:id="2112240153">
      <w:bodyDiv w:val="1"/>
      <w:marLeft w:val="0"/>
      <w:marRight w:val="0"/>
      <w:marTop w:val="0"/>
      <w:marBottom w:val="0"/>
      <w:divBdr>
        <w:top w:val="none" w:sz="0" w:space="0" w:color="auto"/>
        <w:left w:val="none" w:sz="0" w:space="0" w:color="auto"/>
        <w:bottom w:val="none" w:sz="0" w:space="0" w:color="auto"/>
        <w:right w:val="none" w:sz="0" w:space="0" w:color="auto"/>
      </w:divBdr>
    </w:div>
    <w:div w:id="2118330880">
      <w:bodyDiv w:val="1"/>
      <w:marLeft w:val="0"/>
      <w:marRight w:val="0"/>
      <w:marTop w:val="0"/>
      <w:marBottom w:val="0"/>
      <w:divBdr>
        <w:top w:val="none" w:sz="0" w:space="0" w:color="auto"/>
        <w:left w:val="none" w:sz="0" w:space="0" w:color="auto"/>
        <w:bottom w:val="none" w:sz="0" w:space="0" w:color="auto"/>
        <w:right w:val="none" w:sz="0" w:space="0" w:color="auto"/>
      </w:divBdr>
    </w:div>
    <w:div w:id="213000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chart" Target="charts/chart3.xml"/><Relationship Id="rId42" Type="http://schemas.openxmlformats.org/officeDocument/2006/relationships/image" Target="media/image16.png"/><Relationship Id="rId47" Type="http://schemas.openxmlformats.org/officeDocument/2006/relationships/image" Target="media/image20.wmf"/><Relationship Id="rId63" Type="http://schemas.openxmlformats.org/officeDocument/2006/relationships/image" Target="media/image29.png"/><Relationship Id="rId68" Type="http://schemas.openxmlformats.org/officeDocument/2006/relationships/image" Target="media/image34.emf"/><Relationship Id="rId84" Type="http://schemas.openxmlformats.org/officeDocument/2006/relationships/chart" Target="charts/chart22.xml"/><Relationship Id="rId89" Type="http://schemas.openxmlformats.org/officeDocument/2006/relationships/chart" Target="charts/chart27.xml"/><Relationship Id="rId1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7.xml"/><Relationship Id="rId107" Type="http://schemas.openxmlformats.org/officeDocument/2006/relationships/chart" Target="charts/chart45.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chart" Target="charts/chart10.xml"/><Relationship Id="rId37" Type="http://schemas.openxmlformats.org/officeDocument/2006/relationships/chart" Target="charts/chart14.xml"/><Relationship Id="rId40" Type="http://schemas.openxmlformats.org/officeDocument/2006/relationships/image" Target="media/image14.png"/><Relationship Id="rId45" Type="http://schemas.openxmlformats.org/officeDocument/2006/relationships/image" Target="media/image19.wmf"/><Relationship Id="rId53" Type="http://schemas.openxmlformats.org/officeDocument/2006/relationships/image" Target="media/image22.emf"/><Relationship Id="rId58" Type="http://schemas.openxmlformats.org/officeDocument/2006/relationships/hyperlink" Target="http://www.ure.pl" TargetMode="External"/><Relationship Id="rId66" Type="http://schemas.openxmlformats.org/officeDocument/2006/relationships/image" Target="media/image32.wmf"/><Relationship Id="rId74" Type="http://schemas.openxmlformats.org/officeDocument/2006/relationships/header" Target="header2.xml"/><Relationship Id="rId79" Type="http://schemas.openxmlformats.org/officeDocument/2006/relationships/image" Target="media/image42.emf"/><Relationship Id="rId87" Type="http://schemas.openxmlformats.org/officeDocument/2006/relationships/chart" Target="charts/chart25.xml"/><Relationship Id="rId102" Type="http://schemas.openxmlformats.org/officeDocument/2006/relationships/chart" Target="charts/chart40.xml"/><Relationship Id="rId110"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chart" Target="charts/chart20.xml"/><Relationship Id="rId90" Type="http://schemas.openxmlformats.org/officeDocument/2006/relationships/chart" Target="charts/chart28.xml"/><Relationship Id="rId95" Type="http://schemas.openxmlformats.org/officeDocument/2006/relationships/chart" Target="charts/chart33.xml"/><Relationship Id="rId19" Type="http://schemas.openxmlformats.org/officeDocument/2006/relationships/footer" Target="footer3.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chart" Target="charts/chart8.xml"/><Relationship Id="rId35" Type="http://schemas.openxmlformats.org/officeDocument/2006/relationships/chart" Target="charts/chart12.xml"/><Relationship Id="rId43" Type="http://schemas.openxmlformats.org/officeDocument/2006/relationships/image" Target="media/image17.png"/><Relationship Id="rId48" Type="http://schemas.openxmlformats.org/officeDocument/2006/relationships/oleObject" Target="embeddings/oleObject2.bin"/><Relationship Id="rId56" Type="http://schemas.openxmlformats.org/officeDocument/2006/relationships/hyperlink" Target="http://www.pse.pl" TargetMode="External"/><Relationship Id="rId64" Type="http://schemas.openxmlformats.org/officeDocument/2006/relationships/image" Target="media/image30.png"/><Relationship Id="rId69" Type="http://schemas.openxmlformats.org/officeDocument/2006/relationships/image" Target="media/image35.emf"/><Relationship Id="rId77" Type="http://schemas.openxmlformats.org/officeDocument/2006/relationships/image" Target="media/image40.emf"/><Relationship Id="rId100" Type="http://schemas.openxmlformats.org/officeDocument/2006/relationships/chart" Target="charts/chart38.xml"/><Relationship Id="rId105" Type="http://schemas.openxmlformats.org/officeDocument/2006/relationships/chart" Target="charts/chart43.xml"/><Relationship Id="rId113"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16.xml"/><Relationship Id="rId72" Type="http://schemas.openxmlformats.org/officeDocument/2006/relationships/image" Target="media/image38.wmf"/><Relationship Id="rId80" Type="http://schemas.openxmlformats.org/officeDocument/2006/relationships/chart" Target="charts/chart18.xml"/><Relationship Id="rId85" Type="http://schemas.openxmlformats.org/officeDocument/2006/relationships/chart" Target="charts/chart23.xml"/><Relationship Id="rId93" Type="http://schemas.openxmlformats.org/officeDocument/2006/relationships/chart" Target="charts/chart31.xml"/><Relationship Id="rId98"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chart" Target="charts/chart4.xml"/><Relationship Id="rId33" Type="http://schemas.openxmlformats.org/officeDocument/2006/relationships/image" Target="media/image11.png"/><Relationship Id="rId38" Type="http://schemas.openxmlformats.org/officeDocument/2006/relationships/image" Target="media/image12.png"/><Relationship Id="rId46" Type="http://schemas.openxmlformats.org/officeDocument/2006/relationships/oleObject" Target="embeddings/oleObject1.bin"/><Relationship Id="rId59" Type="http://schemas.openxmlformats.org/officeDocument/2006/relationships/image" Target="media/image25.emf"/><Relationship Id="rId67" Type="http://schemas.openxmlformats.org/officeDocument/2006/relationships/image" Target="media/image33.wmf"/><Relationship Id="rId103" Type="http://schemas.openxmlformats.org/officeDocument/2006/relationships/chart" Target="charts/chart41.xml"/><Relationship Id="rId108" Type="http://schemas.openxmlformats.org/officeDocument/2006/relationships/chart" Target="charts/chart46.xml"/><Relationship Id="rId20" Type="http://schemas.openxmlformats.org/officeDocument/2006/relationships/footer" Target="footer4.xml"/><Relationship Id="rId41" Type="http://schemas.openxmlformats.org/officeDocument/2006/relationships/image" Target="media/image15.png"/><Relationship Id="rId54" Type="http://schemas.openxmlformats.org/officeDocument/2006/relationships/oleObject" Target="embeddings/oleObject3.bin"/><Relationship Id="rId62" Type="http://schemas.openxmlformats.org/officeDocument/2006/relationships/image" Target="media/image28.emf"/><Relationship Id="rId70" Type="http://schemas.openxmlformats.org/officeDocument/2006/relationships/image" Target="media/image36.png"/><Relationship Id="rId75" Type="http://schemas.openxmlformats.org/officeDocument/2006/relationships/footer" Target="footer5.xml"/><Relationship Id="rId83" Type="http://schemas.openxmlformats.org/officeDocument/2006/relationships/chart" Target="charts/chart21.xml"/><Relationship Id="rId88" Type="http://schemas.openxmlformats.org/officeDocument/2006/relationships/chart" Target="charts/chart26.xml"/><Relationship Id="rId91" Type="http://schemas.openxmlformats.org/officeDocument/2006/relationships/chart" Target="charts/chart29.xml"/><Relationship Id="rId96" Type="http://schemas.openxmlformats.org/officeDocument/2006/relationships/chart" Target="charts/chart34.xml"/><Relationship Id="rId111"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8.jpeg"/><Relationship Id="rId28" Type="http://schemas.openxmlformats.org/officeDocument/2006/relationships/chart" Target="charts/chart6.xml"/><Relationship Id="rId36" Type="http://schemas.openxmlformats.org/officeDocument/2006/relationships/chart" Target="charts/chart13.xml"/><Relationship Id="rId49" Type="http://schemas.openxmlformats.org/officeDocument/2006/relationships/image" Target="media/image21.emf"/><Relationship Id="rId57" Type="http://schemas.openxmlformats.org/officeDocument/2006/relationships/image" Target="media/image24.png"/><Relationship Id="rId106" Type="http://schemas.openxmlformats.org/officeDocument/2006/relationships/chart" Target="charts/chart44.xml"/><Relationship Id="rId114"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chart" Target="charts/chart9.xml"/><Relationship Id="rId44" Type="http://schemas.openxmlformats.org/officeDocument/2006/relationships/image" Target="media/image18.png"/><Relationship Id="rId52" Type="http://schemas.openxmlformats.org/officeDocument/2006/relationships/chart" Target="charts/chart17.xml"/><Relationship Id="rId60" Type="http://schemas.openxmlformats.org/officeDocument/2006/relationships/image" Target="media/image26.emf"/><Relationship Id="rId65" Type="http://schemas.openxmlformats.org/officeDocument/2006/relationships/image" Target="media/image31.png"/><Relationship Id="rId73" Type="http://schemas.openxmlformats.org/officeDocument/2006/relationships/image" Target="media/image39.wmf"/><Relationship Id="rId78" Type="http://schemas.openxmlformats.org/officeDocument/2006/relationships/image" Target="media/image41.emf"/><Relationship Id="rId81" Type="http://schemas.openxmlformats.org/officeDocument/2006/relationships/chart" Target="charts/chart19.xml"/><Relationship Id="rId86" Type="http://schemas.openxmlformats.org/officeDocument/2006/relationships/chart" Target="charts/chart24.xml"/><Relationship Id="rId94" Type="http://schemas.openxmlformats.org/officeDocument/2006/relationships/chart" Target="charts/chart32.xml"/><Relationship Id="rId99" Type="http://schemas.openxmlformats.org/officeDocument/2006/relationships/chart" Target="charts/chart37.xml"/><Relationship Id="rId101" Type="http://schemas.openxmlformats.org/officeDocument/2006/relationships/chart" Target="charts/chart3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image" Target="media/image13.png"/><Relationship Id="rId109" Type="http://schemas.openxmlformats.org/officeDocument/2006/relationships/chart" Target="charts/chart47.xml"/><Relationship Id="rId34" Type="http://schemas.openxmlformats.org/officeDocument/2006/relationships/chart" Target="charts/chart11.xml"/><Relationship Id="rId50" Type="http://schemas.openxmlformats.org/officeDocument/2006/relationships/chart" Target="charts/chart15.xml"/><Relationship Id="rId55" Type="http://schemas.openxmlformats.org/officeDocument/2006/relationships/image" Target="media/image23.png"/><Relationship Id="rId76" Type="http://schemas.openxmlformats.org/officeDocument/2006/relationships/header" Target="header3.xml"/><Relationship Id="rId97" Type="http://schemas.openxmlformats.org/officeDocument/2006/relationships/chart" Target="charts/chart35.xml"/><Relationship Id="rId104" Type="http://schemas.openxmlformats.org/officeDocument/2006/relationships/chart" Target="charts/chart42.xm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chart" Target="charts/chart3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2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7513923873183"/>
          <c:y val="9.0413796228823132E-2"/>
          <c:w val="0.77025603367837925"/>
          <c:h val="0.75892792592072755"/>
        </c:manualLayout>
      </c:layout>
      <c:barChart>
        <c:barDir val="col"/>
        <c:grouping val="clustered"/>
        <c:varyColors val="0"/>
        <c:ser>
          <c:idx val="0"/>
          <c:order val="0"/>
          <c:spPr>
            <a:solidFill>
              <a:schemeClr val="tx2">
                <a:lumMod val="60000"/>
                <a:lumOff val="40000"/>
              </a:schemeClr>
            </a:solidFill>
            <a:ln w="25398">
              <a:noFill/>
            </a:ln>
          </c:spPr>
          <c:invertIfNegative val="0"/>
          <c:dLbls>
            <c:spPr>
              <a:noFill/>
              <a:ln w="25398">
                <a:noFill/>
              </a:ln>
            </c:spPr>
            <c:txPr>
              <a:bodyPr rot="-5400000" vert="horz"/>
              <a:lstStyle/>
              <a:p>
                <a:pPr algn="ctr">
                  <a:defRPr sz="1125" b="1" i="1" u="none" strike="noStrike" baseline="0">
                    <a:solidFill>
                      <a:srgbClr val="000000"/>
                    </a:solidFill>
                    <a:latin typeface="Arial"/>
                    <a:ea typeface="Arial"/>
                    <a:cs typeface="Arial"/>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tabele!$B$25:$B$40</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tabele!$C$25:$C$40</c:f>
              <c:numCache>
                <c:formatCode>#,##0</c:formatCode>
                <c:ptCount val="16"/>
                <c:pt idx="0">
                  <c:v>5382</c:v>
                </c:pt>
                <c:pt idx="1">
                  <c:v>5470</c:v>
                </c:pt>
                <c:pt idx="2">
                  <c:v>5606</c:v>
                </c:pt>
                <c:pt idx="3">
                  <c:v>5673</c:v>
                </c:pt>
                <c:pt idx="4">
                  <c:v>5777</c:v>
                </c:pt>
                <c:pt idx="5">
                  <c:v>5905</c:v>
                </c:pt>
                <c:pt idx="6">
                  <c:v>6059</c:v>
                </c:pt>
                <c:pt idx="7">
                  <c:v>6189</c:v>
                </c:pt>
                <c:pt idx="8">
                  <c:v>6370</c:v>
                </c:pt>
                <c:pt idx="9">
                  <c:v>6436</c:v>
                </c:pt>
                <c:pt idx="10">
                  <c:v>6553</c:v>
                </c:pt>
                <c:pt idx="11">
                  <c:v>6730</c:v>
                </c:pt>
                <c:pt idx="12">
                  <c:v>6876</c:v>
                </c:pt>
                <c:pt idx="13">
                  <c:v>6876</c:v>
                </c:pt>
                <c:pt idx="14">
                  <c:v>7105</c:v>
                </c:pt>
                <c:pt idx="15">
                  <c:v>7238</c:v>
                </c:pt>
              </c:numCache>
            </c:numRef>
          </c:val>
        </c:ser>
        <c:dLbls>
          <c:showLegendKey val="0"/>
          <c:showVal val="0"/>
          <c:showCatName val="0"/>
          <c:showSerName val="0"/>
          <c:showPercent val="0"/>
          <c:showBubbleSize val="0"/>
        </c:dLbls>
        <c:gapWidth val="120"/>
        <c:axId val="447447792"/>
        <c:axId val="447446616"/>
      </c:barChart>
      <c:catAx>
        <c:axId val="447447792"/>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50" b="0" i="0" u="none" strike="noStrike" baseline="0">
                <a:solidFill>
                  <a:srgbClr val="000000"/>
                </a:solidFill>
                <a:latin typeface="Arial"/>
                <a:ea typeface="Arial"/>
                <a:cs typeface="Arial"/>
              </a:defRPr>
            </a:pPr>
            <a:endParaRPr lang="pl-PL"/>
          </a:p>
        </c:txPr>
        <c:crossAx val="447446616"/>
        <c:crosses val="autoZero"/>
        <c:auto val="1"/>
        <c:lblAlgn val="ctr"/>
        <c:lblOffset val="100"/>
        <c:tickLblSkip val="1"/>
        <c:tickMarkSkip val="1"/>
        <c:noMultiLvlLbl val="0"/>
      </c:catAx>
      <c:valAx>
        <c:axId val="447446616"/>
        <c:scaling>
          <c:orientation val="minMax"/>
        </c:scaling>
        <c:delete val="0"/>
        <c:axPos val="l"/>
        <c:majorGridlines>
          <c:spPr>
            <a:ln w="3175">
              <a:solidFill>
                <a:srgbClr val="969696"/>
              </a:solidFill>
              <a:prstDash val="solid"/>
            </a:ln>
          </c:spPr>
        </c:majorGridlines>
        <c:title>
          <c:tx>
            <c:rich>
              <a:bodyPr/>
              <a:lstStyle/>
              <a:p>
                <a:pPr>
                  <a:defRPr sz="1100" b="1" i="0" u="none" strike="noStrike" baseline="0">
                    <a:solidFill>
                      <a:srgbClr val="000000"/>
                    </a:solidFill>
                    <a:latin typeface="Arial"/>
                    <a:ea typeface="Arial"/>
                    <a:cs typeface="Arial"/>
                  </a:defRPr>
                </a:pPr>
                <a:r>
                  <a:rPr lang="pl-PL"/>
                  <a:t>Liczba mieszkańców</a:t>
                </a:r>
              </a:p>
            </c:rich>
          </c:tx>
          <c:layout>
            <c:manualLayout>
              <c:xMode val="edge"/>
              <c:yMode val="edge"/>
              <c:x val="4.0462486759657475E-2"/>
              <c:y val="0.29041092260943718"/>
            </c:manualLayout>
          </c:layout>
          <c:overlay val="0"/>
          <c:spPr>
            <a:noFill/>
            <a:ln w="25398">
              <a:noFill/>
            </a:ln>
          </c:spPr>
        </c:title>
        <c:numFmt formatCode="#,##0" sourceLinked="1"/>
        <c:majorTickMark val="out"/>
        <c:minorTickMark val="none"/>
        <c:tickLblPos val="nextTo"/>
        <c:spPr>
          <a:ln w="3175">
            <a:solidFill>
              <a:srgbClr val="C0C0C0"/>
            </a:solidFill>
            <a:prstDash val="solid"/>
          </a:ln>
        </c:spPr>
        <c:txPr>
          <a:bodyPr rot="0" vert="horz"/>
          <a:lstStyle/>
          <a:p>
            <a:pPr>
              <a:defRPr sz="950" b="0" i="0" u="none" strike="noStrike" baseline="0">
                <a:solidFill>
                  <a:srgbClr val="000000"/>
                </a:solidFill>
                <a:latin typeface="Arial"/>
                <a:ea typeface="Arial"/>
                <a:cs typeface="Arial"/>
              </a:defRPr>
            </a:pPr>
            <a:endParaRPr lang="pl-PL"/>
          </a:p>
        </c:txPr>
        <c:crossAx val="447447792"/>
        <c:crosses val="autoZero"/>
        <c:crossBetween val="between"/>
      </c:valAx>
      <c:spPr>
        <a:noFill/>
        <a:ln w="25398">
          <a:noFill/>
        </a:ln>
      </c:spPr>
    </c:plotArea>
    <c:plotVisOnly val="1"/>
    <c:dispBlanksAs val="gap"/>
    <c:showDLblsOverMax val="0"/>
  </c:chart>
  <c:spPr>
    <a:solidFill>
      <a:srgbClr val="FFFFFF"/>
    </a:solidFill>
    <a:ln>
      <a:noFill/>
    </a:ln>
  </c:spPr>
  <c:txPr>
    <a:bodyPr/>
    <a:lstStyle/>
    <a:p>
      <a:pPr>
        <a:defRPr sz="950" b="0" i="0" u="none" strike="noStrike" baseline="0">
          <a:solidFill>
            <a:srgbClr val="000000"/>
          </a:solidFill>
          <a:latin typeface="Arial"/>
          <a:ea typeface="Arial"/>
          <a:cs typeface="Arial"/>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dLbl>
              <c:idx val="0"/>
              <c:layout>
                <c:manualLayout>
                  <c:x val="0.14302050552138695"/>
                  <c:y val="-9.1591781468589969E-2"/>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0.12158803532642996"/>
                  <c:y val="-3.5573517012461899E-2"/>
                </c:manualLayout>
              </c:layout>
              <c:showLegendKey val="1"/>
              <c:showVal val="0"/>
              <c:showCatName val="0"/>
              <c:showSerName val="0"/>
              <c:showPercent val="1"/>
              <c:showBubbleSize val="0"/>
              <c:extLst>
                <c:ext xmlns:c15="http://schemas.microsoft.com/office/drawing/2012/chart" uri="{CE6537A1-D6FC-4f65-9D91-7224C49458BB}"/>
              </c:extLst>
            </c:dLbl>
            <c:dLbl>
              <c:idx val="2"/>
              <c:layout>
                <c:manualLayout>
                  <c:x val="-0.12247441706602594"/>
                  <c:y val="-4.647911975698725E-2"/>
                </c:manualLayout>
              </c:layout>
              <c:showLegendKey val="1"/>
              <c:showVal val="0"/>
              <c:showCatName val="0"/>
              <c:showSerName val="0"/>
              <c:showPercent val="1"/>
              <c:showBubbleSize val="0"/>
              <c:extLst>
                <c:ext xmlns:c15="http://schemas.microsoft.com/office/drawing/2012/chart" uri="{CE6537A1-D6FC-4f65-9D91-7224C49458BB}"/>
              </c:extLst>
            </c:dLbl>
            <c:dLbl>
              <c:idx val="3"/>
              <c:layout>
                <c:manualLayout>
                  <c:x val="-0.10144674701731936"/>
                  <c:y val="-0.10846519870651448"/>
                </c:manualLayout>
              </c:layout>
              <c:showLegendKey val="1"/>
              <c:showVal val="0"/>
              <c:showCatName val="0"/>
              <c:showSerName val="0"/>
              <c:showPercent val="1"/>
              <c:showBubbleSize val="0"/>
              <c:extLst>
                <c:ext xmlns:c15="http://schemas.microsoft.com/office/drawing/2012/chart" uri="{CE6537A1-D6FC-4f65-9D91-7224C49458BB}"/>
              </c:extLst>
            </c:dLbl>
            <c:dLbl>
              <c:idx val="4"/>
              <c:layout>
                <c:manualLayout>
                  <c:x val="-6.4407446581615069E-2"/>
                  <c:y val="-0.142131775243417"/>
                </c:manualLayout>
              </c:layout>
              <c:showLegendKey val="1"/>
              <c:showVal val="0"/>
              <c:showCatName val="0"/>
              <c:showSerName val="0"/>
              <c:showPercent val="1"/>
              <c:showBubbleSize val="0"/>
              <c:extLst>
                <c:ext xmlns:c15="http://schemas.microsoft.com/office/drawing/2012/chart" uri="{CE6537A1-D6FC-4f65-9D91-7224C49458BB}"/>
              </c:extLst>
            </c:dLbl>
            <c:dLbl>
              <c:idx val="5"/>
              <c:layout>
                <c:manualLayout>
                  <c:x val="-1.1531145671468089E-3"/>
                  <c:y val="-0.15894951538716459"/>
                </c:manualLayout>
              </c:layout>
              <c:showLegendKey val="1"/>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5.9701318429723649E-2"/>
                  <c:y val="-0.15519960386339804"/>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1"/>
            <c:extLst>
              <c:ext xmlns:c15="http://schemas.microsoft.com/office/drawing/2012/chart" uri="{CE6537A1-D6FC-4f65-9D91-7224C49458BB}"/>
            </c:extLst>
          </c:dLbls>
          <c:cat>
            <c:strRef>
              <c:f>wykresy!$B$78:$B$85</c:f>
              <c:strCache>
                <c:ptCount val="8"/>
                <c:pt idx="0">
                  <c:v>węgiel</c:v>
                </c:pt>
                <c:pt idx="1">
                  <c:v>drewno</c:v>
                </c:pt>
                <c:pt idx="2">
                  <c:v>energia elektryczna</c:v>
                </c:pt>
                <c:pt idx="3">
                  <c:v>propan - butan</c:v>
                </c:pt>
                <c:pt idx="4">
                  <c:v>olej</c:v>
                </c:pt>
                <c:pt idx="5">
                  <c:v>gaz ziemny</c:v>
                </c:pt>
                <c:pt idx="6">
                  <c:v>ciepło sieciowe</c:v>
                </c:pt>
                <c:pt idx="7">
                  <c:v>OZE</c:v>
                </c:pt>
              </c:strCache>
            </c:strRef>
          </c:cat>
          <c:val>
            <c:numRef>
              <c:f>wykresy!$C$78:$C$85</c:f>
              <c:numCache>
                <c:formatCode>0</c:formatCode>
                <c:ptCount val="8"/>
                <c:pt idx="0">
                  <c:v>123464.45437083479</c:v>
                </c:pt>
                <c:pt idx="1">
                  <c:v>18036.337011843822</c:v>
                </c:pt>
                <c:pt idx="2">
                  <c:v>3885.2342499768074</c:v>
                </c:pt>
                <c:pt idx="3">
                  <c:v>1963.3141617262208</c:v>
                </c:pt>
                <c:pt idx="4">
                  <c:v>19282.801945723062</c:v>
                </c:pt>
                <c:pt idx="5">
                  <c:v>4048.9827821835315</c:v>
                </c:pt>
                <c:pt idx="6">
                  <c:v>0</c:v>
                </c:pt>
                <c:pt idx="7">
                  <c:v>1025.28</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6"/>
        <c:delete val="1"/>
      </c:legendEntry>
      <c:layout>
        <c:manualLayout>
          <c:xMode val="edge"/>
          <c:yMode val="edge"/>
          <c:x val="0.75842724993232569"/>
          <c:y val="0.26551503766304452"/>
          <c:w val="0.22737650618514696"/>
          <c:h val="0.49352752529964622"/>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695766651074396"/>
          <c:y val="9.9725730683361533E-2"/>
          <c:w val="0.47642742810081401"/>
          <c:h val="0.78858145095127352"/>
        </c:manualLayout>
      </c:layout>
      <c:pie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Lbls>
            <c:dLbl>
              <c:idx val="3"/>
              <c:layout>
                <c:manualLayout>
                  <c:x val="-2.4100020779151774E-2"/>
                  <c:y val="-2.792320459134123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2.1690018701236598E-2"/>
                  <c:y val="-2.792320459134123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Lst>
            </c:dLbl>
            <c:dLbl>
              <c:idx val="5"/>
              <c:layout>
                <c:manualLayout>
                  <c:x val="-2.4100020779151774E-2"/>
                  <c:y val="7.9780584546689237E-3"/>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Lst>
            </c:dLbl>
            <c:dLbl>
              <c:idx val="6"/>
              <c:layout>
                <c:manualLayout>
                  <c:x val="-2.8920024934982129E-2"/>
                  <c:y val="4.387932150067908E-2"/>
                </c:manualLayout>
              </c:layout>
              <c:numFmt formatCode="0.0%" sourceLinked="0"/>
              <c:spPr/>
              <c:txPr>
                <a:bodyPr/>
                <a:lstStyle/>
                <a:p>
                  <a:pPr>
                    <a:defRPr/>
                  </a:pPr>
                  <a:endParaRPr lang="pl-PL"/>
                </a:p>
              </c:txPr>
              <c:dLblPos val="bestFi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dLblPos val="outEnd"/>
            <c:showLegendKey val="1"/>
            <c:showVal val="0"/>
            <c:showCatName val="0"/>
            <c:showSerName val="0"/>
            <c:showPercent val="1"/>
            <c:showBubbleSize val="0"/>
            <c:showLeaderLines val="1"/>
            <c:extLst>
              <c:ext xmlns:c15="http://schemas.microsoft.com/office/drawing/2012/chart" uri="{CE6537A1-D6FC-4f65-9D91-7224C49458BB}"/>
            </c:extLst>
          </c:dLbls>
          <c:cat>
            <c:strRef>
              <c:f>gaz!$R$4:$R$10</c:f>
              <c:strCache>
                <c:ptCount val="3"/>
                <c:pt idx="0">
                  <c:v>W-1.1</c:v>
                </c:pt>
                <c:pt idx="1">
                  <c:v>W-2.1</c:v>
                </c:pt>
                <c:pt idx="2">
                  <c:v>W-3.6</c:v>
                </c:pt>
              </c:strCache>
            </c:strRef>
          </c:cat>
          <c:val>
            <c:numRef>
              <c:f>gaz!$S$4:$S$10</c:f>
              <c:numCache>
                <c:formatCode>General</c:formatCode>
                <c:ptCount val="7"/>
                <c:pt idx="0">
                  <c:v>6</c:v>
                </c:pt>
                <c:pt idx="1">
                  <c:v>24</c:v>
                </c:pt>
                <c:pt idx="2">
                  <c:v>74</c:v>
                </c:pt>
              </c:numCache>
            </c:numRef>
          </c:val>
        </c:ser>
        <c:dLbls>
          <c:showLegendKey val="0"/>
          <c:showVal val="0"/>
          <c:showCatName val="0"/>
          <c:showSerName val="0"/>
          <c:showPercent val="0"/>
          <c:showBubbleSize val="0"/>
          <c:showLeaderLines val="1"/>
        </c:dLbls>
        <c:firstSliceAng val="100"/>
      </c:pieChart>
      <c:spPr>
        <a:noFill/>
        <a:ln w="25413">
          <a:noFill/>
        </a:ln>
      </c:spPr>
    </c:plotArea>
    <c:legend>
      <c:legendPos val="r"/>
      <c:layout>
        <c:manualLayout>
          <c:xMode val="edge"/>
          <c:yMode val="edge"/>
          <c:x val="0.82947194875599017"/>
          <c:y val="0.35027527730196156"/>
          <c:w val="0.10686274509803921"/>
          <c:h val="0.50301204819277112"/>
        </c:manualLayout>
      </c:layout>
      <c:overlay val="0"/>
      <c:txPr>
        <a:bodyPr/>
        <a:lstStyle/>
        <a:p>
          <a:pPr rtl="0">
            <a:defRPr/>
          </a:pPr>
          <a:endParaRPr lang="pl-PL"/>
        </a:p>
      </c:txPr>
    </c:legend>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9.4436009870023735E-2"/>
          <c:y val="0.11342592592592593"/>
          <c:w val="0.816450668217371"/>
          <c:h val="0.77314814814814814"/>
        </c:manualLayout>
      </c:layout>
      <c:pieChart>
        <c:varyColors val="1"/>
        <c:ser>
          <c:idx val="0"/>
          <c:order val="0"/>
          <c:tx>
            <c:strRef>
              <c:f>'gaz (2)'!$K$1</c:f>
              <c:strCache>
                <c:ptCount val="1"/>
              </c:strCache>
            </c:strRef>
          </c:tx>
          <c:dPt>
            <c:idx val="0"/>
            <c:bubble3D val="0"/>
          </c:dPt>
          <c:dPt>
            <c:idx val="1"/>
            <c:bubble3D val="0"/>
          </c:dPt>
          <c:dPt>
            <c:idx val="2"/>
            <c:bubble3D val="0"/>
          </c:dPt>
          <c:dPt>
            <c:idx val="3"/>
            <c:bubble3D val="0"/>
          </c:dPt>
          <c:dPt>
            <c:idx val="4"/>
            <c:bubble3D val="0"/>
          </c:dPt>
          <c:dPt>
            <c:idx val="5"/>
            <c:bubble3D val="0"/>
          </c:dPt>
          <c:dPt>
            <c:idx val="6"/>
            <c:bubble3D val="0"/>
          </c:dPt>
          <c:dLbls>
            <c:numFmt formatCode="0.0%" sourceLinked="0"/>
            <c:spPr>
              <a:noFill/>
              <a:ln>
                <a:noFill/>
              </a:ln>
              <a:effectLst/>
            </c:spPr>
            <c:dLblPos val="outEnd"/>
            <c:showLegendKey val="1"/>
            <c:showVal val="0"/>
            <c:showCatName val="0"/>
            <c:showSerName val="0"/>
            <c:showPercent val="1"/>
            <c:showBubbleSize val="0"/>
            <c:showLeaderLines val="1"/>
            <c:extLst>
              <c:ext xmlns:c15="http://schemas.microsoft.com/office/drawing/2012/chart" uri="{CE6537A1-D6FC-4f65-9D91-7224C49458BB}"/>
            </c:extLst>
          </c:dLbls>
          <c:cat>
            <c:strRef>
              <c:f>'gaz (2)'!$R$4:$R$10</c:f>
              <c:strCache>
                <c:ptCount val="3"/>
                <c:pt idx="0">
                  <c:v>W-1.1</c:v>
                </c:pt>
                <c:pt idx="1">
                  <c:v>W-2.1</c:v>
                </c:pt>
                <c:pt idx="2">
                  <c:v>W-3.6</c:v>
                </c:pt>
              </c:strCache>
            </c:strRef>
          </c:cat>
          <c:val>
            <c:numRef>
              <c:f>'gaz (2)'!$S$4:$S$10</c:f>
              <c:numCache>
                <c:formatCode>General</c:formatCode>
                <c:ptCount val="7"/>
                <c:pt idx="0">
                  <c:v>0.18</c:v>
                </c:pt>
                <c:pt idx="1">
                  <c:v>6.06</c:v>
                </c:pt>
                <c:pt idx="2">
                  <c:v>102</c:v>
                </c:pt>
              </c:numCache>
            </c:numRef>
          </c:val>
        </c:ser>
        <c:dLbls>
          <c:showLegendKey val="0"/>
          <c:showVal val="0"/>
          <c:showCatName val="0"/>
          <c:showSerName val="0"/>
          <c:showPercent val="0"/>
          <c:showBubbleSize val="0"/>
          <c:showLeaderLines val="1"/>
        </c:dLbls>
        <c:firstSliceAng val="70"/>
      </c:pieChart>
      <c:spPr>
        <a:noFill/>
        <a:ln w="25397">
          <a:noFill/>
        </a:ln>
      </c:spPr>
    </c:plotArea>
    <c:legend>
      <c:legendPos val="r"/>
      <c:layout>
        <c:manualLayout>
          <c:xMode val="edge"/>
          <c:yMode val="edge"/>
          <c:x val="0.84510286863492712"/>
          <c:y val="0.27368037646832438"/>
          <c:w val="0.10321969696969698"/>
          <c:h val="0.56802721088435371"/>
        </c:manualLayout>
      </c:layout>
      <c:overlay val="0"/>
    </c:legend>
    <c:plotVisOnly val="1"/>
    <c:dispBlanksAs val="gap"/>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2"/>
          <c:order val="0"/>
          <c:tx>
            <c:strRef>
              <c:f>Arkusz2!$B$6</c:f>
              <c:strCache>
                <c:ptCount val="1"/>
                <c:pt idx="0">
                  <c:v>W-3.6</c:v>
                </c:pt>
              </c:strCache>
            </c:strRef>
          </c:tx>
          <c:invertIfNegative val="0"/>
          <c:val>
            <c:numRef>
              <c:f>Arkusz2!$C$6:$E$6</c:f>
              <c:numCache>
                <c:formatCode>General</c:formatCode>
                <c:ptCount val="3"/>
                <c:pt idx="0">
                  <c:v>63</c:v>
                </c:pt>
                <c:pt idx="1">
                  <c:v>71</c:v>
                </c:pt>
                <c:pt idx="2">
                  <c:v>74</c:v>
                </c:pt>
              </c:numCache>
            </c:numRef>
          </c:val>
        </c:ser>
        <c:ser>
          <c:idx val="1"/>
          <c:order val="1"/>
          <c:tx>
            <c:strRef>
              <c:f>Arkusz2!$B$5</c:f>
              <c:strCache>
                <c:ptCount val="1"/>
                <c:pt idx="0">
                  <c:v>W-2.1</c:v>
                </c:pt>
              </c:strCache>
            </c:strRef>
          </c:tx>
          <c:invertIfNegative val="0"/>
          <c:cat>
            <c:numRef>
              <c:f>Arkusz2!$C$3:$E$3</c:f>
              <c:numCache>
                <c:formatCode>General</c:formatCode>
                <c:ptCount val="3"/>
                <c:pt idx="0">
                  <c:v>2016</c:v>
                </c:pt>
                <c:pt idx="1">
                  <c:v>2017</c:v>
                </c:pt>
                <c:pt idx="2">
                  <c:v>2018</c:v>
                </c:pt>
              </c:numCache>
            </c:numRef>
          </c:cat>
          <c:val>
            <c:numRef>
              <c:f>Arkusz2!$C$5:$E$5</c:f>
              <c:numCache>
                <c:formatCode>General</c:formatCode>
                <c:ptCount val="3"/>
                <c:pt idx="0">
                  <c:v>13</c:v>
                </c:pt>
                <c:pt idx="1">
                  <c:v>17</c:v>
                </c:pt>
                <c:pt idx="2">
                  <c:v>24</c:v>
                </c:pt>
              </c:numCache>
            </c:numRef>
          </c:val>
        </c:ser>
        <c:ser>
          <c:idx val="0"/>
          <c:order val="2"/>
          <c:tx>
            <c:strRef>
              <c:f>Arkusz2!$B$4</c:f>
              <c:strCache>
                <c:ptCount val="1"/>
                <c:pt idx="0">
                  <c:v>W-1.1</c:v>
                </c:pt>
              </c:strCache>
            </c:strRef>
          </c:tx>
          <c:invertIfNegative val="0"/>
          <c:cat>
            <c:numRef>
              <c:f>Arkusz2!$C$3:$E$3</c:f>
              <c:numCache>
                <c:formatCode>General</c:formatCode>
                <c:ptCount val="3"/>
                <c:pt idx="0">
                  <c:v>2016</c:v>
                </c:pt>
                <c:pt idx="1">
                  <c:v>2017</c:v>
                </c:pt>
                <c:pt idx="2">
                  <c:v>2018</c:v>
                </c:pt>
              </c:numCache>
            </c:numRef>
          </c:cat>
          <c:val>
            <c:numRef>
              <c:f>Arkusz2!$C$4:$E$4</c:f>
              <c:numCache>
                <c:formatCode>General</c:formatCode>
                <c:ptCount val="3"/>
                <c:pt idx="0">
                  <c:v>4</c:v>
                </c:pt>
                <c:pt idx="1">
                  <c:v>4</c:v>
                </c:pt>
                <c:pt idx="2">
                  <c:v>6</c:v>
                </c:pt>
              </c:numCache>
            </c:numRef>
          </c:val>
        </c:ser>
        <c:dLbls>
          <c:showLegendKey val="0"/>
          <c:showVal val="0"/>
          <c:showCatName val="0"/>
          <c:showSerName val="0"/>
          <c:showPercent val="0"/>
          <c:showBubbleSize val="0"/>
        </c:dLbls>
        <c:gapWidth val="150"/>
        <c:overlap val="100"/>
        <c:axId val="340384552"/>
        <c:axId val="340385336"/>
      </c:barChart>
      <c:catAx>
        <c:axId val="340384552"/>
        <c:scaling>
          <c:orientation val="minMax"/>
        </c:scaling>
        <c:delete val="0"/>
        <c:axPos val="b"/>
        <c:numFmt formatCode="General" sourceLinked="1"/>
        <c:majorTickMark val="out"/>
        <c:minorTickMark val="none"/>
        <c:tickLblPos val="nextTo"/>
        <c:crossAx val="340385336"/>
        <c:crosses val="autoZero"/>
        <c:auto val="1"/>
        <c:lblAlgn val="ctr"/>
        <c:lblOffset val="100"/>
        <c:noMultiLvlLbl val="0"/>
      </c:catAx>
      <c:valAx>
        <c:axId val="34038533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odniorców, szt.</a:t>
                </a:r>
              </a:p>
            </c:rich>
          </c:tx>
          <c:overlay val="0"/>
        </c:title>
        <c:numFmt formatCode="General" sourceLinked="1"/>
        <c:majorTickMark val="out"/>
        <c:minorTickMark val="none"/>
        <c:tickLblPos val="nextTo"/>
        <c:crossAx val="340384552"/>
        <c:crosses val="autoZero"/>
        <c:crossBetween val="between"/>
      </c:valAx>
    </c:plotArea>
    <c:legend>
      <c:legendPos val="r"/>
      <c:layout>
        <c:manualLayout>
          <c:xMode val="edge"/>
          <c:yMode val="edge"/>
          <c:x val="0.876953125"/>
          <c:y val="0.37859424920127793"/>
          <c:w val="0.1064453125"/>
          <c:h val="0.2268370607028754"/>
        </c:manualLayout>
      </c:layout>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2"/>
          <c:order val="0"/>
          <c:tx>
            <c:strRef>
              <c:f>Arkusz2!$B$6</c:f>
              <c:strCache>
                <c:ptCount val="1"/>
                <c:pt idx="0">
                  <c:v>W-3.6</c:v>
                </c:pt>
              </c:strCache>
            </c:strRef>
          </c:tx>
          <c:invertIfNegative val="0"/>
          <c:val>
            <c:numRef>
              <c:f>Arkusz2!$F$6:$H$6</c:f>
              <c:numCache>
                <c:formatCode>General</c:formatCode>
                <c:ptCount val="3"/>
                <c:pt idx="0">
                  <c:v>89.56</c:v>
                </c:pt>
                <c:pt idx="1">
                  <c:v>96.23</c:v>
                </c:pt>
                <c:pt idx="2">
                  <c:v>102</c:v>
                </c:pt>
              </c:numCache>
            </c:numRef>
          </c:val>
        </c:ser>
        <c:ser>
          <c:idx val="1"/>
          <c:order val="1"/>
          <c:tx>
            <c:strRef>
              <c:f>Arkusz2!$B$5</c:f>
              <c:strCache>
                <c:ptCount val="1"/>
                <c:pt idx="0">
                  <c:v>W-2.1</c:v>
                </c:pt>
              </c:strCache>
            </c:strRef>
          </c:tx>
          <c:invertIfNegative val="0"/>
          <c:val>
            <c:numRef>
              <c:f>Arkusz2!$F$5:$H$5</c:f>
              <c:numCache>
                <c:formatCode>General</c:formatCode>
                <c:ptCount val="3"/>
                <c:pt idx="0">
                  <c:v>3.24</c:v>
                </c:pt>
                <c:pt idx="1">
                  <c:v>4.26</c:v>
                </c:pt>
                <c:pt idx="2">
                  <c:v>6.06</c:v>
                </c:pt>
              </c:numCache>
            </c:numRef>
          </c:val>
        </c:ser>
        <c:ser>
          <c:idx val="0"/>
          <c:order val="2"/>
          <c:tx>
            <c:strRef>
              <c:f>Arkusz2!$B$4</c:f>
              <c:strCache>
                <c:ptCount val="1"/>
                <c:pt idx="0">
                  <c:v>W-1.1</c:v>
                </c:pt>
              </c:strCache>
            </c:strRef>
          </c:tx>
          <c:invertIfNegative val="0"/>
          <c:cat>
            <c:numRef>
              <c:f>Arkusz2!$F$3:$H$3</c:f>
              <c:numCache>
                <c:formatCode>General</c:formatCode>
                <c:ptCount val="3"/>
                <c:pt idx="0">
                  <c:v>2016</c:v>
                </c:pt>
                <c:pt idx="1">
                  <c:v>2017</c:v>
                </c:pt>
                <c:pt idx="2">
                  <c:v>2018</c:v>
                </c:pt>
              </c:numCache>
            </c:numRef>
          </c:cat>
          <c:val>
            <c:numRef>
              <c:f>Arkusz2!$F$4:$H$4</c:f>
              <c:numCache>
                <c:formatCode>General</c:formatCode>
                <c:ptCount val="3"/>
                <c:pt idx="0">
                  <c:v>1.48</c:v>
                </c:pt>
                <c:pt idx="1">
                  <c:v>0.16</c:v>
                </c:pt>
                <c:pt idx="2">
                  <c:v>0.18</c:v>
                </c:pt>
              </c:numCache>
            </c:numRef>
          </c:val>
        </c:ser>
        <c:dLbls>
          <c:showLegendKey val="0"/>
          <c:showVal val="0"/>
          <c:showCatName val="0"/>
          <c:showSerName val="0"/>
          <c:showPercent val="0"/>
          <c:showBubbleSize val="0"/>
        </c:dLbls>
        <c:gapWidth val="150"/>
        <c:overlap val="100"/>
        <c:axId val="340382592"/>
        <c:axId val="340382200"/>
      </c:barChart>
      <c:catAx>
        <c:axId val="340382592"/>
        <c:scaling>
          <c:orientation val="minMax"/>
        </c:scaling>
        <c:delete val="0"/>
        <c:axPos val="b"/>
        <c:numFmt formatCode="General" sourceLinked="1"/>
        <c:majorTickMark val="out"/>
        <c:minorTickMark val="none"/>
        <c:tickLblPos val="nextTo"/>
        <c:crossAx val="340382200"/>
        <c:crosses val="autoZero"/>
        <c:auto val="1"/>
        <c:lblAlgn val="ctr"/>
        <c:lblOffset val="100"/>
        <c:noMultiLvlLbl val="0"/>
      </c:catAx>
      <c:valAx>
        <c:axId val="340382200"/>
        <c:scaling>
          <c:orientation val="minMax"/>
        </c:scaling>
        <c:delete val="0"/>
        <c:axPos val="l"/>
        <c:majorGridlines/>
        <c:title>
          <c:tx>
            <c:rich>
              <a:bodyPr/>
              <a:lstStyle/>
              <a:p>
                <a:pPr>
                  <a:defRPr sz="1100" b="0" i="0" u="none" strike="noStrike" baseline="0">
                    <a:solidFill>
                      <a:srgbClr val="000000"/>
                    </a:solidFill>
                    <a:latin typeface="Calibri"/>
                    <a:ea typeface="Calibri"/>
                    <a:cs typeface="Calibri"/>
                  </a:defRPr>
                </a:pPr>
                <a:r>
                  <a:rPr lang="pl-PL" sz="1000" b="1" i="0" u="none" strike="noStrike" baseline="0">
                    <a:solidFill>
                      <a:srgbClr val="000000"/>
                    </a:solidFill>
                    <a:latin typeface="Calibri"/>
                    <a:cs typeface="Calibri"/>
                  </a:rPr>
                  <a:t>zużycie gazu ziemnego, tys. m</a:t>
                </a:r>
                <a:r>
                  <a:rPr lang="pl-PL" sz="1000" b="1" i="0" u="none" strike="noStrike" baseline="30000">
                    <a:solidFill>
                      <a:srgbClr val="000000"/>
                    </a:solidFill>
                    <a:latin typeface="Calibri"/>
                    <a:cs typeface="Calibri"/>
                  </a:rPr>
                  <a:t>3</a:t>
                </a:r>
              </a:p>
            </c:rich>
          </c:tx>
          <c:overlay val="0"/>
        </c:title>
        <c:numFmt formatCode="General" sourceLinked="1"/>
        <c:majorTickMark val="out"/>
        <c:minorTickMark val="none"/>
        <c:tickLblPos val="nextTo"/>
        <c:crossAx val="340382592"/>
        <c:crosses val="autoZero"/>
        <c:crossBetween val="between"/>
      </c:valAx>
    </c:plotArea>
    <c:legend>
      <c:legendPos val="r"/>
      <c:layout>
        <c:manualLayout>
          <c:xMode val="edge"/>
          <c:yMode val="edge"/>
          <c:x val="0.87621832358674467"/>
          <c:y val="0.3814935064935065"/>
          <c:w val="0.10623781676413255"/>
          <c:h val="0.23051948051948051"/>
        </c:manualLayout>
      </c:layout>
      <c:overlay val="0"/>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5637592607474399"/>
          <c:y val="0.19124163230315203"/>
          <c:w val="0.69693468287632798"/>
          <c:h val="0.56974069623647372"/>
        </c:manualLayout>
      </c:layout>
      <c:pie3DChart>
        <c:varyColors val="1"/>
        <c:ser>
          <c:idx val="0"/>
          <c:order val="0"/>
          <c:tx>
            <c:strRef>
              <c:f>'RAZEM - 2018'!$S$184</c:f>
              <c:strCache>
                <c:ptCount val="1"/>
                <c:pt idx="0">
                  <c:v>Emisja równoważna SO2</c:v>
                </c:pt>
              </c:strCache>
            </c:strRef>
          </c:tx>
          <c:spPr>
            <a:solidFill>
              <a:srgbClr val="9999FF"/>
            </a:solidFill>
            <a:ln w="12700">
              <a:solidFill>
                <a:srgbClr val="000000"/>
              </a:solidFill>
              <a:prstDash val="solid"/>
            </a:ln>
          </c:spPr>
          <c:dPt>
            <c:idx val="0"/>
            <c:bubble3D val="0"/>
            <c:spPr>
              <a:gradFill rotWithShape="0">
                <a:gsLst>
                  <a:gs pos="0">
                    <a:srgbClr val="9999FF"/>
                  </a:gs>
                  <a:gs pos="100000">
                    <a:srgbClr val="474776"/>
                  </a:gs>
                </a:gsLst>
                <a:path path="rect">
                  <a:fillToRect l="100000" b="100000"/>
                </a:path>
              </a:gradFill>
              <a:ln w="25400">
                <a:noFill/>
              </a:ln>
            </c:spPr>
          </c:dPt>
          <c:dPt>
            <c:idx val="1"/>
            <c:bubble3D val="0"/>
            <c:spPr>
              <a:solidFill>
                <a:schemeClr val="accent6"/>
              </a:solidFill>
              <a:ln w="25400">
                <a:noFill/>
              </a:ln>
            </c:spPr>
          </c:dPt>
          <c:dPt>
            <c:idx val="2"/>
            <c:bubble3D val="0"/>
            <c:spPr>
              <a:solidFill>
                <a:schemeClr val="accent3"/>
              </a:solidFill>
              <a:ln w="25400">
                <a:noFill/>
              </a:ln>
            </c:spPr>
          </c:dPt>
          <c:dLbls>
            <c:dLbl>
              <c:idx val="0"/>
              <c:delete val="1"/>
              <c:extLst>
                <c:ext xmlns:c15="http://schemas.microsoft.com/office/drawing/2012/chart" uri="{CE6537A1-D6FC-4f65-9D91-7224C49458BB}"/>
              </c:extLst>
            </c:dLbl>
            <c:dLbl>
              <c:idx val="1"/>
              <c:layout>
                <c:manualLayout>
                  <c:x val="-1.89819675318363E-2"/>
                  <c:y val="0.119025353789539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7.0600029163021286E-2"/>
                  <c:y val="-0.13688773439402549"/>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25" b="0"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'RAZEM - 2018'!$S$186:$U$186</c:f>
              <c:strCache>
                <c:ptCount val="3"/>
                <c:pt idx="0">
                  <c:v>wysoka emisja</c:v>
                </c:pt>
                <c:pt idx="1">
                  <c:v>niska emisja</c:v>
                </c:pt>
                <c:pt idx="2">
                  <c:v>emisja liniowa</c:v>
                </c:pt>
              </c:strCache>
            </c:strRef>
          </c:cat>
          <c:val>
            <c:numRef>
              <c:f>'RAZEM - 2018'!$S$194:$U$194</c:f>
              <c:numCache>
                <c:formatCode>0.0%</c:formatCode>
                <c:ptCount val="3"/>
                <c:pt idx="0">
                  <c:v>0</c:v>
                </c:pt>
                <c:pt idx="1">
                  <c:v>0.66954006281001732</c:v>
                </c:pt>
                <c:pt idx="2">
                  <c:v>0.33045993718998257</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delete val="1"/>
      </c:legendEntry>
      <c:layout>
        <c:manualLayout>
          <c:xMode val="edge"/>
          <c:yMode val="edge"/>
          <c:x val="0.19097866238942354"/>
          <c:y val="0.85312281841058524"/>
          <c:w val="0.61460386896082442"/>
          <c:h val="9.7941391346700213E-2"/>
        </c:manualLayout>
      </c:layout>
      <c:overlay val="0"/>
      <c:spPr>
        <a:solidFill>
          <a:srgbClr val="FFFFFF"/>
        </a:solidFill>
        <a:ln w="25400">
          <a:noFill/>
        </a:ln>
      </c:spPr>
      <c:txPr>
        <a:bodyPr/>
        <a:lstStyle/>
        <a:p>
          <a:pPr>
            <a:defRPr sz="920" b="0" i="0" u="none" strike="noStrike" baseline="0">
              <a:solidFill>
                <a:srgbClr val="000000"/>
              </a:solidFill>
              <a:latin typeface="Arial CE"/>
              <a:ea typeface="Arial CE"/>
              <a:cs typeface="Arial CE"/>
            </a:defRPr>
          </a:pPr>
          <a:endParaRPr lang="pl-PL"/>
        </a:p>
      </c:txPr>
    </c:legend>
    <c:plotVisOnly val="1"/>
    <c:dispBlanksAs val="zero"/>
    <c:showDLblsOverMax val="0"/>
  </c:chart>
  <c:spPr>
    <a:solidFill>
      <a:srgbClr val="FFFFFF"/>
    </a:solidFill>
    <a:ln w="3175">
      <a:noFill/>
      <a:prstDash val="solid"/>
    </a:ln>
  </c:spPr>
  <c:txPr>
    <a:bodyPr/>
    <a:lstStyle/>
    <a:p>
      <a:pPr>
        <a:defRPr sz="9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85696584577644"/>
          <c:y val="2.3388411352708305E-2"/>
          <c:w val="0.82805945086158184"/>
          <c:h val="0.64727447138138416"/>
        </c:manualLayout>
      </c:layout>
      <c:barChart>
        <c:barDir val="col"/>
        <c:grouping val="clustered"/>
        <c:varyColors val="0"/>
        <c:ser>
          <c:idx val="0"/>
          <c:order val="0"/>
          <c:spPr>
            <a:solidFill>
              <a:srgbClr val="99CCFF"/>
            </a:solidFill>
            <a:ln w="25400">
              <a:noFill/>
            </a:ln>
          </c:spPr>
          <c:invertIfNegative val="0"/>
          <c:dPt>
            <c:idx val="0"/>
            <c:invertIfNegative val="0"/>
            <c:bubble3D val="0"/>
            <c:spPr>
              <a:solidFill>
                <a:srgbClr val="993366"/>
              </a:solidFill>
              <a:ln w="25400">
                <a:noFill/>
              </a:ln>
            </c:spPr>
          </c:dPt>
          <c:dPt>
            <c:idx val="1"/>
            <c:invertIfNegative val="0"/>
            <c:bubble3D val="0"/>
            <c:spPr>
              <a:solidFill>
                <a:srgbClr val="FFCC00"/>
              </a:solidFill>
              <a:ln w="25400">
                <a:noFill/>
              </a:ln>
            </c:spPr>
          </c:dPt>
          <c:dPt>
            <c:idx val="2"/>
            <c:invertIfNegative val="0"/>
            <c:bubble3D val="0"/>
            <c:spPr>
              <a:solidFill>
                <a:srgbClr val="99CC00"/>
              </a:solidFill>
              <a:ln w="25400">
                <a:noFill/>
              </a:ln>
            </c:spPr>
          </c:dPt>
          <c:dPt>
            <c:idx val="3"/>
            <c:invertIfNegative val="0"/>
            <c:bubble3D val="0"/>
            <c:spPr>
              <a:solidFill>
                <a:srgbClr val="C0C0C0"/>
              </a:solidFill>
              <a:ln w="25400">
                <a:noFill/>
              </a:ln>
            </c:spPr>
          </c:dPt>
          <c:dPt>
            <c:idx val="4"/>
            <c:invertIfNegative val="0"/>
            <c:bubble3D val="0"/>
            <c:spPr>
              <a:solidFill>
                <a:srgbClr val="808000"/>
              </a:solidFill>
              <a:ln w="25400">
                <a:noFill/>
              </a:ln>
            </c:spPr>
          </c:dPt>
          <c:dPt>
            <c:idx val="5"/>
            <c:invertIfNegative val="0"/>
            <c:bubble3D val="0"/>
          </c:dPt>
          <c:dPt>
            <c:idx val="6"/>
            <c:invertIfNegative val="0"/>
            <c:bubble3D val="0"/>
          </c:dPt>
          <c:dPt>
            <c:idx val="7"/>
            <c:invertIfNegative val="0"/>
            <c:bubble3D val="0"/>
            <c:spPr>
              <a:solidFill>
                <a:srgbClr val="FF9900"/>
              </a:solidFill>
              <a:ln w="25400">
                <a:noFill/>
              </a:ln>
            </c:spPr>
          </c:dPt>
          <c:dPt>
            <c:idx val="8"/>
            <c:invertIfNegative val="0"/>
            <c:bubble3D val="0"/>
            <c:spPr>
              <a:solidFill>
                <a:srgbClr val="969696"/>
              </a:solidFill>
              <a:ln w="25400">
                <a:noFill/>
              </a:ln>
            </c:spPr>
          </c:dPt>
          <c:dPt>
            <c:idx val="9"/>
            <c:invertIfNegative val="0"/>
            <c:bubble3D val="0"/>
            <c:spPr>
              <a:solidFill>
                <a:srgbClr val="969696"/>
              </a:solidFill>
              <a:ln w="25400">
                <a:noFill/>
              </a:ln>
            </c:spPr>
          </c:dPt>
          <c:dPt>
            <c:idx val="10"/>
            <c:invertIfNegative val="0"/>
            <c:bubble3D val="0"/>
            <c:spPr>
              <a:solidFill>
                <a:srgbClr val="800000"/>
              </a:solidFill>
              <a:ln w="25400">
                <a:noFill/>
              </a:ln>
            </c:spPr>
          </c:dPt>
          <c:dPt>
            <c:idx val="11"/>
            <c:invertIfNegative val="0"/>
            <c:bubble3D val="0"/>
          </c:dPt>
          <c:dLbls>
            <c:dLbl>
              <c:idx val="11"/>
              <c:layout>
                <c:manualLayout>
                  <c:x val="-2.5278793282150847E-3"/>
                  <c:y val="9.1531537890913478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_-* #,##0\ _z_ł_-;\-* #,##0\ _z_ł_-;_-* &quot;-&quot;??\ _z_ł_-;_-@_-" sourceLinked="0"/>
            <c:spPr>
              <a:noFill/>
              <a:ln w="25400">
                <a:noFill/>
              </a:ln>
            </c:spPr>
            <c:txPr>
              <a:bodyPr rot="-5400000" vert="horz"/>
              <a:lstStyle/>
              <a:p>
                <a:pPr algn="ctr">
                  <a:defRPr sz="1025" b="0" i="0" u="none" strike="noStrike" baseline="0">
                    <a:solidFill>
                      <a:srgbClr val="000000"/>
                    </a:solidFill>
                    <a:latin typeface="Tahoma"/>
                    <a:ea typeface="Tahoma"/>
                    <a:cs typeface="Tahoma"/>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koszty!$M$38:$M$47</c:f>
              <c:strCache>
                <c:ptCount val="10"/>
                <c:pt idx="0">
                  <c:v>energia elektryczna G11</c:v>
                </c:pt>
                <c:pt idx="1">
                  <c:v>energia elektryczna G12g</c:v>
                </c:pt>
                <c:pt idx="2">
                  <c:v>kocioł olejowy</c:v>
                </c:pt>
                <c:pt idx="3">
                  <c:v>kocioł LPG</c:v>
                </c:pt>
                <c:pt idx="4">
                  <c:v>kocioł gazowy</c:v>
                </c:pt>
                <c:pt idx="5">
                  <c:v>węgiel - kocioł tradycyjny</c:v>
                </c:pt>
                <c:pt idx="6">
                  <c:v>pompa ciepła</c:v>
                </c:pt>
                <c:pt idx="7">
                  <c:v>węgiel - kocioł retortowy</c:v>
                </c:pt>
                <c:pt idx="8">
                  <c:v>kotły na słomę</c:v>
                </c:pt>
                <c:pt idx="9">
                  <c:v>kotły na drewno</c:v>
                </c:pt>
              </c:strCache>
            </c:strRef>
          </c:cat>
          <c:val>
            <c:numRef>
              <c:f>koszty!$N$38:$N$47</c:f>
              <c:numCache>
                <c:formatCode>0.0</c:formatCode>
                <c:ptCount val="10"/>
                <c:pt idx="0" formatCode="0.00">
                  <c:v>159.19092869565216</c:v>
                </c:pt>
                <c:pt idx="1">
                  <c:v>119.11562493913041</c:v>
                </c:pt>
                <c:pt idx="2" formatCode="0.00">
                  <c:v>102.82608695652173</c:v>
                </c:pt>
                <c:pt idx="3">
                  <c:v>97.276956521739123</c:v>
                </c:pt>
                <c:pt idx="4" formatCode="0.00">
                  <c:v>63.284417976630429</c:v>
                </c:pt>
                <c:pt idx="5">
                  <c:v>56.856231884057969</c:v>
                </c:pt>
                <c:pt idx="6" formatCode="0.00">
                  <c:v>55.071603831982308</c:v>
                </c:pt>
                <c:pt idx="7" formatCode="0.00">
                  <c:v>42.391304347826079</c:v>
                </c:pt>
                <c:pt idx="8" formatCode="0.00">
                  <c:v>40.108695652173914</c:v>
                </c:pt>
                <c:pt idx="9">
                  <c:v>36.365217391304348</c:v>
                </c:pt>
              </c:numCache>
            </c:numRef>
          </c:val>
        </c:ser>
        <c:dLbls>
          <c:showLegendKey val="0"/>
          <c:showVal val="0"/>
          <c:showCatName val="0"/>
          <c:showSerName val="0"/>
          <c:showPercent val="0"/>
          <c:showBubbleSize val="0"/>
        </c:dLbls>
        <c:gapWidth val="150"/>
        <c:axId val="458452824"/>
        <c:axId val="458451648"/>
      </c:barChart>
      <c:catAx>
        <c:axId val="458452824"/>
        <c:scaling>
          <c:orientation val="minMax"/>
        </c:scaling>
        <c:delete val="0"/>
        <c:axPos val="b"/>
        <c:title>
          <c:tx>
            <c:rich>
              <a:bodyPr/>
              <a:lstStyle/>
              <a:p>
                <a:pPr>
                  <a:defRPr sz="1025" b="1" i="0" u="none" strike="noStrike" baseline="0">
                    <a:solidFill>
                      <a:srgbClr val="000000"/>
                    </a:solidFill>
                    <a:latin typeface="Arial"/>
                    <a:ea typeface="Arial"/>
                    <a:cs typeface="Arial"/>
                  </a:defRPr>
                </a:pPr>
                <a:r>
                  <a:rPr lang="pl-PL"/>
                  <a:t>Sposób ogrzewania</a:t>
                </a:r>
              </a:p>
            </c:rich>
          </c:tx>
          <c:layout>
            <c:manualLayout>
              <c:xMode val="edge"/>
              <c:yMode val="edge"/>
              <c:x val="0.38608865279399884"/>
              <c:y val="0.95136074354046662"/>
            </c:manualLayout>
          </c:layout>
          <c:overlay val="0"/>
          <c:spPr>
            <a:noFill/>
            <a:ln w="25400">
              <a:noFill/>
            </a:ln>
          </c:spPr>
        </c:title>
        <c:numFmt formatCode="General" sourceLinked="1"/>
        <c:majorTickMark val="out"/>
        <c:minorTickMark val="none"/>
        <c:tickLblPos val="nextTo"/>
        <c:spPr>
          <a:ln w="3175">
            <a:solidFill>
              <a:srgbClr val="969696"/>
            </a:solidFill>
            <a:prstDash val="solid"/>
          </a:ln>
        </c:spPr>
        <c:txPr>
          <a:bodyPr rot="-2700000" vert="horz"/>
          <a:lstStyle/>
          <a:p>
            <a:pPr>
              <a:defRPr sz="900" b="0" i="0" u="none" strike="noStrike" baseline="0">
                <a:solidFill>
                  <a:srgbClr val="000000"/>
                </a:solidFill>
                <a:latin typeface="Tahoma"/>
                <a:ea typeface="Tahoma"/>
                <a:cs typeface="Tahoma"/>
              </a:defRPr>
            </a:pPr>
            <a:endParaRPr lang="pl-PL"/>
          </a:p>
        </c:txPr>
        <c:crossAx val="458451648"/>
        <c:crosses val="autoZero"/>
        <c:auto val="1"/>
        <c:lblAlgn val="ctr"/>
        <c:lblOffset val="100"/>
        <c:tickLblSkip val="1"/>
        <c:tickMarkSkip val="1"/>
        <c:noMultiLvlLbl val="0"/>
      </c:catAx>
      <c:valAx>
        <c:axId val="458451648"/>
        <c:scaling>
          <c:orientation val="minMax"/>
          <c:max val="170"/>
          <c:min val="0"/>
        </c:scaling>
        <c:delete val="0"/>
        <c:axPos val="l"/>
        <c:majorGridlines>
          <c:spPr>
            <a:ln w="12700">
              <a:solidFill>
                <a:srgbClr val="C0C0C0"/>
              </a:solidFill>
              <a:prstDash val="solid"/>
            </a:ln>
          </c:spPr>
        </c:majorGridlines>
        <c:title>
          <c:tx>
            <c:rich>
              <a:bodyPr/>
              <a:lstStyle/>
              <a:p>
                <a:pPr>
                  <a:defRPr sz="1000" b="1" i="0" u="none" strike="noStrike" baseline="0">
                    <a:solidFill>
                      <a:srgbClr val="000000"/>
                    </a:solidFill>
                    <a:latin typeface="Tahoma"/>
                    <a:ea typeface="Tahoma"/>
                    <a:cs typeface="Tahoma"/>
                  </a:defRPr>
                </a:pPr>
                <a:r>
                  <a:rPr lang="pl-PL" sz="1000"/>
                  <a:t>Jednostkowe koszty ciepła [zł/GJ]</a:t>
                </a:r>
              </a:p>
            </c:rich>
          </c:tx>
          <c:layout>
            <c:manualLayout>
              <c:xMode val="edge"/>
              <c:yMode val="edge"/>
              <c:x val="6.7750541782983838E-3"/>
              <c:y val="7.4766377996427644E-2"/>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975" b="0" i="0" u="none" strike="noStrike" baseline="0">
                <a:solidFill>
                  <a:srgbClr val="000000"/>
                </a:solidFill>
                <a:latin typeface="Arial"/>
                <a:ea typeface="Arial"/>
                <a:cs typeface="Arial"/>
              </a:defRPr>
            </a:pPr>
            <a:endParaRPr lang="pl-PL"/>
          </a:p>
        </c:txPr>
        <c:crossAx val="458452824"/>
        <c:crosses val="autoZero"/>
        <c:crossBetween val="between"/>
        <c:majorUnit val="50"/>
      </c:valAx>
      <c:spPr>
        <a:noFill/>
        <a:ln w="25400">
          <a:noFill/>
        </a:ln>
      </c:spPr>
    </c:plotArea>
    <c:plotVisOnly val="1"/>
    <c:dispBlanksAs val="gap"/>
    <c:showDLblsOverMax val="0"/>
  </c:chart>
  <c:spPr>
    <a:solidFill>
      <a:srgbClr val="FFFFFF"/>
    </a:solidFill>
    <a:ln w="3175">
      <a:noFill/>
      <a:prstDash val="solid"/>
    </a:ln>
  </c:spPr>
  <c:txPr>
    <a:bodyPr/>
    <a:lstStyle/>
    <a:p>
      <a:pPr>
        <a:defRPr sz="1050" b="0" i="0" u="none" strike="noStrike" baseline="0">
          <a:solidFill>
            <a:srgbClr val="000000"/>
          </a:solidFill>
          <a:latin typeface="Arial"/>
          <a:ea typeface="Arial"/>
          <a:cs typeface="Arial"/>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64441765353492"/>
          <c:y val="2.6846510027432574E-2"/>
          <c:w val="0.84340184938077722"/>
          <c:h val="0.60532486505224581"/>
        </c:manualLayout>
      </c:layout>
      <c:barChart>
        <c:barDir val="col"/>
        <c:grouping val="clustered"/>
        <c:varyColors val="0"/>
        <c:ser>
          <c:idx val="0"/>
          <c:order val="0"/>
          <c:spPr>
            <a:solidFill>
              <a:srgbClr val="99CCFF"/>
            </a:solidFill>
            <a:ln w="25400">
              <a:noFill/>
            </a:ln>
          </c:spPr>
          <c:invertIfNegative val="0"/>
          <c:dPt>
            <c:idx val="0"/>
            <c:invertIfNegative val="0"/>
            <c:bubble3D val="0"/>
            <c:spPr>
              <a:solidFill>
                <a:srgbClr val="993366"/>
              </a:solidFill>
              <a:ln w="25400">
                <a:noFill/>
              </a:ln>
            </c:spPr>
          </c:dPt>
          <c:dPt>
            <c:idx val="1"/>
            <c:invertIfNegative val="0"/>
            <c:bubble3D val="0"/>
            <c:spPr>
              <a:solidFill>
                <a:srgbClr val="FFCC00"/>
              </a:solidFill>
              <a:ln w="25400">
                <a:noFill/>
              </a:ln>
            </c:spPr>
          </c:dPt>
          <c:dPt>
            <c:idx val="2"/>
            <c:invertIfNegative val="0"/>
            <c:bubble3D val="0"/>
            <c:spPr>
              <a:solidFill>
                <a:srgbClr val="99CC00"/>
              </a:solidFill>
              <a:ln w="25400">
                <a:noFill/>
              </a:ln>
            </c:spPr>
          </c:dPt>
          <c:dPt>
            <c:idx val="3"/>
            <c:invertIfNegative val="0"/>
            <c:bubble3D val="0"/>
            <c:spPr>
              <a:solidFill>
                <a:srgbClr val="C0C0C0"/>
              </a:solidFill>
              <a:ln w="25400">
                <a:noFill/>
              </a:ln>
            </c:spPr>
          </c:dPt>
          <c:dPt>
            <c:idx val="4"/>
            <c:invertIfNegative val="0"/>
            <c:bubble3D val="0"/>
            <c:spPr>
              <a:solidFill>
                <a:srgbClr val="808000"/>
              </a:solidFill>
              <a:ln w="25400">
                <a:noFill/>
              </a:ln>
            </c:spPr>
          </c:dPt>
          <c:dPt>
            <c:idx val="5"/>
            <c:invertIfNegative val="0"/>
            <c:bubble3D val="0"/>
          </c:dPt>
          <c:dPt>
            <c:idx val="6"/>
            <c:invertIfNegative val="0"/>
            <c:bubble3D val="0"/>
          </c:dPt>
          <c:dPt>
            <c:idx val="7"/>
            <c:invertIfNegative val="0"/>
            <c:bubble3D val="0"/>
            <c:spPr>
              <a:solidFill>
                <a:srgbClr val="FF9900"/>
              </a:solidFill>
              <a:ln w="25400">
                <a:noFill/>
              </a:ln>
            </c:spPr>
          </c:dPt>
          <c:dPt>
            <c:idx val="8"/>
            <c:invertIfNegative val="0"/>
            <c:bubble3D val="0"/>
            <c:spPr>
              <a:solidFill>
                <a:srgbClr val="969696"/>
              </a:solidFill>
              <a:ln w="25400">
                <a:noFill/>
              </a:ln>
            </c:spPr>
          </c:dPt>
          <c:dPt>
            <c:idx val="9"/>
            <c:invertIfNegative val="0"/>
            <c:bubble3D val="0"/>
            <c:spPr>
              <a:solidFill>
                <a:srgbClr val="969696"/>
              </a:solidFill>
              <a:ln w="25400">
                <a:noFill/>
              </a:ln>
            </c:spPr>
          </c:dPt>
          <c:dPt>
            <c:idx val="10"/>
            <c:invertIfNegative val="0"/>
            <c:bubble3D val="0"/>
            <c:spPr>
              <a:solidFill>
                <a:srgbClr val="800000"/>
              </a:solidFill>
              <a:ln w="25400">
                <a:noFill/>
              </a:ln>
            </c:spPr>
          </c:dPt>
          <c:dPt>
            <c:idx val="11"/>
            <c:invertIfNegative val="0"/>
            <c:bubble3D val="0"/>
          </c:dPt>
          <c:dLbls>
            <c:dLbl>
              <c:idx val="11"/>
              <c:layout>
                <c:manualLayout>
                  <c:x val="1.952841885672342E-4"/>
                  <c:y val="0.10297610661067479"/>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_-* #,##0\ _z_ł_-;\-* #,##0\ _z_ł_-;_-* &quot;-&quot;??\ _z_ł_-;_-@_-" sourceLinked="0"/>
            <c:spPr>
              <a:noFill/>
              <a:ln w="25400">
                <a:noFill/>
              </a:ln>
            </c:spPr>
            <c:txPr>
              <a:bodyPr rot="-5400000" vert="horz"/>
              <a:lstStyle/>
              <a:p>
                <a:pPr algn="ct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koszty!$P$38:$P$47</c:f>
              <c:strCache>
                <c:ptCount val="10"/>
                <c:pt idx="0">
                  <c:v>energia elektryczna G11</c:v>
                </c:pt>
                <c:pt idx="1">
                  <c:v>energia elektryczna G12g</c:v>
                </c:pt>
                <c:pt idx="2">
                  <c:v>kocioł olejowy</c:v>
                </c:pt>
                <c:pt idx="3">
                  <c:v>kocioł LPG</c:v>
                </c:pt>
                <c:pt idx="4">
                  <c:v>kocioł gazowy</c:v>
                </c:pt>
                <c:pt idx="5">
                  <c:v>węgiel - kocioł tradycyjny</c:v>
                </c:pt>
                <c:pt idx="6">
                  <c:v>pompa ciepła</c:v>
                </c:pt>
                <c:pt idx="7">
                  <c:v>węgiel - kocioł retortowy</c:v>
                </c:pt>
                <c:pt idx="8">
                  <c:v>kotły na słomę</c:v>
                </c:pt>
                <c:pt idx="9">
                  <c:v>kotły na drewno</c:v>
                </c:pt>
              </c:strCache>
            </c:strRef>
          </c:cat>
          <c:val>
            <c:numRef>
              <c:f>koszty!$Q$38:$Q$47</c:f>
              <c:numCache>
                <c:formatCode>General</c:formatCode>
                <c:ptCount val="10"/>
                <c:pt idx="0" formatCode="0">
                  <c:v>10984</c:v>
                </c:pt>
                <c:pt idx="1">
                  <c:v>8219</c:v>
                </c:pt>
                <c:pt idx="2" formatCode="0">
                  <c:v>7095</c:v>
                </c:pt>
                <c:pt idx="3" formatCode="0">
                  <c:v>6712</c:v>
                </c:pt>
                <c:pt idx="4">
                  <c:v>4366.6248403874997</c:v>
                </c:pt>
                <c:pt idx="5">
                  <c:v>3923</c:v>
                </c:pt>
                <c:pt idx="6" formatCode="0">
                  <c:v>3800</c:v>
                </c:pt>
                <c:pt idx="7">
                  <c:v>2925</c:v>
                </c:pt>
                <c:pt idx="8">
                  <c:v>2768</c:v>
                </c:pt>
                <c:pt idx="9" formatCode="0">
                  <c:v>2509</c:v>
                </c:pt>
              </c:numCache>
            </c:numRef>
          </c:val>
        </c:ser>
        <c:dLbls>
          <c:showLegendKey val="0"/>
          <c:showVal val="0"/>
          <c:showCatName val="0"/>
          <c:showSerName val="0"/>
          <c:showPercent val="0"/>
          <c:showBubbleSize val="0"/>
        </c:dLbls>
        <c:gapWidth val="150"/>
        <c:axId val="458454000"/>
        <c:axId val="458452432"/>
      </c:barChart>
      <c:catAx>
        <c:axId val="458454000"/>
        <c:scaling>
          <c:orientation val="minMax"/>
        </c:scaling>
        <c:delete val="0"/>
        <c:axPos val="b"/>
        <c:title>
          <c:tx>
            <c:rich>
              <a:bodyPr/>
              <a:lstStyle/>
              <a:p>
                <a:pPr>
                  <a:defRPr/>
                </a:pPr>
                <a:r>
                  <a:rPr lang="pl-PL"/>
                  <a:t>Sposób ogrzewania</a:t>
                </a:r>
              </a:p>
            </c:rich>
          </c:tx>
          <c:layout>
            <c:manualLayout>
              <c:xMode val="edge"/>
              <c:yMode val="edge"/>
              <c:x val="0.43251713153080745"/>
              <c:y val="0.95290123005965244"/>
            </c:manualLayout>
          </c:layout>
          <c:overlay val="0"/>
          <c:spPr>
            <a:noFill/>
            <a:ln w="25400">
              <a:noFill/>
            </a:ln>
          </c:spPr>
        </c:title>
        <c:numFmt formatCode="General" sourceLinked="1"/>
        <c:majorTickMark val="out"/>
        <c:minorTickMark val="none"/>
        <c:tickLblPos val="nextTo"/>
        <c:spPr>
          <a:ln w="3175">
            <a:solidFill>
              <a:srgbClr val="969696"/>
            </a:solidFill>
            <a:prstDash val="solid"/>
          </a:ln>
        </c:spPr>
        <c:txPr>
          <a:bodyPr rot="-2700000" vert="horz"/>
          <a:lstStyle/>
          <a:p>
            <a:pPr>
              <a:defRPr/>
            </a:pPr>
            <a:endParaRPr lang="pl-PL"/>
          </a:p>
        </c:txPr>
        <c:crossAx val="458452432"/>
        <c:crosses val="autoZero"/>
        <c:auto val="1"/>
        <c:lblAlgn val="ctr"/>
        <c:lblOffset val="100"/>
        <c:tickLblSkip val="1"/>
        <c:tickMarkSkip val="1"/>
        <c:noMultiLvlLbl val="0"/>
      </c:catAx>
      <c:valAx>
        <c:axId val="458452432"/>
        <c:scaling>
          <c:orientation val="minMax"/>
          <c:max val="14000"/>
          <c:min val="0"/>
        </c:scaling>
        <c:delete val="0"/>
        <c:axPos val="l"/>
        <c:majorGridlines>
          <c:spPr>
            <a:ln w="12700">
              <a:solidFill>
                <a:srgbClr val="C0C0C0"/>
              </a:solidFill>
              <a:prstDash val="solid"/>
            </a:ln>
          </c:spPr>
        </c:majorGridlines>
        <c:title>
          <c:tx>
            <c:rich>
              <a:bodyPr/>
              <a:lstStyle/>
              <a:p>
                <a:pPr>
                  <a:defRPr/>
                </a:pPr>
                <a:r>
                  <a:rPr lang="pl-PL"/>
                  <a:t>Roczne koszty ogrzewania [zł/rok]</a:t>
                </a:r>
              </a:p>
            </c:rich>
          </c:tx>
          <c:layout>
            <c:manualLayout>
              <c:xMode val="edge"/>
              <c:yMode val="edge"/>
              <c:x val="2.9512028699761814E-2"/>
              <c:y val="0.18080874224946061"/>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a:pPr>
            <a:endParaRPr lang="pl-PL"/>
          </a:p>
        </c:txPr>
        <c:crossAx val="458454000"/>
        <c:crosses val="autoZero"/>
        <c:crossBetween val="between"/>
        <c:majorUnit val="4000"/>
      </c:valAx>
      <c:spPr>
        <a:noFill/>
        <a:ln w="25400">
          <a:noFill/>
        </a:ln>
      </c:spPr>
    </c:plotArea>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Zbiorczy!$B$149</c:f>
              <c:strCache>
                <c:ptCount val="1"/>
                <c:pt idx="0">
                  <c:v>Scenariusz A</c:v>
                </c:pt>
              </c:strCache>
            </c:strRef>
          </c:tx>
          <c:marker>
            <c:symbol val="none"/>
          </c:marker>
          <c:xVal>
            <c:numRef>
              <c:f>Zbiorczy!$G$148:$K$148</c:f>
              <c:numCache>
                <c:formatCode>General</c:formatCode>
                <c:ptCount val="5"/>
                <c:pt idx="0">
                  <c:v>2018</c:v>
                </c:pt>
                <c:pt idx="1">
                  <c:v>2020</c:v>
                </c:pt>
                <c:pt idx="2">
                  <c:v>2025</c:v>
                </c:pt>
                <c:pt idx="3">
                  <c:v>2030</c:v>
                </c:pt>
                <c:pt idx="4">
                  <c:v>2035</c:v>
                </c:pt>
              </c:numCache>
            </c:numRef>
          </c:xVal>
          <c:yVal>
            <c:numRef>
              <c:f>Zbiorczy!$G$149:$K$149</c:f>
              <c:numCache>
                <c:formatCode>#,##0</c:formatCode>
                <c:ptCount val="5"/>
                <c:pt idx="0">
                  <c:v>11201.305</c:v>
                </c:pt>
                <c:pt idx="1">
                  <c:v>11296.58728966522</c:v>
                </c:pt>
                <c:pt idx="2">
                  <c:v>11534.793013828274</c:v>
                </c:pt>
                <c:pt idx="3">
                  <c:v>11772.998737991324</c:v>
                </c:pt>
                <c:pt idx="4">
                  <c:v>12015.078122154377</c:v>
                </c:pt>
              </c:numCache>
            </c:numRef>
          </c:yVal>
          <c:smooth val="0"/>
        </c:ser>
        <c:ser>
          <c:idx val="1"/>
          <c:order val="1"/>
          <c:tx>
            <c:strRef>
              <c:f>Zbiorczy!$B$150</c:f>
              <c:strCache>
                <c:ptCount val="1"/>
                <c:pt idx="0">
                  <c:v>Scenariusz B</c:v>
                </c:pt>
              </c:strCache>
            </c:strRef>
          </c:tx>
          <c:marker>
            <c:symbol val="none"/>
          </c:marker>
          <c:xVal>
            <c:numRef>
              <c:f>Zbiorczy!$G$148:$K$148</c:f>
              <c:numCache>
                <c:formatCode>General</c:formatCode>
                <c:ptCount val="5"/>
                <c:pt idx="0">
                  <c:v>2018</c:v>
                </c:pt>
                <c:pt idx="1">
                  <c:v>2020</c:v>
                </c:pt>
                <c:pt idx="2">
                  <c:v>2025</c:v>
                </c:pt>
                <c:pt idx="3">
                  <c:v>2030</c:v>
                </c:pt>
                <c:pt idx="4">
                  <c:v>2035</c:v>
                </c:pt>
              </c:numCache>
            </c:numRef>
          </c:xVal>
          <c:yVal>
            <c:numRef>
              <c:f>Zbiorczy!$G$150:$K$150</c:f>
              <c:numCache>
                <c:formatCode>#,##0</c:formatCode>
                <c:ptCount val="5"/>
                <c:pt idx="0">
                  <c:v>11201.305</c:v>
                </c:pt>
                <c:pt idx="1">
                  <c:v>11845.283530773671</c:v>
                </c:pt>
                <c:pt idx="2">
                  <c:v>13447.501906007845</c:v>
                </c:pt>
                <c:pt idx="3">
                  <c:v>15051.696041525021</c:v>
                </c:pt>
                <c:pt idx="4">
                  <c:v>16655.929496628025</c:v>
                </c:pt>
              </c:numCache>
            </c:numRef>
          </c:yVal>
          <c:smooth val="0"/>
        </c:ser>
        <c:ser>
          <c:idx val="2"/>
          <c:order val="2"/>
          <c:tx>
            <c:strRef>
              <c:f>Zbiorczy!$B$151</c:f>
              <c:strCache>
                <c:ptCount val="1"/>
                <c:pt idx="0">
                  <c:v>Scenariusz C</c:v>
                </c:pt>
              </c:strCache>
            </c:strRef>
          </c:tx>
          <c:marker>
            <c:symbol val="none"/>
          </c:marker>
          <c:xVal>
            <c:numRef>
              <c:f>Zbiorczy!$G$148:$K$148</c:f>
              <c:numCache>
                <c:formatCode>General</c:formatCode>
                <c:ptCount val="5"/>
                <c:pt idx="0">
                  <c:v>2018</c:v>
                </c:pt>
                <c:pt idx="1">
                  <c:v>2020</c:v>
                </c:pt>
                <c:pt idx="2">
                  <c:v>2025</c:v>
                </c:pt>
                <c:pt idx="3">
                  <c:v>2030</c:v>
                </c:pt>
                <c:pt idx="4">
                  <c:v>2035</c:v>
                </c:pt>
              </c:numCache>
            </c:numRef>
          </c:xVal>
          <c:yVal>
            <c:numRef>
              <c:f>Zbiorczy!$G$151:$K$151</c:f>
              <c:numCache>
                <c:formatCode>#,##0</c:formatCode>
                <c:ptCount val="5"/>
                <c:pt idx="0">
                  <c:v>11201.305</c:v>
                </c:pt>
                <c:pt idx="1">
                  <c:v>12393.901231896331</c:v>
                </c:pt>
                <c:pt idx="2">
                  <c:v>15375.391811637157</c:v>
                </c:pt>
                <c:pt idx="3">
                  <c:v>18356.882391377985</c:v>
                </c:pt>
                <c:pt idx="4">
                  <c:v>21338.372971118806</c:v>
                </c:pt>
              </c:numCache>
            </c:numRef>
          </c:yVal>
          <c:smooth val="0"/>
        </c:ser>
        <c:dLbls>
          <c:showLegendKey val="0"/>
          <c:showVal val="0"/>
          <c:showCatName val="0"/>
          <c:showSerName val="0"/>
          <c:showPercent val="0"/>
          <c:showBubbleSize val="0"/>
        </c:dLbls>
        <c:axId val="458453216"/>
        <c:axId val="458453608"/>
      </c:scatterChart>
      <c:valAx>
        <c:axId val="458453216"/>
        <c:scaling>
          <c:orientation val="minMax"/>
        </c:scaling>
        <c:delete val="0"/>
        <c:axPos val="b"/>
        <c:title>
          <c:tx>
            <c:rich>
              <a:bodyPr/>
              <a:lstStyle/>
              <a:p>
                <a:pPr>
                  <a:defRPr/>
                </a:pPr>
                <a:r>
                  <a:rPr lang="en-US"/>
                  <a:t>Lata</a:t>
                </a:r>
              </a:p>
            </c:rich>
          </c:tx>
          <c:overlay val="0"/>
        </c:title>
        <c:numFmt formatCode="General" sourceLinked="1"/>
        <c:majorTickMark val="out"/>
        <c:minorTickMark val="none"/>
        <c:tickLblPos val="nextTo"/>
        <c:crossAx val="458453608"/>
        <c:crosses val="autoZero"/>
        <c:crossBetween val="midCat"/>
      </c:valAx>
      <c:valAx>
        <c:axId val="458453608"/>
        <c:scaling>
          <c:orientation val="minMax"/>
        </c:scaling>
        <c:delete val="0"/>
        <c:axPos val="l"/>
        <c:majorGridlines/>
        <c:title>
          <c:tx>
            <c:rich>
              <a:bodyPr rot="-5400000" vert="horz"/>
              <a:lstStyle/>
              <a:p>
                <a:pPr>
                  <a:defRPr/>
                </a:pPr>
                <a:r>
                  <a:rPr lang="en-US"/>
                  <a:t>Roczne zużycie energii elektrycznej [MWh/rok]</a:t>
                </a:r>
              </a:p>
            </c:rich>
          </c:tx>
          <c:overlay val="0"/>
        </c:title>
        <c:numFmt formatCode="#,##0" sourceLinked="1"/>
        <c:majorTickMark val="out"/>
        <c:minorTickMark val="none"/>
        <c:tickLblPos val="nextTo"/>
        <c:crossAx val="458453216"/>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Zbiorczy!$B$154</c:f>
              <c:strCache>
                <c:ptCount val="1"/>
                <c:pt idx="0">
                  <c:v>Scenariusz A</c:v>
                </c:pt>
              </c:strCache>
            </c:strRef>
          </c:tx>
          <c:marker>
            <c:symbol val="none"/>
          </c:marker>
          <c:xVal>
            <c:numRef>
              <c:f>Zbiorczy!$G$148:$K$148</c:f>
              <c:numCache>
                <c:formatCode>General</c:formatCode>
                <c:ptCount val="5"/>
                <c:pt idx="0">
                  <c:v>2018</c:v>
                </c:pt>
                <c:pt idx="1">
                  <c:v>2020</c:v>
                </c:pt>
                <c:pt idx="2">
                  <c:v>2025</c:v>
                </c:pt>
                <c:pt idx="3">
                  <c:v>2030</c:v>
                </c:pt>
                <c:pt idx="4">
                  <c:v>2035</c:v>
                </c:pt>
              </c:numCache>
            </c:numRef>
          </c:xVal>
          <c:yVal>
            <c:numRef>
              <c:f>Zbiorczy!$G$154:$K$154</c:f>
              <c:numCache>
                <c:formatCode>#,##0</c:formatCode>
                <c:ptCount val="5"/>
                <c:pt idx="0">
                  <c:v>127.23963619671711</c:v>
                </c:pt>
                <c:pt idx="1">
                  <c:v>125.80395332495854</c:v>
                </c:pt>
                <c:pt idx="2">
                  <c:v>122.21474614556209</c:v>
                </c:pt>
                <c:pt idx="3">
                  <c:v>118.62553896616564</c:v>
                </c:pt>
                <c:pt idx="4">
                  <c:v>115.03633178676918</c:v>
                </c:pt>
              </c:numCache>
            </c:numRef>
          </c:yVal>
          <c:smooth val="0"/>
        </c:ser>
        <c:ser>
          <c:idx val="1"/>
          <c:order val="1"/>
          <c:tx>
            <c:strRef>
              <c:f>Zbiorczy!$B$155</c:f>
              <c:strCache>
                <c:ptCount val="1"/>
                <c:pt idx="0">
                  <c:v>Scenariusz B</c:v>
                </c:pt>
              </c:strCache>
            </c:strRef>
          </c:tx>
          <c:marker>
            <c:symbol val="none"/>
          </c:marker>
          <c:xVal>
            <c:numRef>
              <c:f>Zbiorczy!$G$148:$K$148</c:f>
              <c:numCache>
                <c:formatCode>General</c:formatCode>
                <c:ptCount val="5"/>
                <c:pt idx="0">
                  <c:v>2018</c:v>
                </c:pt>
                <c:pt idx="1">
                  <c:v>2020</c:v>
                </c:pt>
                <c:pt idx="2">
                  <c:v>2025</c:v>
                </c:pt>
                <c:pt idx="3">
                  <c:v>2030</c:v>
                </c:pt>
                <c:pt idx="4">
                  <c:v>2035</c:v>
                </c:pt>
              </c:numCache>
            </c:numRef>
          </c:xVal>
          <c:yVal>
            <c:numRef>
              <c:f>Zbiorczy!$G$155:$K$155</c:f>
              <c:numCache>
                <c:formatCode>#,##0</c:formatCode>
                <c:ptCount val="5"/>
                <c:pt idx="0">
                  <c:v>127.23963619671711</c:v>
                </c:pt>
                <c:pt idx="1">
                  <c:v>164.99693941869469</c:v>
                </c:pt>
                <c:pt idx="2">
                  <c:v>259.39019747363864</c:v>
                </c:pt>
                <c:pt idx="3">
                  <c:v>353.78345552858264</c:v>
                </c:pt>
                <c:pt idx="4">
                  <c:v>448.17671358352663</c:v>
                </c:pt>
              </c:numCache>
            </c:numRef>
          </c:yVal>
          <c:smooth val="0"/>
        </c:ser>
        <c:ser>
          <c:idx val="2"/>
          <c:order val="2"/>
          <c:tx>
            <c:strRef>
              <c:f>Zbiorczy!$B$156</c:f>
              <c:strCache>
                <c:ptCount val="1"/>
                <c:pt idx="0">
                  <c:v>Scenariusz C</c:v>
                </c:pt>
              </c:strCache>
            </c:strRef>
          </c:tx>
          <c:marker>
            <c:symbol val="none"/>
          </c:marker>
          <c:xVal>
            <c:numRef>
              <c:f>Zbiorczy!$G$148:$K$148</c:f>
              <c:numCache>
                <c:formatCode>General</c:formatCode>
                <c:ptCount val="5"/>
                <c:pt idx="0">
                  <c:v>2018</c:v>
                </c:pt>
                <c:pt idx="1">
                  <c:v>2020</c:v>
                </c:pt>
                <c:pt idx="2">
                  <c:v>2025</c:v>
                </c:pt>
                <c:pt idx="3">
                  <c:v>2030</c:v>
                </c:pt>
                <c:pt idx="4">
                  <c:v>2035</c:v>
                </c:pt>
              </c:numCache>
            </c:numRef>
          </c:xVal>
          <c:yVal>
            <c:numRef>
              <c:f>Zbiorczy!$G$156:$K$156</c:f>
              <c:numCache>
                <c:formatCode>#,##0</c:formatCode>
                <c:ptCount val="5"/>
                <c:pt idx="0">
                  <c:v>127.23963619671711</c:v>
                </c:pt>
                <c:pt idx="1">
                  <c:v>224.37204421167925</c:v>
                </c:pt>
                <c:pt idx="2">
                  <c:v>467.20306424908455</c:v>
                </c:pt>
                <c:pt idx="3">
                  <c:v>710.03408428648993</c:v>
                </c:pt>
                <c:pt idx="4">
                  <c:v>952.86510432389514</c:v>
                </c:pt>
              </c:numCache>
            </c:numRef>
          </c:yVal>
          <c:smooth val="0"/>
        </c:ser>
        <c:dLbls>
          <c:showLegendKey val="0"/>
          <c:showVal val="0"/>
          <c:showCatName val="0"/>
          <c:showSerName val="0"/>
          <c:showPercent val="0"/>
          <c:showBubbleSize val="0"/>
        </c:dLbls>
        <c:axId val="670217944"/>
        <c:axId val="670217552"/>
      </c:scatterChart>
      <c:valAx>
        <c:axId val="670217944"/>
        <c:scaling>
          <c:orientation val="minMax"/>
        </c:scaling>
        <c:delete val="0"/>
        <c:axPos val="b"/>
        <c:title>
          <c:tx>
            <c:rich>
              <a:bodyPr/>
              <a:lstStyle/>
              <a:p>
                <a:pPr>
                  <a:defRPr/>
                </a:pPr>
                <a:r>
                  <a:rPr lang="en-US"/>
                  <a:t>Lata</a:t>
                </a:r>
              </a:p>
            </c:rich>
          </c:tx>
          <c:overlay val="0"/>
        </c:title>
        <c:numFmt formatCode="General" sourceLinked="1"/>
        <c:majorTickMark val="out"/>
        <c:minorTickMark val="none"/>
        <c:tickLblPos val="nextTo"/>
        <c:crossAx val="670217552"/>
        <c:crosses val="autoZero"/>
        <c:crossBetween val="midCat"/>
      </c:valAx>
      <c:valAx>
        <c:axId val="670217552"/>
        <c:scaling>
          <c:orientation val="minMax"/>
        </c:scaling>
        <c:delete val="0"/>
        <c:axPos val="l"/>
        <c:majorGridlines/>
        <c:title>
          <c:tx>
            <c:rich>
              <a:bodyPr rot="-5400000" vert="horz"/>
              <a:lstStyle/>
              <a:p>
                <a:pPr>
                  <a:defRPr/>
                </a:pPr>
                <a:r>
                  <a:rPr lang="en-US"/>
                  <a:t>Roczne zużycie gazu ziemnego [</a:t>
                </a:r>
                <a:r>
                  <a:rPr lang="pl-PL"/>
                  <a:t>tys. </a:t>
                </a:r>
                <a:r>
                  <a:rPr lang="en-US"/>
                  <a:t>m3/rok]</a:t>
                </a:r>
              </a:p>
            </c:rich>
          </c:tx>
          <c:overlay val="0"/>
        </c:title>
        <c:numFmt formatCode="#,##0" sourceLinked="1"/>
        <c:majorTickMark val="out"/>
        <c:minorTickMark val="none"/>
        <c:tickLblPos val="nextTo"/>
        <c:crossAx val="670217944"/>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81852796569443"/>
          <c:y val="3.7476859696335428E-2"/>
          <c:w val="0.82948194151787369"/>
          <c:h val="0.60497877005880596"/>
        </c:manualLayout>
      </c:layout>
      <c:scatterChart>
        <c:scatterStyle val="smoothMarker"/>
        <c:varyColors val="0"/>
        <c:ser>
          <c:idx val="0"/>
          <c:order val="0"/>
          <c:tx>
            <c:v>dotychczas</c:v>
          </c:tx>
          <c:spPr>
            <a:ln>
              <a:solidFill>
                <a:schemeClr val="accent4"/>
              </a:solidFill>
            </a:ln>
          </c:spPr>
          <c:marker>
            <c:symbol val="none"/>
          </c:marker>
          <c:xVal>
            <c:numRef>
              <c:f>prognoza_dem!$G$3:$X$3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xVal>
          <c:yVal>
            <c:numRef>
              <c:f>prognoza_dem!$G$4:$X$4</c:f>
              <c:numCache>
                <c:formatCode>General</c:formatCode>
                <c:ptCount val="18"/>
                <c:pt idx="0">
                  <c:v>5312</c:v>
                </c:pt>
                <c:pt idx="1">
                  <c:v>5324</c:v>
                </c:pt>
                <c:pt idx="2">
                  <c:v>5382</c:v>
                </c:pt>
                <c:pt idx="3">
                  <c:v>5470</c:v>
                </c:pt>
                <c:pt idx="4">
                  <c:v>5606</c:v>
                </c:pt>
                <c:pt idx="5">
                  <c:v>5673</c:v>
                </c:pt>
                <c:pt idx="6">
                  <c:v>5777</c:v>
                </c:pt>
                <c:pt idx="7">
                  <c:v>5905</c:v>
                </c:pt>
                <c:pt idx="8" formatCode="#,##0">
                  <c:v>6059</c:v>
                </c:pt>
                <c:pt idx="9" formatCode="#,##0">
                  <c:v>6189</c:v>
                </c:pt>
                <c:pt idx="10" formatCode="#,##0">
                  <c:v>6370</c:v>
                </c:pt>
                <c:pt idx="11" formatCode="#,##0">
                  <c:v>6436</c:v>
                </c:pt>
                <c:pt idx="12" formatCode="#,##0">
                  <c:v>6553</c:v>
                </c:pt>
                <c:pt idx="13" formatCode="#,##0">
                  <c:v>6730</c:v>
                </c:pt>
                <c:pt idx="14" formatCode="#,##0">
                  <c:v>6876</c:v>
                </c:pt>
                <c:pt idx="15" formatCode="#,##0">
                  <c:v>6975</c:v>
                </c:pt>
                <c:pt idx="16" formatCode="#,##0">
                  <c:v>7105</c:v>
                </c:pt>
                <c:pt idx="17" formatCode="#,##0">
                  <c:v>7238</c:v>
                </c:pt>
              </c:numCache>
            </c:numRef>
          </c:yVal>
          <c:smooth val="1"/>
        </c:ser>
        <c:ser>
          <c:idx val="2"/>
          <c:order val="1"/>
          <c:tx>
            <c:strRef>
              <c:f>prognoza_dem!$A$10</c:f>
              <c:strCache>
                <c:ptCount val="1"/>
                <c:pt idx="0">
                  <c:v>aktywny - wg trendu z ostatnich lat</c:v>
                </c:pt>
              </c:strCache>
            </c:strRef>
          </c:tx>
          <c:spPr>
            <a:ln>
              <a:solidFill>
                <a:schemeClr val="accent1"/>
              </a:solidFill>
            </a:ln>
          </c:spPr>
          <c:marker>
            <c:symbol val="none"/>
          </c:marker>
          <c:xVal>
            <c:numRef>
              <c:f>prognoza_dem!$X$3:$AP$3</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xVal>
          <c:yVal>
            <c:numRef>
              <c:f>prognoza_dem!$X$10:$AP$10</c:f>
              <c:numCache>
                <c:formatCode>0</c:formatCode>
                <c:ptCount val="19"/>
                <c:pt idx="0">
                  <c:v>7238</c:v>
                </c:pt>
                <c:pt idx="1">
                  <c:v>7339.2857142857147</c:v>
                </c:pt>
                <c:pt idx="2">
                  <c:v>7440.5714285714294</c:v>
                </c:pt>
                <c:pt idx="3">
                  <c:v>7541.857142857144</c:v>
                </c:pt>
                <c:pt idx="4">
                  <c:v>7643.1428571428587</c:v>
                </c:pt>
                <c:pt idx="5">
                  <c:v>7744.4285714285734</c:v>
                </c:pt>
                <c:pt idx="6">
                  <c:v>7845.7142857142881</c:v>
                </c:pt>
                <c:pt idx="7">
                  <c:v>7947.0000000000027</c:v>
                </c:pt>
                <c:pt idx="8">
                  <c:v>8048.2857142857174</c:v>
                </c:pt>
                <c:pt idx="9">
                  <c:v>8149.5714285714321</c:v>
                </c:pt>
                <c:pt idx="10">
                  <c:v>8250.8571428571468</c:v>
                </c:pt>
                <c:pt idx="11">
                  <c:v>8352.1428571428605</c:v>
                </c:pt>
                <c:pt idx="12">
                  <c:v>8453.4285714285743</c:v>
                </c:pt>
                <c:pt idx="13">
                  <c:v>8554.7142857142881</c:v>
                </c:pt>
                <c:pt idx="14">
                  <c:v>8656.0000000000018</c:v>
                </c:pt>
                <c:pt idx="15">
                  <c:v>8757.2857142857156</c:v>
                </c:pt>
                <c:pt idx="16">
                  <c:v>8858.5714285714294</c:v>
                </c:pt>
                <c:pt idx="17">
                  <c:v>8959.8571428571431</c:v>
                </c:pt>
                <c:pt idx="18">
                  <c:v>9061.1428571428569</c:v>
                </c:pt>
              </c:numCache>
            </c:numRef>
          </c:yVal>
          <c:smooth val="1"/>
        </c:ser>
        <c:ser>
          <c:idx val="3"/>
          <c:order val="2"/>
          <c:tx>
            <c:strRef>
              <c:f>prognoza_dem!$A$12</c:f>
              <c:strCache>
                <c:ptCount val="1"/>
                <c:pt idx="0">
                  <c:v>umiarkowany - średnia ze scenariuszy pasywnego i aktywnego</c:v>
                </c:pt>
              </c:strCache>
            </c:strRef>
          </c:tx>
          <c:spPr>
            <a:ln>
              <a:solidFill>
                <a:schemeClr val="accent3"/>
              </a:solidFill>
            </a:ln>
          </c:spPr>
          <c:marker>
            <c:symbol val="none"/>
          </c:marker>
          <c:xVal>
            <c:numRef>
              <c:f>prognoza_dem!$X$3:$AP$3</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xVal>
          <c:yVal>
            <c:numRef>
              <c:f>prognoza_dem!$X$12:$AP$12</c:f>
              <c:numCache>
                <c:formatCode>0</c:formatCode>
                <c:ptCount val="19"/>
                <c:pt idx="0">
                  <c:v>7238</c:v>
                </c:pt>
                <c:pt idx="1">
                  <c:v>7281.5192608811121</c:v>
                </c:pt>
                <c:pt idx="2">
                  <c:v>7324.7949800096867</c:v>
                </c:pt>
                <c:pt idx="3">
                  <c:v>7367.8271573857219</c:v>
                </c:pt>
                <c:pt idx="4">
                  <c:v>7410.4331366948154</c:v>
                </c:pt>
                <c:pt idx="5">
                  <c:v>7452.5824752178996</c:v>
                </c:pt>
                <c:pt idx="6">
                  <c:v>7494.3056156740422</c:v>
                </c:pt>
                <c:pt idx="7">
                  <c:v>7535.419901748839</c:v>
                </c:pt>
                <c:pt idx="8">
                  <c:v>7576.0471043185589</c:v>
                </c:pt>
                <c:pt idx="9">
                  <c:v>7616.1567806641342</c:v>
                </c:pt>
                <c:pt idx="10">
                  <c:v>7655.7489307855667</c:v>
                </c:pt>
                <c:pt idx="11">
                  <c:v>7694.9148828400566</c:v>
                </c:pt>
                <c:pt idx="12">
                  <c:v>7733.5328659513352</c:v>
                </c:pt>
                <c:pt idx="13">
                  <c:v>7771.7550937147389</c:v>
                </c:pt>
                <c:pt idx="14">
                  <c:v>7809.4902379730665</c:v>
                </c:pt>
                <c:pt idx="15">
                  <c:v>7846.8296268835184</c:v>
                </c:pt>
                <c:pt idx="16">
                  <c:v>7883.7428177270285</c:v>
                </c:pt>
                <c:pt idx="17">
                  <c:v>7920.4124668180011</c:v>
                </c:pt>
                <c:pt idx="18">
                  <c:v>7956.8385741564352</c:v>
                </c:pt>
              </c:numCache>
            </c:numRef>
          </c:yVal>
          <c:smooth val="1"/>
        </c:ser>
        <c:ser>
          <c:idx val="1"/>
          <c:order val="3"/>
          <c:tx>
            <c:strRef>
              <c:f>prognoza_dem!$A$4</c:f>
              <c:strCache>
                <c:ptCount val="1"/>
                <c:pt idx="0">
                  <c:v>pasywny - prognoza GUS</c:v>
                </c:pt>
              </c:strCache>
            </c:strRef>
          </c:tx>
          <c:marker>
            <c:symbol val="none"/>
          </c:marker>
          <c:xVal>
            <c:numRef>
              <c:f>prognoza_dem!$X$3:$AP$3</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xVal>
          <c:yVal>
            <c:numRef>
              <c:f>prognoza_dem!$X$4:$AP$4</c:f>
              <c:numCache>
                <c:formatCode>0</c:formatCode>
                <c:ptCount val="19"/>
                <c:pt idx="0" formatCode="#,##0">
                  <c:v>7238</c:v>
                </c:pt>
                <c:pt idx="1">
                  <c:v>7223.7528074765096</c:v>
                </c:pt>
                <c:pt idx="2">
                  <c:v>7209.0185314479431</c:v>
                </c:pt>
                <c:pt idx="3">
                  <c:v>7193.7971719142997</c:v>
                </c:pt>
                <c:pt idx="4">
                  <c:v>7177.7234162467721</c:v>
                </c:pt>
                <c:pt idx="5">
                  <c:v>7160.7363790072259</c:v>
                </c:pt>
                <c:pt idx="6">
                  <c:v>7142.8969456337954</c:v>
                </c:pt>
                <c:pt idx="7">
                  <c:v>7123.8398034976744</c:v>
                </c:pt>
                <c:pt idx="8">
                  <c:v>7103.8084943513995</c:v>
                </c:pt>
                <c:pt idx="9">
                  <c:v>7082.7421327568363</c:v>
                </c:pt>
                <c:pt idx="10">
                  <c:v>7060.6407187139866</c:v>
                </c:pt>
                <c:pt idx="11">
                  <c:v>7037.6869085372527</c:v>
                </c:pt>
                <c:pt idx="12">
                  <c:v>7013.6371604740962</c:v>
                </c:pt>
                <c:pt idx="13">
                  <c:v>6988.7959017151898</c:v>
                </c:pt>
                <c:pt idx="14">
                  <c:v>6962.9804759461304</c:v>
                </c:pt>
                <c:pt idx="15">
                  <c:v>6936.3735394813211</c:v>
                </c:pt>
                <c:pt idx="16">
                  <c:v>6908.9142068826286</c:v>
                </c:pt>
                <c:pt idx="17">
                  <c:v>6880.9677907788591</c:v>
                </c:pt>
                <c:pt idx="18">
                  <c:v>6852.5342911700136</c:v>
                </c:pt>
              </c:numCache>
            </c:numRef>
          </c:yVal>
          <c:smooth val="1"/>
        </c:ser>
        <c:dLbls>
          <c:showLegendKey val="0"/>
          <c:showVal val="0"/>
          <c:showCatName val="0"/>
          <c:showSerName val="0"/>
          <c:showPercent val="0"/>
          <c:showBubbleSize val="0"/>
        </c:dLbls>
        <c:axId val="447445048"/>
        <c:axId val="447445440"/>
      </c:scatterChart>
      <c:valAx>
        <c:axId val="44744504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47445440"/>
        <c:crosses val="autoZero"/>
        <c:crossBetween val="midCat"/>
      </c:valAx>
      <c:valAx>
        <c:axId val="44744544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pl-PL"/>
                  <a:t>Liczba mieszkańców</a:t>
                </a:r>
              </a:p>
            </c:rich>
          </c:tx>
          <c:overlay val="0"/>
        </c:title>
        <c:numFmt formatCode="#,##0" sourceLinked="0"/>
        <c:majorTickMark val="out"/>
        <c:minorTickMark val="none"/>
        <c:tickLblPos val="nextTo"/>
        <c:crossAx val="447445048"/>
        <c:crosses val="autoZero"/>
        <c:crossBetween val="midCat"/>
      </c:valAx>
    </c:plotArea>
    <c:legend>
      <c:legendPos val="r"/>
      <c:layout>
        <c:manualLayout>
          <c:xMode val="edge"/>
          <c:yMode val="edge"/>
          <c:x val="6.9805194805194801E-2"/>
          <c:y val="0.74483775811209441"/>
          <c:w val="0.88068181818181823"/>
          <c:h val="0.22566371681415928"/>
        </c:manualLayout>
      </c:layout>
      <c:overlay val="0"/>
      <c:spPr>
        <a:ln>
          <a:noFill/>
        </a:ln>
      </c:sp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71869545015007"/>
          <c:y val="0.10622956685458947"/>
          <c:w val="0.32708055337437492"/>
          <c:h val="0.82887593473320564"/>
        </c:manualLayout>
      </c:layout>
      <c:doughnutChart>
        <c:varyColors val="1"/>
        <c:ser>
          <c:idx val="0"/>
          <c:order val="0"/>
          <c:spPr>
            <a:solidFill>
              <a:srgbClr val="9999FF"/>
            </a:solidFill>
            <a:ln w="25400">
              <a:noFill/>
            </a:ln>
          </c:spPr>
          <c:explosion val="7"/>
          <c:dPt>
            <c:idx val="0"/>
            <c:bubble3D val="0"/>
            <c:spPr>
              <a:solidFill>
                <a:srgbClr val="FF3399"/>
              </a:solidFill>
              <a:ln w="25400">
                <a:noFill/>
              </a:ln>
            </c:spPr>
          </c:dPt>
          <c:dPt>
            <c:idx val="1"/>
            <c:bubble3D val="0"/>
            <c:spPr>
              <a:solidFill>
                <a:schemeClr val="accent3">
                  <a:lumMod val="75000"/>
                </a:schemeClr>
              </a:solidFill>
              <a:ln w="12700">
                <a:noFill/>
                <a:prstDash val="solid"/>
              </a:ln>
            </c:spPr>
          </c:dPt>
          <c:dPt>
            <c:idx val="2"/>
            <c:bubble3D val="0"/>
            <c:spPr>
              <a:solidFill>
                <a:srgbClr val="F79646"/>
              </a:solidFill>
              <a:ln w="25400">
                <a:noFill/>
              </a:ln>
            </c:spPr>
          </c:dPt>
          <c:dPt>
            <c:idx val="3"/>
            <c:bubble3D val="0"/>
            <c:spPr>
              <a:solidFill>
                <a:srgbClr val="4F81BD"/>
              </a:solidFill>
              <a:ln w="25400">
                <a:noFill/>
              </a:ln>
            </c:spPr>
          </c:dPt>
          <c:dPt>
            <c:idx val="4"/>
            <c:bubble3D val="0"/>
            <c:spPr>
              <a:solidFill>
                <a:srgbClr val="8064A2"/>
              </a:solidFill>
              <a:ln w="25400">
                <a:noFill/>
              </a:ln>
            </c:spPr>
          </c:dPt>
          <c:dPt>
            <c:idx val="5"/>
            <c:bubble3D val="0"/>
            <c:spPr>
              <a:solidFill>
                <a:schemeClr val="accent5">
                  <a:lumMod val="60000"/>
                  <a:lumOff val="40000"/>
                </a:schemeClr>
              </a:solidFill>
              <a:ln w="25400">
                <a:noFill/>
              </a:ln>
            </c:spPr>
          </c:dPt>
          <c:dPt>
            <c:idx val="6"/>
            <c:bubble3D val="0"/>
          </c:dPt>
          <c:dPt>
            <c:idx val="7"/>
            <c:bubble3D val="0"/>
            <c:spPr>
              <a:solidFill>
                <a:schemeClr val="accent2">
                  <a:lumMod val="60000"/>
                  <a:lumOff val="40000"/>
                </a:schemeClr>
              </a:solidFill>
              <a:ln w="25400">
                <a:noFill/>
              </a:ln>
            </c:spPr>
          </c:dPt>
          <c:dLbls>
            <c:dLbl>
              <c:idx val="0"/>
              <c:layout>
                <c:manualLayout>
                  <c:x val="3.835307388606881E-2"/>
                  <c:y val="-0.13922356091030791"/>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7.4450084602368863E-2"/>
                  <c:y val="-3.7483266398929051E-2"/>
                </c:manualLayout>
              </c:layout>
              <c:showLegendKey val="1"/>
              <c:showVal val="0"/>
              <c:showCatName val="0"/>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6.6699652974000254E-2"/>
                  <c:y val="0.14408924010387097"/>
                </c:manualLayout>
              </c:layout>
              <c:showLegendKey val="1"/>
              <c:showVal val="0"/>
              <c:showCatName val="0"/>
              <c:showSerName val="0"/>
              <c:showPercent val="1"/>
              <c:showBubbleSize val="0"/>
              <c:extLst>
                <c:ext xmlns:c15="http://schemas.microsoft.com/office/drawing/2012/chart" uri="{CE6537A1-D6FC-4f65-9D91-7224C49458BB}"/>
              </c:extLst>
            </c:dLbl>
            <c:dLbl>
              <c:idx val="4"/>
              <c:layout>
                <c:manualLayout>
                  <c:x val="-7.2399084085781149E-2"/>
                  <c:y val="0.10807257338751479"/>
                </c:manualLayout>
              </c:layout>
              <c:showLegendKey val="1"/>
              <c:showVal val="0"/>
              <c:showCatName val="0"/>
              <c:showSerName val="0"/>
              <c:showPercent val="1"/>
              <c:showBubbleSize val="0"/>
              <c:extLst>
                <c:ext xmlns:c15="http://schemas.microsoft.com/office/drawing/2012/chart" uri="{CE6537A1-D6FC-4f65-9D91-7224C49458BB}"/>
              </c:extLst>
            </c:dLbl>
            <c:dLbl>
              <c:idx val="5"/>
              <c:layout>
                <c:manualLayout>
                  <c:x val="-0.10603496897913142"/>
                  <c:y val="-0.107095046854083"/>
                </c:manualLayout>
              </c:layout>
              <c:showLegendKey val="1"/>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7.3338272907274155E-2"/>
                  <c:y val="-0.12583260112278435"/>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a:latin typeface="+mn-lt"/>
                  </a:defRPr>
                </a:pPr>
                <a:endParaRPr lang="pl-PL"/>
              </a:p>
            </c:txPr>
            <c:showLegendKey val="1"/>
            <c:showVal val="0"/>
            <c:showCatName val="0"/>
            <c:showSerName val="0"/>
            <c:showPercent val="1"/>
            <c:showBubbleSize val="0"/>
            <c:showLeaderLines val="0"/>
            <c:extLst>
              <c:ext xmlns:c15="http://schemas.microsoft.com/office/drawing/2012/chart" uri="{CE6537A1-D6FC-4f65-9D91-7224C49458BB}"/>
            </c:extLst>
          </c:dLbls>
          <c:cat>
            <c:strRef>
              <c:f>PanSter!$B$47:$B$54</c:f>
              <c:strCache>
                <c:ptCount val="8"/>
                <c:pt idx="0">
                  <c:v>Woda</c:v>
                </c:pt>
                <c:pt idx="1">
                  <c:v>Gaz</c:v>
                </c:pt>
                <c:pt idx="2">
                  <c:v>Ciepło sieciowe</c:v>
                </c:pt>
                <c:pt idx="3">
                  <c:v>Energia elektryczna</c:v>
                </c:pt>
                <c:pt idx="4">
                  <c:v>Paliwa stałe</c:v>
                </c:pt>
                <c:pt idx="5">
                  <c:v>Olej opałowy</c:v>
                </c:pt>
                <c:pt idx="6">
                  <c:v>Gaz płynny</c:v>
                </c:pt>
                <c:pt idx="7">
                  <c:v>Inne</c:v>
                </c:pt>
              </c:strCache>
            </c:strRef>
          </c:cat>
          <c:val>
            <c:numRef>
              <c:f>PanSter!$D$47:$D$54</c:f>
              <c:numCache>
                <c:formatCode>0.0%</c:formatCode>
                <c:ptCount val="8"/>
                <c:pt idx="0">
                  <c:v>4.8010291756384015E-2</c:v>
                </c:pt>
                <c:pt idx="1">
                  <c:v>1.9271242655110186E-2</c:v>
                </c:pt>
                <c:pt idx="2">
                  <c:v>0</c:v>
                </c:pt>
                <c:pt idx="3">
                  <c:v>0.56139260180292183</c:v>
                </c:pt>
                <c:pt idx="4">
                  <c:v>1.1677016888267631E-2</c:v>
                </c:pt>
                <c:pt idx="5">
                  <c:v>0.34757885330093485</c:v>
                </c:pt>
                <c:pt idx="6">
                  <c:v>0</c:v>
                </c:pt>
                <c:pt idx="7">
                  <c:v>1.2069993596381336E-2</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egendEntry>
        <c:idx val="2"/>
        <c:delete val="1"/>
      </c:legendEntry>
      <c:legendEntry>
        <c:idx val="6"/>
        <c:delete val="1"/>
      </c:legendEntry>
      <c:layout>
        <c:manualLayout>
          <c:xMode val="edge"/>
          <c:yMode val="edge"/>
          <c:x val="0.76443958859209582"/>
          <c:y val="0.17846391732815925"/>
          <c:w val="0.23130735452326831"/>
          <c:h val="0.57160806213858861"/>
        </c:manualLayout>
      </c:layout>
      <c:overlay val="1"/>
    </c:legend>
    <c:plotVisOnly val="1"/>
    <c:dispBlanksAs val="zero"/>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a:ea typeface="Tahoma"/>
                <a:cs typeface="Tahoma"/>
              </a:defRPr>
            </a:pPr>
            <a:r>
              <a:rPr lang="pl-PL"/>
              <a:t>Koszty łączne</a:t>
            </a:r>
          </a:p>
        </c:rich>
      </c:tx>
      <c:layout>
        <c:manualLayout>
          <c:xMode val="edge"/>
          <c:yMode val="edge"/>
          <c:x val="0.35932241845937668"/>
          <c:y val="2.7624309392265192E-2"/>
        </c:manualLayout>
      </c:layout>
      <c:overlay val="0"/>
      <c:spPr>
        <a:noFill/>
        <a:ln w="25400">
          <a:noFill/>
        </a:ln>
      </c:spPr>
    </c:title>
    <c:autoTitleDeleted val="0"/>
    <c:plotArea>
      <c:layout>
        <c:manualLayout>
          <c:layoutTarget val="inner"/>
          <c:xMode val="edge"/>
          <c:yMode val="edge"/>
          <c:x val="0.21355967792161573"/>
          <c:y val="0.14917167313663549"/>
          <c:w val="0.75254379643222569"/>
          <c:h val="0.69613447463763234"/>
        </c:manualLayout>
      </c:layout>
      <c:barChart>
        <c:barDir val="col"/>
        <c:grouping val="clustered"/>
        <c:varyColors val="0"/>
        <c:ser>
          <c:idx val="1"/>
          <c:order val="0"/>
          <c:spPr>
            <a:solidFill>
              <a:srgbClr val="4F81BD"/>
            </a:solidFill>
            <a:ln w="25400">
              <a:noFill/>
            </a:ln>
          </c:spPr>
          <c:invertIfNegative val="0"/>
          <c:cat>
            <c:strRef>
              <c:f>Raport2!$B$12:$B$14</c:f>
              <c:strCache>
                <c:ptCount val="3"/>
                <c:pt idx="0">
                  <c:v>Rok 2016</c:v>
                </c:pt>
                <c:pt idx="1">
                  <c:v>Rok 2017</c:v>
                </c:pt>
                <c:pt idx="2">
                  <c:v>Rok 2018</c:v>
                </c:pt>
              </c:strCache>
            </c:strRef>
          </c:cat>
          <c:val>
            <c:numRef>
              <c:f>Raport2!$C$12:$C$14</c:f>
              <c:numCache>
                <c:formatCode>#,##0.00</c:formatCode>
                <c:ptCount val="3"/>
                <c:pt idx="0">
                  <c:v>503.0940599999999</c:v>
                </c:pt>
                <c:pt idx="1">
                  <c:v>513.53358999999989</c:v>
                </c:pt>
                <c:pt idx="2">
                  <c:v>539.52306999999996</c:v>
                </c:pt>
              </c:numCache>
            </c:numRef>
          </c:val>
        </c:ser>
        <c:dLbls>
          <c:showLegendKey val="0"/>
          <c:showVal val="0"/>
          <c:showCatName val="0"/>
          <c:showSerName val="0"/>
          <c:showPercent val="0"/>
          <c:showBubbleSize val="0"/>
        </c:dLbls>
        <c:gapWidth val="150"/>
        <c:axId val="670216376"/>
        <c:axId val="670218728"/>
      </c:barChart>
      <c:catAx>
        <c:axId val="670216376"/>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70218728"/>
        <c:crosses val="autoZero"/>
        <c:auto val="1"/>
        <c:lblAlgn val="ctr"/>
        <c:lblOffset val="100"/>
        <c:tickLblSkip val="1"/>
        <c:tickMarkSkip val="1"/>
        <c:noMultiLvlLbl val="0"/>
      </c:catAx>
      <c:valAx>
        <c:axId val="670218728"/>
        <c:scaling>
          <c:orientation val="minMax"/>
          <c:min val="0"/>
        </c:scaling>
        <c:delete val="0"/>
        <c:axPos val="l"/>
        <c:majorGridlines>
          <c:spPr>
            <a:ln w="3175">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[tys.zł/rok]</a:t>
                </a:r>
              </a:p>
            </c:rich>
          </c:tx>
          <c:layout>
            <c:manualLayout>
              <c:xMode val="edge"/>
              <c:yMode val="edge"/>
              <c:x val="3.3897652905150594E-3"/>
              <c:y val="0.3038679833529096"/>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67021637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ahoma"/>
                <a:ea typeface="Tahoma"/>
                <a:cs typeface="Tahoma"/>
              </a:defRPr>
            </a:pPr>
            <a:r>
              <a:rPr lang="pl-PL"/>
              <a:t>Koszty mediów energetycznych</a:t>
            </a:r>
          </a:p>
        </c:rich>
      </c:tx>
      <c:layout>
        <c:manualLayout>
          <c:xMode val="edge"/>
          <c:yMode val="edge"/>
          <c:x val="0.28798211596272782"/>
          <c:y val="3.5185185185185187E-2"/>
        </c:manualLayout>
      </c:layout>
      <c:overlay val="0"/>
      <c:spPr>
        <a:noFill/>
        <a:ln w="25400">
          <a:noFill/>
        </a:ln>
      </c:spPr>
    </c:title>
    <c:autoTitleDeleted val="0"/>
    <c:plotArea>
      <c:layout>
        <c:manualLayout>
          <c:layoutTarget val="inner"/>
          <c:xMode val="edge"/>
          <c:yMode val="edge"/>
          <c:x val="0.21315264163408146"/>
          <c:y val="0.15555613881598135"/>
          <c:w val="0.74943560626350281"/>
          <c:h val="0.68889262637058579"/>
        </c:manualLayout>
      </c:layout>
      <c:barChart>
        <c:barDir val="col"/>
        <c:grouping val="clustered"/>
        <c:varyColors val="0"/>
        <c:ser>
          <c:idx val="1"/>
          <c:order val="0"/>
          <c:spPr>
            <a:solidFill>
              <a:srgbClr val="9BBB59"/>
            </a:solidFill>
            <a:ln w="25400">
              <a:noFill/>
            </a:ln>
          </c:spPr>
          <c:invertIfNegative val="0"/>
          <c:cat>
            <c:strRef>
              <c:f>Raport2!$E$12:$E$14</c:f>
              <c:strCache>
                <c:ptCount val="3"/>
                <c:pt idx="0">
                  <c:v>Rok 2016</c:v>
                </c:pt>
                <c:pt idx="1">
                  <c:v>Rok 2017</c:v>
                </c:pt>
                <c:pt idx="2">
                  <c:v>Rok 2018</c:v>
                </c:pt>
              </c:strCache>
            </c:strRef>
          </c:cat>
          <c:val>
            <c:numRef>
              <c:f>Raport2!$F$12:$F$14</c:f>
              <c:numCache>
                <c:formatCode>#,##0.00</c:formatCode>
                <c:ptCount val="3"/>
                <c:pt idx="0">
                  <c:v>478.57627999999988</c:v>
                </c:pt>
                <c:pt idx="1">
                  <c:v>489.35769999999997</c:v>
                </c:pt>
                <c:pt idx="2">
                  <c:v>513.62041000000011</c:v>
                </c:pt>
              </c:numCache>
            </c:numRef>
          </c:val>
        </c:ser>
        <c:dLbls>
          <c:showLegendKey val="0"/>
          <c:showVal val="0"/>
          <c:showCatName val="0"/>
          <c:showSerName val="0"/>
          <c:showPercent val="0"/>
          <c:showBubbleSize val="0"/>
        </c:dLbls>
        <c:gapWidth val="150"/>
        <c:axId val="670219512"/>
        <c:axId val="670216768"/>
      </c:barChart>
      <c:catAx>
        <c:axId val="670219512"/>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70216768"/>
        <c:crosses val="autoZero"/>
        <c:auto val="1"/>
        <c:lblAlgn val="ctr"/>
        <c:lblOffset val="100"/>
        <c:tickLblSkip val="1"/>
        <c:tickMarkSkip val="1"/>
        <c:noMultiLvlLbl val="0"/>
      </c:catAx>
      <c:valAx>
        <c:axId val="670216768"/>
        <c:scaling>
          <c:orientation val="minMax"/>
          <c:min val="0"/>
        </c:scaling>
        <c:delete val="0"/>
        <c:axPos val="l"/>
        <c:majorGridlines>
          <c:spPr>
            <a:ln w="3175">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[tys.zł/rok]</a:t>
                </a:r>
              </a:p>
            </c:rich>
          </c:tx>
          <c:layout>
            <c:manualLayout>
              <c:xMode val="edge"/>
              <c:yMode val="edge"/>
              <c:x val="3.4015076845056698E-3"/>
              <c:y val="0.3055573053368329"/>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670219512"/>
        <c:crosses val="autoZero"/>
        <c:crossBetween val="between"/>
      </c:valAx>
      <c:spPr>
        <a:noFill/>
        <a:ln w="25400">
          <a:noFill/>
        </a:ln>
      </c:spPr>
    </c:plotArea>
    <c:plotVisOnly val="1"/>
    <c:dispBlanksAs val="gap"/>
    <c:showDLblsOverMax val="0"/>
  </c:chart>
  <c:spPr>
    <a:solidFill>
      <a:schemeClr val="bg1"/>
    </a:solidFill>
    <a:ln w="3175">
      <a:noFill/>
      <a:prstDash val="solid"/>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a:ea typeface="Tahoma"/>
                <a:cs typeface="Tahoma"/>
              </a:defRPr>
            </a:pPr>
            <a:r>
              <a:rPr lang="pl-PL"/>
              <a:t>Koszty wody</a:t>
            </a:r>
          </a:p>
        </c:rich>
      </c:tx>
      <c:layout>
        <c:manualLayout>
          <c:xMode val="edge"/>
          <c:yMode val="edge"/>
          <c:x val="0.38305110720501762"/>
          <c:y val="2.7624309392265192E-2"/>
        </c:manualLayout>
      </c:layout>
      <c:overlay val="0"/>
      <c:spPr>
        <a:noFill/>
        <a:ln w="25400">
          <a:noFill/>
        </a:ln>
      </c:spPr>
    </c:title>
    <c:autoTitleDeleted val="0"/>
    <c:plotArea>
      <c:layout>
        <c:manualLayout>
          <c:layoutTarget val="inner"/>
          <c:xMode val="edge"/>
          <c:yMode val="edge"/>
          <c:x val="0.17514159882557051"/>
          <c:y val="0.15469654991947385"/>
          <c:w val="0.78757204501979627"/>
          <c:h val="0.69060959785479392"/>
        </c:manualLayout>
      </c:layout>
      <c:barChart>
        <c:barDir val="col"/>
        <c:grouping val="clustered"/>
        <c:varyColors val="0"/>
        <c:ser>
          <c:idx val="1"/>
          <c:order val="0"/>
          <c:spPr>
            <a:solidFill>
              <a:srgbClr val="8064A2"/>
            </a:solidFill>
            <a:ln w="25400">
              <a:noFill/>
            </a:ln>
          </c:spPr>
          <c:invertIfNegative val="0"/>
          <c:cat>
            <c:strRef>
              <c:f>Raport2!$B$36:$B$38</c:f>
              <c:strCache>
                <c:ptCount val="3"/>
                <c:pt idx="0">
                  <c:v>Rok 2016</c:v>
                </c:pt>
                <c:pt idx="1">
                  <c:v>Rok 2017</c:v>
                </c:pt>
                <c:pt idx="2">
                  <c:v>Rok 2018</c:v>
                </c:pt>
              </c:strCache>
            </c:strRef>
          </c:cat>
          <c:val>
            <c:numRef>
              <c:f>Raport2!$C$36:$C$38</c:f>
              <c:numCache>
                <c:formatCode>#,##0.00</c:formatCode>
                <c:ptCount val="3"/>
                <c:pt idx="0">
                  <c:v>24.517779999999998</c:v>
                </c:pt>
                <c:pt idx="1">
                  <c:v>24.175890000000003</c:v>
                </c:pt>
                <c:pt idx="2">
                  <c:v>25.902660000000001</c:v>
                </c:pt>
              </c:numCache>
            </c:numRef>
          </c:val>
        </c:ser>
        <c:dLbls>
          <c:showLegendKey val="0"/>
          <c:showVal val="0"/>
          <c:showCatName val="0"/>
          <c:showSerName val="0"/>
          <c:showPercent val="0"/>
          <c:showBubbleSize val="0"/>
        </c:dLbls>
        <c:gapWidth val="150"/>
        <c:axId val="679442624"/>
        <c:axId val="679439880"/>
      </c:barChart>
      <c:catAx>
        <c:axId val="679442624"/>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79439880"/>
        <c:crosses val="autoZero"/>
        <c:auto val="1"/>
        <c:lblAlgn val="ctr"/>
        <c:lblOffset val="100"/>
        <c:tickLblSkip val="1"/>
        <c:tickMarkSkip val="1"/>
        <c:noMultiLvlLbl val="0"/>
      </c:catAx>
      <c:valAx>
        <c:axId val="679439880"/>
        <c:scaling>
          <c:orientation val="minMax"/>
          <c:min val="0"/>
        </c:scaling>
        <c:delete val="0"/>
        <c:axPos val="l"/>
        <c:majorGridlines>
          <c:spPr>
            <a:ln w="3175">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[tys.zł/rok]</a:t>
                </a:r>
              </a:p>
            </c:rich>
          </c:tx>
          <c:layout>
            <c:manualLayout>
              <c:xMode val="edge"/>
              <c:yMode val="edge"/>
              <c:x val="3.3897652905150594E-3"/>
              <c:y val="0.3038679833529096"/>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7944262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a:ea typeface="Tahoma"/>
                <a:cs typeface="Tahoma"/>
              </a:defRPr>
            </a:pPr>
            <a:r>
              <a:rPr lang="pl-PL"/>
              <a:t>Koszty gazu ziemnego</a:t>
            </a:r>
          </a:p>
        </c:rich>
      </c:tx>
      <c:layout>
        <c:manualLayout>
          <c:xMode val="edge"/>
          <c:yMode val="edge"/>
          <c:x val="0.26190544327748011"/>
          <c:y val="4.2592592592592592E-2"/>
        </c:manualLayout>
      </c:layout>
      <c:overlay val="0"/>
      <c:spPr>
        <a:noFill/>
        <a:ln w="25400">
          <a:noFill/>
        </a:ln>
      </c:spPr>
    </c:title>
    <c:autoTitleDeleted val="0"/>
    <c:plotArea>
      <c:layout>
        <c:manualLayout>
          <c:layoutTarget val="inner"/>
          <c:xMode val="edge"/>
          <c:yMode val="edge"/>
          <c:x val="0.18707554412841251"/>
          <c:y val="0.15555639950303549"/>
          <c:w val="0.7755127037691717"/>
          <c:h val="0.68889262637058579"/>
        </c:manualLayout>
      </c:layout>
      <c:barChart>
        <c:barDir val="col"/>
        <c:grouping val="clustered"/>
        <c:varyColors val="0"/>
        <c:ser>
          <c:idx val="1"/>
          <c:order val="0"/>
          <c:spPr>
            <a:solidFill>
              <a:srgbClr val="F79646"/>
            </a:solidFill>
            <a:ln w="25400">
              <a:noFill/>
            </a:ln>
          </c:spPr>
          <c:invertIfNegative val="0"/>
          <c:cat>
            <c:strRef>
              <c:f>Raport2!$E$36:$E$38</c:f>
              <c:strCache>
                <c:ptCount val="3"/>
                <c:pt idx="0">
                  <c:v>Rok 2016</c:v>
                </c:pt>
                <c:pt idx="1">
                  <c:v>Rok 2017</c:v>
                </c:pt>
                <c:pt idx="2">
                  <c:v>Rok 2018</c:v>
                </c:pt>
              </c:strCache>
            </c:strRef>
          </c:cat>
          <c:val>
            <c:numRef>
              <c:f>Raport2!$F$36:$F$38</c:f>
              <c:numCache>
                <c:formatCode>#,##0.00</c:formatCode>
                <c:ptCount val="3"/>
                <c:pt idx="0">
                  <c:v>3.5972900000000001</c:v>
                </c:pt>
                <c:pt idx="1">
                  <c:v>10.253690000000001</c:v>
                </c:pt>
                <c:pt idx="2">
                  <c:v>10.39728</c:v>
                </c:pt>
              </c:numCache>
            </c:numRef>
          </c:val>
        </c:ser>
        <c:dLbls>
          <c:showLegendKey val="0"/>
          <c:showVal val="0"/>
          <c:showCatName val="0"/>
          <c:showSerName val="0"/>
          <c:showPercent val="0"/>
          <c:showBubbleSize val="0"/>
        </c:dLbls>
        <c:gapWidth val="150"/>
        <c:axId val="679441840"/>
        <c:axId val="679442232"/>
      </c:barChart>
      <c:catAx>
        <c:axId val="679441840"/>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79442232"/>
        <c:crosses val="autoZero"/>
        <c:auto val="1"/>
        <c:lblAlgn val="ctr"/>
        <c:lblOffset val="100"/>
        <c:tickLblSkip val="1"/>
        <c:tickMarkSkip val="1"/>
        <c:noMultiLvlLbl val="0"/>
      </c:catAx>
      <c:valAx>
        <c:axId val="679442232"/>
        <c:scaling>
          <c:orientation val="minMax"/>
          <c:min val="0"/>
        </c:scaling>
        <c:delete val="0"/>
        <c:axPos val="l"/>
        <c:majorGridlines>
          <c:spPr>
            <a:ln w="3175">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[tys.zł/rok]</a:t>
                </a:r>
              </a:p>
            </c:rich>
          </c:tx>
          <c:layout>
            <c:manualLayout>
              <c:xMode val="edge"/>
              <c:yMode val="edge"/>
              <c:x val="1.7006872895687319E-2"/>
              <c:y val="0.3055573053368329"/>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7944184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a:ea typeface="Tahoma"/>
                <a:cs typeface="Tahoma"/>
              </a:defRPr>
            </a:pPr>
            <a:r>
              <a:rPr lang="pl-PL"/>
              <a:t> Koszty energii elektrycznej</a:t>
            </a:r>
          </a:p>
        </c:rich>
      </c:tx>
      <c:layout>
        <c:manualLayout>
          <c:xMode val="edge"/>
          <c:yMode val="edge"/>
          <c:x val="0.17789815976114079"/>
          <c:y val="3.4990791896869246E-2"/>
        </c:manualLayout>
      </c:layout>
      <c:overlay val="0"/>
      <c:spPr>
        <a:noFill/>
        <a:ln w="25400">
          <a:noFill/>
        </a:ln>
      </c:spPr>
    </c:title>
    <c:autoTitleDeleted val="0"/>
    <c:plotArea>
      <c:layout>
        <c:manualLayout>
          <c:layoutTarget val="inner"/>
          <c:xMode val="edge"/>
          <c:yMode val="edge"/>
          <c:x val="0.20903990391031629"/>
          <c:y val="0.15469654991947385"/>
          <c:w val="0.75367373993505049"/>
          <c:h val="0.69060959785479392"/>
        </c:manualLayout>
      </c:layout>
      <c:barChart>
        <c:barDir val="col"/>
        <c:grouping val="clustered"/>
        <c:varyColors val="0"/>
        <c:ser>
          <c:idx val="1"/>
          <c:order val="0"/>
          <c:spPr>
            <a:solidFill>
              <a:srgbClr val="00CCFF"/>
            </a:solidFill>
            <a:ln w="25400" cap="rnd">
              <a:solidFill>
                <a:schemeClr val="tx1"/>
              </a:solidFill>
            </a:ln>
          </c:spPr>
          <c:invertIfNegative val="0"/>
          <c:dPt>
            <c:idx val="0"/>
            <c:invertIfNegative val="0"/>
            <c:bubble3D val="0"/>
            <c:spPr>
              <a:solidFill>
                <a:srgbClr val="00CCFF"/>
              </a:solidFill>
              <a:ln w="25400">
                <a:noFill/>
              </a:ln>
            </c:spPr>
          </c:dPt>
          <c:dPt>
            <c:idx val="1"/>
            <c:invertIfNegative val="0"/>
            <c:bubble3D val="0"/>
            <c:spPr>
              <a:solidFill>
                <a:srgbClr val="00CCFF"/>
              </a:solidFill>
              <a:ln w="25400">
                <a:noFill/>
              </a:ln>
            </c:spPr>
          </c:dPt>
          <c:dPt>
            <c:idx val="2"/>
            <c:invertIfNegative val="0"/>
            <c:bubble3D val="0"/>
            <c:spPr>
              <a:solidFill>
                <a:srgbClr val="00CCFF"/>
              </a:solidFill>
              <a:ln w="25400">
                <a:noFill/>
              </a:ln>
            </c:spPr>
          </c:dPt>
          <c:cat>
            <c:strRef>
              <c:f>Raport2!$E$59:$E$61</c:f>
              <c:strCache>
                <c:ptCount val="3"/>
                <c:pt idx="0">
                  <c:v>Rok 2016</c:v>
                </c:pt>
                <c:pt idx="1">
                  <c:v>Rok 2017</c:v>
                </c:pt>
                <c:pt idx="2">
                  <c:v>Rok 2018</c:v>
                </c:pt>
              </c:strCache>
            </c:strRef>
          </c:cat>
          <c:val>
            <c:numRef>
              <c:f>Raport2!$F$59:$F$61</c:f>
              <c:numCache>
                <c:formatCode>#,##0.00</c:formatCode>
                <c:ptCount val="3"/>
                <c:pt idx="0">
                  <c:v>300.46962999999994</c:v>
                </c:pt>
                <c:pt idx="1">
                  <c:v>259.21278000000001</c:v>
                </c:pt>
                <c:pt idx="2">
                  <c:v>302.88425999999993</c:v>
                </c:pt>
              </c:numCache>
            </c:numRef>
          </c:val>
        </c:ser>
        <c:dLbls>
          <c:showLegendKey val="0"/>
          <c:showVal val="0"/>
          <c:showCatName val="0"/>
          <c:showSerName val="0"/>
          <c:showPercent val="0"/>
          <c:showBubbleSize val="0"/>
        </c:dLbls>
        <c:gapWidth val="150"/>
        <c:axId val="679443016"/>
        <c:axId val="679441056"/>
      </c:barChart>
      <c:catAx>
        <c:axId val="679443016"/>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79441056"/>
        <c:crosses val="autoZero"/>
        <c:auto val="1"/>
        <c:lblAlgn val="ctr"/>
        <c:lblOffset val="100"/>
        <c:tickLblSkip val="1"/>
        <c:tickMarkSkip val="1"/>
        <c:noMultiLvlLbl val="0"/>
      </c:catAx>
      <c:valAx>
        <c:axId val="679441056"/>
        <c:scaling>
          <c:orientation val="minMax"/>
          <c:min val="0"/>
        </c:scaling>
        <c:delete val="0"/>
        <c:axPos val="l"/>
        <c:majorGridlines>
          <c:spPr>
            <a:ln w="3175">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[tys.zł/rok]</a:t>
                </a:r>
              </a:p>
            </c:rich>
          </c:tx>
          <c:layout>
            <c:manualLayout>
              <c:xMode val="edge"/>
              <c:yMode val="edge"/>
              <c:x val="3.3897652905150594E-3"/>
              <c:y val="0.3038679833529096"/>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7944301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Tahoma"/>
                <a:ea typeface="Tahoma"/>
                <a:cs typeface="Tahoma"/>
              </a:defRPr>
            </a:pPr>
            <a:r>
              <a:rPr lang="pl-PL"/>
              <a:t>Grupa - Koszty paliw stałych</a:t>
            </a:r>
          </a:p>
        </c:rich>
      </c:tx>
      <c:layout>
        <c:manualLayout>
          <c:xMode val="edge"/>
          <c:yMode val="edge"/>
          <c:x val="0.22711891843300561"/>
          <c:y val="2.7624309392265192E-2"/>
        </c:manualLayout>
      </c:layout>
      <c:overlay val="0"/>
      <c:spPr>
        <a:noFill/>
        <a:ln w="25400">
          <a:noFill/>
        </a:ln>
      </c:spPr>
    </c:title>
    <c:autoTitleDeleted val="0"/>
    <c:plotArea>
      <c:layout>
        <c:manualLayout>
          <c:layoutTarget val="inner"/>
          <c:xMode val="edge"/>
          <c:yMode val="edge"/>
          <c:x val="0.15254262536848742"/>
          <c:y val="0.15469654991947385"/>
          <c:w val="0.81017083251263322"/>
          <c:h val="0.67403496750627889"/>
        </c:manualLayout>
      </c:layout>
      <c:barChart>
        <c:barDir val="col"/>
        <c:grouping val="clustered"/>
        <c:varyColors val="0"/>
        <c:ser>
          <c:idx val="1"/>
          <c:order val="0"/>
          <c:spPr>
            <a:solidFill>
              <a:srgbClr val="808080"/>
            </a:solidFill>
            <a:ln w="25400">
              <a:noFill/>
            </a:ln>
          </c:spPr>
          <c:invertIfNegative val="0"/>
          <c:cat>
            <c:strRef>
              <c:f>Raport3!$B$12:$B$14</c:f>
              <c:strCache>
                <c:ptCount val="3"/>
                <c:pt idx="0">
                  <c:v>Rok 2016</c:v>
                </c:pt>
                <c:pt idx="1">
                  <c:v>Rok 2017</c:v>
                </c:pt>
                <c:pt idx="2">
                  <c:v>Rok 2018</c:v>
                </c:pt>
              </c:strCache>
            </c:strRef>
          </c:cat>
          <c:val>
            <c:numRef>
              <c:f>Raport3!$C$12:$C$14</c:f>
              <c:numCache>
                <c:formatCode>#,##0.00</c:formatCode>
                <c:ptCount val="3"/>
                <c:pt idx="0">
                  <c:v>260.07873000000001</c:v>
                </c:pt>
                <c:pt idx="1">
                  <c:v>341.66226</c:v>
                </c:pt>
                <c:pt idx="2">
                  <c:v>385.78944000000007</c:v>
                </c:pt>
              </c:numCache>
            </c:numRef>
          </c:val>
        </c:ser>
        <c:dLbls>
          <c:showLegendKey val="0"/>
          <c:showVal val="0"/>
          <c:showCatName val="0"/>
          <c:showSerName val="0"/>
          <c:showPercent val="0"/>
          <c:showBubbleSize val="0"/>
        </c:dLbls>
        <c:gapWidth val="150"/>
        <c:axId val="679443800"/>
        <c:axId val="679444192"/>
      </c:barChart>
      <c:catAx>
        <c:axId val="679443800"/>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679444192"/>
        <c:crosses val="autoZero"/>
        <c:auto val="1"/>
        <c:lblAlgn val="ctr"/>
        <c:lblOffset val="100"/>
        <c:tickLblSkip val="1"/>
        <c:tickMarkSkip val="1"/>
        <c:noMultiLvlLbl val="0"/>
      </c:catAx>
      <c:valAx>
        <c:axId val="679444192"/>
        <c:scaling>
          <c:orientation val="minMax"/>
          <c:min val="0"/>
        </c:scaling>
        <c:delete val="0"/>
        <c:axPos val="l"/>
        <c:majorGridlines>
          <c:spPr>
            <a:ln w="3175">
              <a:solidFill>
                <a:schemeClr val="bg2"/>
              </a:solidFill>
              <a:prstDash val="solid"/>
            </a:ln>
          </c:spPr>
        </c:majorGridlines>
        <c:title>
          <c:tx>
            <c:rich>
              <a:bodyPr/>
              <a:lstStyle/>
              <a:p>
                <a:pPr>
                  <a:defRPr sz="800" b="1" i="0" u="none" strike="noStrike" baseline="0">
                    <a:solidFill>
                      <a:srgbClr val="000000"/>
                    </a:solidFill>
                    <a:latin typeface="Arial CE"/>
                    <a:ea typeface="Arial CE"/>
                    <a:cs typeface="Arial CE"/>
                  </a:defRPr>
                </a:pPr>
                <a:r>
                  <a:rPr lang="pl-PL"/>
                  <a:t>[tys.zł/rok]</a:t>
                </a:r>
              </a:p>
            </c:rich>
          </c:tx>
          <c:layout>
            <c:manualLayout>
              <c:xMode val="edge"/>
              <c:yMode val="edge"/>
              <c:x val="1.6949158164610772E-2"/>
              <c:y val="0.32044256898826873"/>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67944380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a:ea typeface="Tahoma"/>
                <a:cs typeface="Tahoma"/>
              </a:defRPr>
            </a:pPr>
            <a:r>
              <a:rPr lang="pl-PL"/>
              <a:t>Grupa - Koszty oleju opałowego</a:t>
            </a:r>
          </a:p>
        </c:rich>
      </c:tx>
      <c:layout>
        <c:manualLayout>
          <c:xMode val="edge"/>
          <c:yMode val="edge"/>
          <c:x val="0.16326604635128236"/>
          <c:y val="2.7777777777777776E-2"/>
        </c:manualLayout>
      </c:layout>
      <c:overlay val="0"/>
      <c:spPr>
        <a:noFill/>
        <a:ln w="25400">
          <a:noFill/>
        </a:ln>
      </c:spPr>
    </c:title>
    <c:autoTitleDeleted val="0"/>
    <c:plotArea>
      <c:layout>
        <c:manualLayout>
          <c:layoutTarget val="inner"/>
          <c:xMode val="edge"/>
          <c:yMode val="edge"/>
          <c:x val="0.16439945006874138"/>
          <c:y val="0.15555639950303549"/>
          <c:w val="0.79818879782884278"/>
          <c:h val="0.67222586928097483"/>
        </c:manualLayout>
      </c:layout>
      <c:barChart>
        <c:barDir val="col"/>
        <c:grouping val="clustered"/>
        <c:varyColors val="0"/>
        <c:ser>
          <c:idx val="1"/>
          <c:order val="0"/>
          <c:spPr>
            <a:solidFill>
              <a:srgbClr val="008000"/>
            </a:solidFill>
            <a:ln w="25400">
              <a:noFill/>
            </a:ln>
          </c:spPr>
          <c:invertIfNegative val="0"/>
          <c:cat>
            <c:strRef>
              <c:f>Raport3!$E$12:$E$14</c:f>
              <c:strCache>
                <c:ptCount val="3"/>
                <c:pt idx="0">
                  <c:v>Rok 2016</c:v>
                </c:pt>
                <c:pt idx="1">
                  <c:v>Rok 2017</c:v>
                </c:pt>
                <c:pt idx="2">
                  <c:v>Rok 2018</c:v>
                </c:pt>
              </c:strCache>
            </c:strRef>
          </c:cat>
          <c:val>
            <c:numRef>
              <c:f>Raport3!$F$12:$F$14</c:f>
              <c:numCache>
                <c:formatCode>#,##0.00</c:formatCode>
                <c:ptCount val="3"/>
                <c:pt idx="0">
                  <c:v>148.7432</c:v>
                </c:pt>
                <c:pt idx="1">
                  <c:v>194.14685</c:v>
                </c:pt>
                <c:pt idx="2">
                  <c:v>187.52681000000004</c:v>
                </c:pt>
              </c:numCache>
            </c:numRef>
          </c:val>
        </c:ser>
        <c:dLbls>
          <c:showLegendKey val="0"/>
          <c:showVal val="0"/>
          <c:showCatName val="0"/>
          <c:showSerName val="0"/>
          <c:showPercent val="0"/>
          <c:showBubbleSize val="0"/>
        </c:dLbls>
        <c:gapWidth val="150"/>
        <c:axId val="679439488"/>
        <c:axId val="679444584"/>
      </c:barChart>
      <c:catAx>
        <c:axId val="679439488"/>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679444584"/>
        <c:crosses val="autoZero"/>
        <c:auto val="1"/>
        <c:lblAlgn val="ctr"/>
        <c:lblOffset val="100"/>
        <c:tickLblSkip val="1"/>
        <c:tickMarkSkip val="1"/>
        <c:noMultiLvlLbl val="0"/>
      </c:catAx>
      <c:valAx>
        <c:axId val="679444584"/>
        <c:scaling>
          <c:orientation val="minMax"/>
          <c:min val="0"/>
        </c:scaling>
        <c:delete val="0"/>
        <c:axPos val="l"/>
        <c:majorGridlines>
          <c:spPr>
            <a:ln w="3175">
              <a:solidFill>
                <a:schemeClr val="bg2"/>
              </a:solidFill>
              <a:prstDash val="solid"/>
            </a:ln>
          </c:spPr>
        </c:majorGridlines>
        <c:title>
          <c:tx>
            <c:rich>
              <a:bodyPr/>
              <a:lstStyle/>
              <a:p>
                <a:pPr>
                  <a:defRPr sz="825" b="1" i="0" u="none" strike="noStrike" baseline="0">
                    <a:solidFill>
                      <a:srgbClr val="000000"/>
                    </a:solidFill>
                    <a:latin typeface="Arial CE"/>
                    <a:ea typeface="Arial CE"/>
                    <a:cs typeface="Arial CE"/>
                  </a:defRPr>
                </a:pPr>
                <a:r>
                  <a:rPr lang="pl-PL"/>
                  <a:t>[tys.zł/rok]</a:t>
                </a:r>
              </a:p>
            </c:rich>
          </c:tx>
          <c:layout>
            <c:manualLayout>
              <c:xMode val="edge"/>
              <c:yMode val="edge"/>
              <c:x val="3.4015076845056698E-3"/>
              <c:y val="0.31666841644794397"/>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67943948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a:ea typeface="Tahoma"/>
                <a:cs typeface="Tahoma"/>
              </a:defRPr>
            </a:pPr>
            <a:r>
              <a:rPr lang="pl-PL"/>
              <a:t>Grupa - Koszty inne</a:t>
            </a:r>
          </a:p>
        </c:rich>
      </c:tx>
      <c:layout>
        <c:manualLayout>
          <c:xMode val="edge"/>
          <c:yMode val="edge"/>
          <c:x val="0.32159629673940809"/>
          <c:y val="2.7777777777777776E-2"/>
        </c:manualLayout>
      </c:layout>
      <c:overlay val="0"/>
      <c:spPr>
        <a:noFill/>
        <a:ln w="25400">
          <a:noFill/>
        </a:ln>
      </c:spPr>
    </c:title>
    <c:autoTitleDeleted val="0"/>
    <c:plotArea>
      <c:layout>
        <c:manualLayout>
          <c:layoutTarget val="inner"/>
          <c:xMode val="edge"/>
          <c:yMode val="edge"/>
          <c:x val="0.17723004694835681"/>
          <c:y val="0.15555639950303549"/>
          <c:w val="0.784037558685446"/>
          <c:h val="0.68889262637058579"/>
        </c:manualLayout>
      </c:layout>
      <c:barChart>
        <c:barDir val="col"/>
        <c:grouping val="clustered"/>
        <c:varyColors val="0"/>
        <c:ser>
          <c:idx val="1"/>
          <c:order val="0"/>
          <c:spPr>
            <a:solidFill>
              <a:schemeClr val="accent5">
                <a:lumMod val="60000"/>
                <a:lumOff val="40000"/>
              </a:schemeClr>
            </a:solidFill>
            <a:ln w="25400">
              <a:noFill/>
            </a:ln>
          </c:spPr>
          <c:invertIfNegative val="0"/>
          <c:cat>
            <c:strRef>
              <c:f>Raport3!$E$36:$E$38</c:f>
              <c:strCache>
                <c:ptCount val="3"/>
                <c:pt idx="0">
                  <c:v>Rok 2016</c:v>
                </c:pt>
                <c:pt idx="1">
                  <c:v>Rok 2017</c:v>
                </c:pt>
                <c:pt idx="2">
                  <c:v>Rok 2018</c:v>
                </c:pt>
              </c:strCache>
            </c:strRef>
          </c:cat>
          <c:val>
            <c:numRef>
              <c:f>Raport3!$F$36:$F$38</c:f>
              <c:numCache>
                <c:formatCode>#,##0.00</c:formatCode>
                <c:ptCount val="3"/>
                <c:pt idx="0">
                  <c:v>7.4846000000000004</c:v>
                </c:pt>
                <c:pt idx="1">
                  <c:v>3.3509799999999998</c:v>
                </c:pt>
                <c:pt idx="2">
                  <c:v>6.5120399999999998</c:v>
                </c:pt>
              </c:numCache>
            </c:numRef>
          </c:val>
        </c:ser>
        <c:dLbls>
          <c:showLegendKey val="0"/>
          <c:showVal val="0"/>
          <c:showCatName val="0"/>
          <c:showSerName val="0"/>
          <c:showPercent val="0"/>
          <c:showBubbleSize val="0"/>
        </c:dLbls>
        <c:gapWidth val="150"/>
        <c:axId val="679444976"/>
        <c:axId val="679445760"/>
      </c:barChart>
      <c:catAx>
        <c:axId val="679444976"/>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79445760"/>
        <c:crosses val="autoZero"/>
        <c:auto val="1"/>
        <c:lblAlgn val="ctr"/>
        <c:lblOffset val="100"/>
        <c:tickLblSkip val="1"/>
        <c:tickMarkSkip val="1"/>
        <c:noMultiLvlLbl val="0"/>
      </c:catAx>
      <c:valAx>
        <c:axId val="679445760"/>
        <c:scaling>
          <c:orientation val="minMax"/>
          <c:min val="0"/>
        </c:scaling>
        <c:delete val="0"/>
        <c:axPos val="l"/>
        <c:majorGridlines>
          <c:spPr>
            <a:ln w="3175">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[tys.zł/rok]</a:t>
                </a:r>
              </a:p>
            </c:rich>
          </c:tx>
          <c:layout>
            <c:manualLayout>
              <c:xMode val="edge"/>
              <c:yMode val="edge"/>
              <c:x val="8.2158681516761867E-3"/>
              <c:y val="0.3055573053368329"/>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7944497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739655150761656"/>
          <c:y val="8.8848723097506133E-2"/>
          <c:w val="0.27824094351900747"/>
          <c:h val="0.78429918967552625"/>
        </c:manualLayout>
      </c:layout>
      <c:doughnutChart>
        <c:varyColors val="1"/>
        <c:ser>
          <c:idx val="0"/>
          <c:order val="0"/>
          <c:spPr>
            <a:solidFill>
              <a:srgbClr val="9999FF"/>
            </a:solidFill>
            <a:ln w="25400">
              <a:noFill/>
            </a:ln>
          </c:spPr>
          <c:dPt>
            <c:idx val="0"/>
            <c:bubble3D val="0"/>
            <c:spPr>
              <a:solidFill>
                <a:srgbClr val="92D050"/>
              </a:solidFill>
              <a:ln w="25400">
                <a:noFill/>
              </a:ln>
            </c:spPr>
          </c:dPt>
          <c:dPt>
            <c:idx val="1"/>
            <c:bubble3D val="0"/>
            <c:spPr>
              <a:solidFill>
                <a:srgbClr val="4BACC6"/>
              </a:solidFill>
              <a:ln w="25400">
                <a:noFill/>
              </a:ln>
            </c:spPr>
          </c:dPt>
          <c:dPt>
            <c:idx val="2"/>
            <c:bubble3D val="0"/>
            <c:spPr>
              <a:solidFill>
                <a:srgbClr val="F79646"/>
              </a:solidFill>
              <a:ln w="25400">
                <a:noFill/>
              </a:ln>
            </c:spPr>
          </c:dPt>
          <c:dPt>
            <c:idx val="3"/>
            <c:bubble3D val="0"/>
            <c:spPr>
              <a:solidFill>
                <a:schemeClr val="accent1"/>
              </a:solidFill>
              <a:ln w="25400">
                <a:noFill/>
              </a:ln>
            </c:spPr>
          </c:dPt>
          <c:dPt>
            <c:idx val="4"/>
            <c:bubble3D val="0"/>
            <c:spPr>
              <a:solidFill>
                <a:schemeClr val="accent4">
                  <a:lumMod val="75000"/>
                </a:schemeClr>
              </a:solidFill>
              <a:ln w="25400">
                <a:noFill/>
              </a:ln>
            </c:spPr>
          </c:dPt>
          <c:dPt>
            <c:idx val="5"/>
            <c:bubble3D val="0"/>
            <c:spPr>
              <a:solidFill>
                <a:srgbClr val="FF8080"/>
              </a:solidFill>
              <a:ln w="25400">
                <a:noFill/>
              </a:ln>
            </c:spPr>
          </c:dPt>
          <c:dLbls>
            <c:dLbl>
              <c:idx val="0"/>
              <c:layout>
                <c:manualLayout>
                  <c:x val="3.7666344338536634E-2"/>
                  <c:y val="0.14709106205643055"/>
                </c:manualLayout>
              </c:layout>
              <c:showLegendKey val="1"/>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0436231356247933"/>
                  <c:y val="-3.9225918965249587E-2"/>
                </c:manualLayout>
              </c:layout>
              <c:showLegendKey val="1"/>
              <c:showVal val="0"/>
              <c:showCatName val="0"/>
              <c:showSerName val="0"/>
              <c:showPercent val="1"/>
              <c:showBubbleSize val="0"/>
              <c:extLst>
                <c:ext xmlns:c15="http://schemas.microsoft.com/office/drawing/2012/chart" uri="{CE6537A1-D6FC-4f65-9D91-7224C49458BB}"/>
              </c:extLst>
            </c:dLbl>
            <c:dLbl>
              <c:idx val="3"/>
              <c:layout>
                <c:manualLayout>
                  <c:x val="-2.180930732940679E-2"/>
                  <c:y val="-0.14794180944485313"/>
                </c:manualLayout>
              </c:layout>
              <c:showLegendKey val="1"/>
              <c:showVal val="0"/>
              <c:showCatName val="0"/>
              <c:showSerName val="0"/>
              <c:showPercent val="1"/>
              <c:showBubbleSize val="0"/>
              <c:extLst>
                <c:ext xmlns:c15="http://schemas.microsoft.com/office/drawing/2012/chart" uri="{CE6537A1-D6FC-4f65-9D91-7224C49458BB}"/>
              </c:extLst>
            </c:dLbl>
            <c:dLbl>
              <c:idx val="4"/>
              <c:layout>
                <c:manualLayout>
                  <c:x val="7.7607739223984562E-2"/>
                  <c:y val="-1.4366447995175795E-2"/>
                </c:manualLayout>
              </c:layout>
              <c:showLegendKey val="1"/>
              <c:showVal val="0"/>
              <c:showCatName val="0"/>
              <c:showSerName val="0"/>
              <c:showPercent val="1"/>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numFmt formatCode="0.0%" sourceLinked="0"/>
            <c:spPr>
              <a:noFill/>
              <a:ln>
                <a:noFill/>
              </a:ln>
              <a:effectLst/>
            </c:spPr>
            <c:txPr>
              <a:bodyPr/>
              <a:lstStyle/>
              <a:p>
                <a:pPr>
                  <a:defRPr>
                    <a:latin typeface="+mn-lt"/>
                  </a:defRPr>
                </a:pPr>
                <a:endParaRPr lang="pl-PL"/>
              </a:p>
            </c:txPr>
            <c:showLegendKey val="1"/>
            <c:showVal val="0"/>
            <c:showCatName val="0"/>
            <c:showSerName val="0"/>
            <c:showPercent val="1"/>
            <c:showBubbleSize val="0"/>
            <c:showLeaderLines val="0"/>
            <c:extLst>
              <c:ext xmlns:c15="http://schemas.microsoft.com/office/drawing/2012/chart" uri="{CE6537A1-D6FC-4f65-9D91-7224C49458BB}"/>
            </c:extLst>
          </c:dLbls>
          <c:cat>
            <c:strRef>
              <c:f>PanSter!$B$198:$B$203</c:f>
              <c:strCache>
                <c:ptCount val="6"/>
                <c:pt idx="0">
                  <c:v>Gaz</c:v>
                </c:pt>
                <c:pt idx="1">
                  <c:v>Ciepło sieciowe</c:v>
                </c:pt>
                <c:pt idx="2">
                  <c:v>Energia elektryczna</c:v>
                </c:pt>
                <c:pt idx="3">
                  <c:v>Paliwa stałe</c:v>
                </c:pt>
                <c:pt idx="4">
                  <c:v>Olej opałowy</c:v>
                </c:pt>
                <c:pt idx="5">
                  <c:v>Gaz płynny</c:v>
                </c:pt>
              </c:strCache>
            </c:strRef>
          </c:cat>
          <c:val>
            <c:numRef>
              <c:f>PanSter!$C$198:$C$203</c:f>
              <c:numCache>
                <c:formatCode>#,##0.00</c:formatCode>
                <c:ptCount val="6"/>
                <c:pt idx="0">
                  <c:v>142.13499999999999</c:v>
                </c:pt>
                <c:pt idx="1">
                  <c:v>0</c:v>
                </c:pt>
                <c:pt idx="2">
                  <c:v>2720.4156000000003</c:v>
                </c:pt>
                <c:pt idx="3">
                  <c:v>386.86</c:v>
                </c:pt>
                <c:pt idx="4">
                  <c:v>2426.0427999999997</c:v>
                </c:pt>
                <c:pt idx="5">
                  <c:v>0</c:v>
                </c:pt>
              </c:numCache>
            </c:numRef>
          </c:val>
        </c:ser>
        <c:dLbls>
          <c:showLegendKey val="0"/>
          <c:showVal val="0"/>
          <c:showCatName val="0"/>
          <c:showSerName val="0"/>
          <c:showPercent val="0"/>
          <c:showBubbleSize val="0"/>
          <c:showLeaderLines val="0"/>
        </c:dLbls>
        <c:firstSliceAng val="150"/>
        <c:holeSize val="50"/>
      </c:doughnutChart>
      <c:spPr>
        <a:noFill/>
        <a:ln w="25400">
          <a:noFill/>
        </a:ln>
      </c:spPr>
    </c:plotArea>
    <c:legend>
      <c:legendPos val="r"/>
      <c:legendEntry>
        <c:idx val="1"/>
        <c:delete val="1"/>
      </c:legendEntry>
      <c:legendEntry>
        <c:idx val="5"/>
        <c:delete val="1"/>
      </c:legendEntry>
      <c:overlay val="0"/>
    </c:legend>
    <c:plotVisOnly val="1"/>
    <c:dispBlanksAs val="zero"/>
    <c:showDLblsOverMax val="0"/>
  </c:chart>
  <c:spPr>
    <a:solidFill>
      <a:srgbClr val="FFFFFF"/>
    </a:solidFill>
    <a:ln w="9525">
      <a:noFill/>
    </a:ln>
  </c:spPr>
  <c:txPr>
    <a:bodyPr/>
    <a:lstStyle/>
    <a:p>
      <a:pPr>
        <a:defRPr sz="875" b="0" i="0" u="none" strike="noStrike" baseline="0">
          <a:solidFill>
            <a:srgbClr val="000000"/>
          </a:solidFill>
          <a:latin typeface="Arial"/>
          <a:ea typeface="Arial"/>
          <a:cs typeface="Arial"/>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v>Sekcje S i T</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GUS!$R$148:$Z$148</c:f>
              <c:numCache>
                <c:formatCode>General</c:formatCode>
                <c:ptCount val="9"/>
                <c:pt idx="0">
                  <c:v>35</c:v>
                </c:pt>
                <c:pt idx="1">
                  <c:v>39</c:v>
                </c:pt>
                <c:pt idx="2">
                  <c:v>38</c:v>
                </c:pt>
                <c:pt idx="3">
                  <c:v>38</c:v>
                </c:pt>
                <c:pt idx="4">
                  <c:v>42</c:v>
                </c:pt>
                <c:pt idx="5">
                  <c:v>43</c:v>
                </c:pt>
                <c:pt idx="6">
                  <c:v>44</c:v>
                </c:pt>
                <c:pt idx="7">
                  <c:v>48</c:v>
                </c:pt>
                <c:pt idx="8">
                  <c:v>48</c:v>
                </c:pt>
              </c:numCache>
            </c:numRef>
          </c:val>
        </c:ser>
        <c:ser>
          <c:idx val="1"/>
          <c:order val="1"/>
          <c:tx>
            <c:v>Sekcja R</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GUS!$R$147:$Z$147</c:f>
              <c:numCache>
                <c:formatCode>General</c:formatCode>
                <c:ptCount val="9"/>
                <c:pt idx="0">
                  <c:v>11</c:v>
                </c:pt>
                <c:pt idx="1">
                  <c:v>11</c:v>
                </c:pt>
                <c:pt idx="2">
                  <c:v>11</c:v>
                </c:pt>
                <c:pt idx="3">
                  <c:v>11</c:v>
                </c:pt>
                <c:pt idx="4">
                  <c:v>10</c:v>
                </c:pt>
                <c:pt idx="5">
                  <c:v>12</c:v>
                </c:pt>
                <c:pt idx="6">
                  <c:v>12</c:v>
                </c:pt>
                <c:pt idx="7">
                  <c:v>13</c:v>
                </c:pt>
                <c:pt idx="8">
                  <c:v>14</c:v>
                </c:pt>
              </c:numCache>
            </c:numRef>
          </c:val>
        </c:ser>
        <c:ser>
          <c:idx val="2"/>
          <c:order val="2"/>
          <c:tx>
            <c:v>Sekcja Q</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GUS!$R$146:$Z$146</c:f>
              <c:numCache>
                <c:formatCode>General</c:formatCode>
                <c:ptCount val="9"/>
                <c:pt idx="0">
                  <c:v>24</c:v>
                </c:pt>
                <c:pt idx="1">
                  <c:v>25</c:v>
                </c:pt>
                <c:pt idx="2">
                  <c:v>27</c:v>
                </c:pt>
                <c:pt idx="3">
                  <c:v>33</c:v>
                </c:pt>
                <c:pt idx="4">
                  <c:v>34</c:v>
                </c:pt>
                <c:pt idx="5">
                  <c:v>39</c:v>
                </c:pt>
                <c:pt idx="6">
                  <c:v>46</c:v>
                </c:pt>
                <c:pt idx="7">
                  <c:v>48</c:v>
                </c:pt>
                <c:pt idx="8">
                  <c:v>49</c:v>
                </c:pt>
              </c:numCache>
            </c:numRef>
          </c:val>
        </c:ser>
        <c:ser>
          <c:idx val="3"/>
          <c:order val="3"/>
          <c:tx>
            <c:v>Sekcja P</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GUS!$R$145:$Z$145</c:f>
              <c:numCache>
                <c:formatCode>General</c:formatCode>
                <c:ptCount val="9"/>
                <c:pt idx="0">
                  <c:v>12</c:v>
                </c:pt>
                <c:pt idx="1">
                  <c:v>14</c:v>
                </c:pt>
                <c:pt idx="2">
                  <c:v>13</c:v>
                </c:pt>
                <c:pt idx="3">
                  <c:v>15</c:v>
                </c:pt>
                <c:pt idx="4">
                  <c:v>15</c:v>
                </c:pt>
                <c:pt idx="5">
                  <c:v>18</c:v>
                </c:pt>
                <c:pt idx="6">
                  <c:v>20</c:v>
                </c:pt>
                <c:pt idx="7">
                  <c:v>18</c:v>
                </c:pt>
                <c:pt idx="8">
                  <c:v>20</c:v>
                </c:pt>
              </c:numCache>
            </c:numRef>
          </c:val>
        </c:ser>
        <c:ser>
          <c:idx val="4"/>
          <c:order val="4"/>
          <c:tx>
            <c:v>Sekcja O</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GUS!$R$144:$Z$144</c:f>
              <c:numCache>
                <c:formatCode>General</c:formatCode>
                <c:ptCount val="9"/>
                <c:pt idx="0">
                  <c:v>9</c:v>
                </c:pt>
                <c:pt idx="1">
                  <c:v>9</c:v>
                </c:pt>
                <c:pt idx="2">
                  <c:v>9</c:v>
                </c:pt>
                <c:pt idx="3">
                  <c:v>9</c:v>
                </c:pt>
                <c:pt idx="4">
                  <c:v>9</c:v>
                </c:pt>
                <c:pt idx="5">
                  <c:v>9</c:v>
                </c:pt>
                <c:pt idx="6">
                  <c:v>9</c:v>
                </c:pt>
                <c:pt idx="7">
                  <c:v>9</c:v>
                </c:pt>
                <c:pt idx="8">
                  <c:v>9</c:v>
                </c:pt>
              </c:numCache>
            </c:numRef>
          </c:val>
        </c:ser>
        <c:ser>
          <c:idx val="5"/>
          <c:order val="5"/>
          <c:tx>
            <c:v>Sekcja N</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GUS!$R$143:$Z$143</c:f>
              <c:numCache>
                <c:formatCode>General</c:formatCode>
                <c:ptCount val="9"/>
                <c:pt idx="0">
                  <c:v>9</c:v>
                </c:pt>
                <c:pt idx="1">
                  <c:v>9</c:v>
                </c:pt>
                <c:pt idx="2">
                  <c:v>11</c:v>
                </c:pt>
                <c:pt idx="3">
                  <c:v>16</c:v>
                </c:pt>
                <c:pt idx="4">
                  <c:v>16</c:v>
                </c:pt>
                <c:pt idx="5">
                  <c:v>16</c:v>
                </c:pt>
                <c:pt idx="6">
                  <c:v>16</c:v>
                </c:pt>
                <c:pt idx="7">
                  <c:v>15</c:v>
                </c:pt>
                <c:pt idx="8">
                  <c:v>15</c:v>
                </c:pt>
              </c:numCache>
            </c:numRef>
          </c:val>
        </c:ser>
        <c:ser>
          <c:idx val="6"/>
          <c:order val="6"/>
          <c:tx>
            <c:v>Sekcja M</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GUS!$R$142:$Z$142</c:f>
              <c:numCache>
                <c:formatCode>General</c:formatCode>
                <c:ptCount val="9"/>
                <c:pt idx="0">
                  <c:v>31</c:v>
                </c:pt>
                <c:pt idx="1">
                  <c:v>36</c:v>
                </c:pt>
                <c:pt idx="2">
                  <c:v>35</c:v>
                </c:pt>
                <c:pt idx="3">
                  <c:v>39</c:v>
                </c:pt>
                <c:pt idx="4">
                  <c:v>40</c:v>
                </c:pt>
                <c:pt idx="5">
                  <c:v>40</c:v>
                </c:pt>
                <c:pt idx="6">
                  <c:v>51</c:v>
                </c:pt>
                <c:pt idx="7">
                  <c:v>62</c:v>
                </c:pt>
                <c:pt idx="8">
                  <c:v>71</c:v>
                </c:pt>
              </c:numCache>
            </c:numRef>
          </c:val>
        </c:ser>
        <c:ser>
          <c:idx val="7"/>
          <c:order val="7"/>
          <c:tx>
            <c:v>Sekcja L</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GUS!$R$141:$Z$141</c:f>
              <c:numCache>
                <c:formatCode>General</c:formatCode>
                <c:ptCount val="9"/>
                <c:pt idx="0">
                  <c:v>6</c:v>
                </c:pt>
                <c:pt idx="1">
                  <c:v>9</c:v>
                </c:pt>
                <c:pt idx="2">
                  <c:v>9</c:v>
                </c:pt>
                <c:pt idx="3">
                  <c:v>9</c:v>
                </c:pt>
                <c:pt idx="4">
                  <c:v>10</c:v>
                </c:pt>
                <c:pt idx="5">
                  <c:v>11</c:v>
                </c:pt>
                <c:pt idx="6">
                  <c:v>11</c:v>
                </c:pt>
                <c:pt idx="7">
                  <c:v>11</c:v>
                </c:pt>
                <c:pt idx="8">
                  <c:v>11</c:v>
                </c:pt>
              </c:numCache>
            </c:numRef>
          </c:val>
        </c:ser>
        <c:ser>
          <c:idx val="8"/>
          <c:order val="8"/>
          <c:tx>
            <c:v>Sekcja K</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GUS!$R$140:$Z$140</c:f>
              <c:numCache>
                <c:formatCode>General</c:formatCode>
                <c:ptCount val="9"/>
                <c:pt idx="0">
                  <c:v>7</c:v>
                </c:pt>
                <c:pt idx="1">
                  <c:v>8</c:v>
                </c:pt>
                <c:pt idx="2">
                  <c:v>8</c:v>
                </c:pt>
                <c:pt idx="3">
                  <c:v>10</c:v>
                </c:pt>
                <c:pt idx="4">
                  <c:v>8</c:v>
                </c:pt>
                <c:pt idx="5">
                  <c:v>9</c:v>
                </c:pt>
                <c:pt idx="6">
                  <c:v>13</c:v>
                </c:pt>
                <c:pt idx="7">
                  <c:v>11</c:v>
                </c:pt>
                <c:pt idx="8">
                  <c:v>9</c:v>
                </c:pt>
              </c:numCache>
            </c:numRef>
          </c:val>
        </c:ser>
        <c:ser>
          <c:idx val="9"/>
          <c:order val="9"/>
          <c:tx>
            <c:v>Sekcja J</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GUS!$R$139:$Z$139</c:f>
              <c:numCache>
                <c:formatCode>General</c:formatCode>
                <c:ptCount val="9"/>
                <c:pt idx="0">
                  <c:v>9</c:v>
                </c:pt>
                <c:pt idx="1">
                  <c:v>9</c:v>
                </c:pt>
                <c:pt idx="2">
                  <c:v>7</c:v>
                </c:pt>
                <c:pt idx="3">
                  <c:v>9</c:v>
                </c:pt>
                <c:pt idx="4">
                  <c:v>11</c:v>
                </c:pt>
                <c:pt idx="5">
                  <c:v>9</c:v>
                </c:pt>
                <c:pt idx="6">
                  <c:v>11</c:v>
                </c:pt>
                <c:pt idx="7">
                  <c:v>11</c:v>
                </c:pt>
                <c:pt idx="8">
                  <c:v>11</c:v>
                </c:pt>
              </c:numCache>
            </c:numRef>
          </c:val>
        </c:ser>
        <c:ser>
          <c:idx val="10"/>
          <c:order val="10"/>
          <c:tx>
            <c:v>Sekcja I</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GUS!$R$138:$Z$138</c:f>
              <c:numCache>
                <c:formatCode>General</c:formatCode>
                <c:ptCount val="9"/>
                <c:pt idx="0">
                  <c:v>10</c:v>
                </c:pt>
                <c:pt idx="1">
                  <c:v>14</c:v>
                </c:pt>
                <c:pt idx="2">
                  <c:v>17</c:v>
                </c:pt>
                <c:pt idx="3">
                  <c:v>17</c:v>
                </c:pt>
                <c:pt idx="4">
                  <c:v>19</c:v>
                </c:pt>
                <c:pt idx="5">
                  <c:v>15</c:v>
                </c:pt>
                <c:pt idx="6">
                  <c:v>17</c:v>
                </c:pt>
                <c:pt idx="7">
                  <c:v>19</c:v>
                </c:pt>
                <c:pt idx="8">
                  <c:v>16</c:v>
                </c:pt>
              </c:numCache>
            </c:numRef>
          </c:val>
        </c:ser>
        <c:ser>
          <c:idx val="11"/>
          <c:order val="11"/>
          <c:tx>
            <c:v>Sekcja H</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GUS!$R$137:$Z$137</c:f>
              <c:numCache>
                <c:formatCode>General</c:formatCode>
                <c:ptCount val="9"/>
                <c:pt idx="0">
                  <c:v>40</c:v>
                </c:pt>
                <c:pt idx="1">
                  <c:v>42</c:v>
                </c:pt>
                <c:pt idx="2">
                  <c:v>42</c:v>
                </c:pt>
                <c:pt idx="3">
                  <c:v>46</c:v>
                </c:pt>
                <c:pt idx="4">
                  <c:v>46</c:v>
                </c:pt>
                <c:pt idx="5">
                  <c:v>43</c:v>
                </c:pt>
                <c:pt idx="6">
                  <c:v>42</c:v>
                </c:pt>
                <c:pt idx="7">
                  <c:v>39</c:v>
                </c:pt>
                <c:pt idx="8">
                  <c:v>48</c:v>
                </c:pt>
              </c:numCache>
            </c:numRef>
          </c:val>
        </c:ser>
        <c:ser>
          <c:idx val="12"/>
          <c:order val="12"/>
          <c:tx>
            <c:v>Sekcja G</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GUS!$R$136:$Z$136</c:f>
              <c:numCache>
                <c:formatCode>General</c:formatCode>
                <c:ptCount val="9"/>
                <c:pt idx="0">
                  <c:v>172</c:v>
                </c:pt>
                <c:pt idx="1">
                  <c:v>186</c:v>
                </c:pt>
                <c:pt idx="2">
                  <c:v>181</c:v>
                </c:pt>
                <c:pt idx="3">
                  <c:v>198</c:v>
                </c:pt>
                <c:pt idx="4">
                  <c:v>214</c:v>
                </c:pt>
                <c:pt idx="5">
                  <c:v>231</c:v>
                </c:pt>
                <c:pt idx="6">
                  <c:v>225</c:v>
                </c:pt>
                <c:pt idx="7">
                  <c:v>236</c:v>
                </c:pt>
                <c:pt idx="8">
                  <c:v>242</c:v>
                </c:pt>
              </c:numCache>
            </c:numRef>
          </c:val>
        </c:ser>
        <c:ser>
          <c:idx val="13"/>
          <c:order val="13"/>
          <c:tx>
            <c:v>Sekcja F</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GUS!$R$135:$Z$135</c:f>
              <c:numCache>
                <c:formatCode>General</c:formatCode>
                <c:ptCount val="9"/>
                <c:pt idx="0">
                  <c:v>99</c:v>
                </c:pt>
                <c:pt idx="1">
                  <c:v>106</c:v>
                </c:pt>
                <c:pt idx="2">
                  <c:v>101</c:v>
                </c:pt>
                <c:pt idx="3">
                  <c:v>108</c:v>
                </c:pt>
                <c:pt idx="4">
                  <c:v>112</c:v>
                </c:pt>
                <c:pt idx="5">
                  <c:v>115</c:v>
                </c:pt>
                <c:pt idx="6">
                  <c:v>106</c:v>
                </c:pt>
                <c:pt idx="7">
                  <c:v>109</c:v>
                </c:pt>
                <c:pt idx="8">
                  <c:v>123</c:v>
                </c:pt>
              </c:numCache>
            </c:numRef>
          </c:val>
        </c:ser>
        <c:ser>
          <c:idx val="14"/>
          <c:order val="14"/>
          <c:tx>
            <c:v>Sekcja E</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GUS!$R$134:$Z$134</c:f>
              <c:numCache>
                <c:formatCode>General</c:formatCode>
                <c:ptCount val="9"/>
                <c:pt idx="0">
                  <c:v>5</c:v>
                </c:pt>
                <c:pt idx="1">
                  <c:v>4</c:v>
                </c:pt>
                <c:pt idx="2">
                  <c:v>4</c:v>
                </c:pt>
                <c:pt idx="3">
                  <c:v>5</c:v>
                </c:pt>
                <c:pt idx="4">
                  <c:v>5</c:v>
                </c:pt>
                <c:pt idx="5">
                  <c:v>3</c:v>
                </c:pt>
                <c:pt idx="6">
                  <c:v>3</c:v>
                </c:pt>
                <c:pt idx="7">
                  <c:v>3</c:v>
                </c:pt>
                <c:pt idx="8">
                  <c:v>3</c:v>
                </c:pt>
              </c:numCache>
            </c:numRef>
          </c:val>
        </c:ser>
        <c:ser>
          <c:idx val="15"/>
          <c:order val="15"/>
          <c:tx>
            <c:v>Sekcja D</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GUS!$R$133:$Z$133</c:f>
              <c:numCache>
                <c:formatCode>General</c:formatCode>
                <c:ptCount val="9"/>
                <c:pt idx="0">
                  <c:v>0</c:v>
                </c:pt>
                <c:pt idx="1">
                  <c:v>0</c:v>
                </c:pt>
                <c:pt idx="2">
                  <c:v>0</c:v>
                </c:pt>
                <c:pt idx="3">
                  <c:v>1</c:v>
                </c:pt>
                <c:pt idx="4">
                  <c:v>0</c:v>
                </c:pt>
                <c:pt idx="5">
                  <c:v>0</c:v>
                </c:pt>
                <c:pt idx="6">
                  <c:v>0</c:v>
                </c:pt>
                <c:pt idx="7">
                  <c:v>0</c:v>
                </c:pt>
                <c:pt idx="8">
                  <c:v>0</c:v>
                </c:pt>
              </c:numCache>
            </c:numRef>
          </c:val>
        </c:ser>
        <c:ser>
          <c:idx val="16"/>
          <c:order val="16"/>
          <c:tx>
            <c:strRef>
              <c:f>GUS!$B$132</c:f>
              <c:strCache>
                <c:ptCount val="1"/>
                <c:pt idx="0">
                  <c:v>Sekcja C</c:v>
                </c:pt>
              </c:strCache>
            </c:strRef>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GUS!$R$132:$Z$132</c:f>
              <c:numCache>
                <c:formatCode>General</c:formatCode>
                <c:ptCount val="9"/>
                <c:pt idx="0">
                  <c:v>121</c:v>
                </c:pt>
                <c:pt idx="1">
                  <c:v>121</c:v>
                </c:pt>
                <c:pt idx="2">
                  <c:v>123</c:v>
                </c:pt>
                <c:pt idx="3">
                  <c:v>121</c:v>
                </c:pt>
                <c:pt idx="4">
                  <c:v>121</c:v>
                </c:pt>
                <c:pt idx="5">
                  <c:v>119</c:v>
                </c:pt>
                <c:pt idx="6">
                  <c:v>121</c:v>
                </c:pt>
                <c:pt idx="7">
                  <c:v>128</c:v>
                </c:pt>
                <c:pt idx="8">
                  <c:v>137</c:v>
                </c:pt>
              </c:numCache>
            </c:numRef>
          </c:val>
        </c:ser>
        <c:ser>
          <c:idx val="17"/>
          <c:order val="17"/>
          <c:tx>
            <c:v>Sekcja B</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GUS!$R$131:$Z$131</c:f>
              <c:numCache>
                <c:formatCode>General</c:formatCode>
                <c:ptCount val="9"/>
                <c:pt idx="0">
                  <c:v>1</c:v>
                </c:pt>
                <c:pt idx="1">
                  <c:v>1</c:v>
                </c:pt>
                <c:pt idx="2">
                  <c:v>1</c:v>
                </c:pt>
                <c:pt idx="3">
                  <c:v>1</c:v>
                </c:pt>
                <c:pt idx="4">
                  <c:v>1</c:v>
                </c:pt>
                <c:pt idx="5">
                  <c:v>1</c:v>
                </c:pt>
                <c:pt idx="6">
                  <c:v>1</c:v>
                </c:pt>
                <c:pt idx="7">
                  <c:v>2</c:v>
                </c:pt>
                <c:pt idx="8">
                  <c:v>2</c:v>
                </c:pt>
              </c:numCache>
            </c:numRef>
          </c:val>
        </c:ser>
        <c:ser>
          <c:idx val="18"/>
          <c:order val="18"/>
          <c:tx>
            <c:v>Sekcja A</c:v>
          </c:tx>
          <c:invertIfNegative val="0"/>
          <c:cat>
            <c:numRef>
              <c:f>GUS!$R$129:$Z$129</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GUS!$R$130:$Z$130</c:f>
              <c:numCache>
                <c:formatCode>General</c:formatCode>
                <c:ptCount val="9"/>
                <c:pt idx="0">
                  <c:v>40</c:v>
                </c:pt>
                <c:pt idx="1">
                  <c:v>36</c:v>
                </c:pt>
                <c:pt idx="2">
                  <c:v>37</c:v>
                </c:pt>
                <c:pt idx="3">
                  <c:v>37</c:v>
                </c:pt>
                <c:pt idx="4">
                  <c:v>38</c:v>
                </c:pt>
                <c:pt idx="5">
                  <c:v>30</c:v>
                </c:pt>
                <c:pt idx="6">
                  <c:v>31</c:v>
                </c:pt>
                <c:pt idx="7">
                  <c:v>31</c:v>
                </c:pt>
                <c:pt idx="8">
                  <c:v>27</c:v>
                </c:pt>
              </c:numCache>
            </c:numRef>
          </c:val>
        </c:ser>
        <c:dLbls>
          <c:showLegendKey val="0"/>
          <c:showVal val="0"/>
          <c:showCatName val="0"/>
          <c:showSerName val="0"/>
          <c:showPercent val="0"/>
          <c:showBubbleSize val="0"/>
        </c:dLbls>
        <c:gapWidth val="150"/>
        <c:overlap val="100"/>
        <c:axId val="460587192"/>
        <c:axId val="455126160"/>
      </c:barChart>
      <c:catAx>
        <c:axId val="46058719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55126160"/>
        <c:crosses val="autoZero"/>
        <c:auto val="1"/>
        <c:lblAlgn val="ctr"/>
        <c:lblOffset val="100"/>
        <c:noMultiLvlLbl val="0"/>
      </c:catAx>
      <c:valAx>
        <c:axId val="455126160"/>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pl-PL"/>
          </a:p>
        </c:txPr>
        <c:crossAx val="460587192"/>
        <c:crosses val="autoZero"/>
        <c:crossBetween val="between"/>
      </c:valAx>
    </c:plotArea>
    <c:legend>
      <c:legendPos val="r"/>
      <c:layout>
        <c:manualLayout>
          <c:xMode val="edge"/>
          <c:yMode val="edge"/>
          <c:x val="0.81261770244821097"/>
          <c:y val="2.5477707006369428E-2"/>
          <c:w val="0.1704331450094162"/>
          <c:h val="0.95222929936305734"/>
        </c:manualLayout>
      </c:layout>
      <c:overlay val="0"/>
      <c:txPr>
        <a:bodyPr/>
        <a:lstStyle/>
        <a:p>
          <a:pPr>
            <a:defRPr sz="845" b="0" i="0" u="none" strike="noStrike" baseline="0">
              <a:solidFill>
                <a:srgbClr val="000000"/>
              </a:solidFill>
              <a:latin typeface="Calibri"/>
              <a:ea typeface="Calibri"/>
              <a:cs typeface="Calibri"/>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a:ea typeface="Tahoma"/>
                <a:cs typeface="Tahoma"/>
              </a:defRPr>
            </a:pPr>
            <a:r>
              <a:rPr lang="pl-PL"/>
              <a:t>Zużycie energii łączne</a:t>
            </a:r>
          </a:p>
        </c:rich>
      </c:tx>
      <c:layout>
        <c:manualLayout>
          <c:xMode val="edge"/>
          <c:yMode val="edge"/>
          <c:x val="0.29152578580093363"/>
          <c:y val="2.0257826887661142E-2"/>
        </c:manualLayout>
      </c:layout>
      <c:overlay val="0"/>
      <c:spPr>
        <a:noFill/>
        <a:ln w="25400">
          <a:noFill/>
        </a:ln>
      </c:spPr>
    </c:title>
    <c:autoTitleDeleted val="0"/>
    <c:plotArea>
      <c:layout>
        <c:manualLayout>
          <c:layoutTarget val="inner"/>
          <c:xMode val="edge"/>
          <c:yMode val="edge"/>
          <c:x val="0.23841843498376261"/>
          <c:y val="0.14917167313663549"/>
          <c:w val="0.72768468348236126"/>
          <c:h val="0.69613447463763234"/>
        </c:manualLayout>
      </c:layout>
      <c:barChart>
        <c:barDir val="col"/>
        <c:grouping val="clustered"/>
        <c:varyColors val="0"/>
        <c:ser>
          <c:idx val="1"/>
          <c:order val="0"/>
          <c:spPr>
            <a:solidFill>
              <a:schemeClr val="bg2">
                <a:lumMod val="50000"/>
              </a:schemeClr>
            </a:solidFill>
            <a:ln w="25400">
              <a:noFill/>
            </a:ln>
          </c:spPr>
          <c:invertIfNegative val="0"/>
          <c:cat>
            <c:strRef>
              <c:f>Raport5!$B$12:$B$14</c:f>
              <c:strCache>
                <c:ptCount val="3"/>
                <c:pt idx="0">
                  <c:v>Rok 2016</c:v>
                </c:pt>
                <c:pt idx="1">
                  <c:v>Rok 2017</c:v>
                </c:pt>
                <c:pt idx="2">
                  <c:v>Rok 2018</c:v>
                </c:pt>
              </c:strCache>
            </c:strRef>
          </c:cat>
          <c:val>
            <c:numRef>
              <c:f>Raport5!$C$12:$C$14</c:f>
              <c:numCache>
                <c:formatCode>#,##0.00</c:formatCode>
                <c:ptCount val="3"/>
                <c:pt idx="0">
                  <c:v>7077.0910000000003</c:v>
                </c:pt>
                <c:pt idx="1">
                  <c:v>7017.1982500000004</c:v>
                </c:pt>
                <c:pt idx="2">
                  <c:v>5675.4534000000003</c:v>
                </c:pt>
              </c:numCache>
            </c:numRef>
          </c:val>
        </c:ser>
        <c:dLbls>
          <c:showLegendKey val="0"/>
          <c:showVal val="0"/>
          <c:showCatName val="0"/>
          <c:showSerName val="0"/>
          <c:showPercent val="0"/>
          <c:showBubbleSize val="0"/>
        </c:dLbls>
        <c:gapWidth val="150"/>
        <c:axId val="679446544"/>
        <c:axId val="621885008"/>
      </c:barChart>
      <c:catAx>
        <c:axId val="679446544"/>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21885008"/>
        <c:crosses val="autoZero"/>
        <c:auto val="1"/>
        <c:lblAlgn val="ctr"/>
        <c:lblOffset val="100"/>
        <c:tickLblSkip val="1"/>
        <c:tickMarkSkip val="1"/>
        <c:noMultiLvlLbl val="0"/>
      </c:catAx>
      <c:valAx>
        <c:axId val="621885008"/>
        <c:scaling>
          <c:orientation val="minMax"/>
          <c:min val="0"/>
        </c:scaling>
        <c:delete val="0"/>
        <c:axPos val="l"/>
        <c:majorGridlines>
          <c:spPr>
            <a:ln w="0" cap="sq">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[GJ/rok]</a:t>
                </a:r>
              </a:p>
            </c:rich>
          </c:tx>
          <c:layout>
            <c:manualLayout>
              <c:xMode val="edge"/>
              <c:yMode val="edge"/>
              <c:x val="3.3897652905150594E-3"/>
              <c:y val="0.35359232029697946"/>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7944654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pl-PL"/>
              <a:t>Jednostkowe zużycie energii</a:t>
            </a:r>
          </a:p>
        </c:rich>
      </c:tx>
      <c:layout>
        <c:manualLayout>
          <c:xMode val="edge"/>
          <c:yMode val="edge"/>
          <c:x val="0.2414970626972871"/>
          <c:y val="2.7777777777777776E-2"/>
        </c:manualLayout>
      </c:layout>
      <c:overlay val="0"/>
      <c:spPr>
        <a:noFill/>
        <a:ln w="25400">
          <a:noFill/>
        </a:ln>
      </c:spPr>
    </c:title>
    <c:autoTitleDeleted val="0"/>
    <c:plotArea>
      <c:layout>
        <c:manualLayout>
          <c:layoutTarget val="inner"/>
          <c:xMode val="edge"/>
          <c:yMode val="edge"/>
          <c:x val="0.18027270764478251"/>
          <c:y val="0.15000081380649852"/>
          <c:w val="0.78571689558386337"/>
          <c:h val="0.67778145497751185"/>
        </c:manualLayout>
      </c:layout>
      <c:barChart>
        <c:barDir val="col"/>
        <c:grouping val="clustered"/>
        <c:varyColors val="0"/>
        <c:ser>
          <c:idx val="1"/>
          <c:order val="0"/>
          <c:spPr>
            <a:solidFill>
              <a:schemeClr val="accent6">
                <a:lumMod val="75000"/>
              </a:schemeClr>
            </a:solidFill>
            <a:ln w="25400">
              <a:noFill/>
            </a:ln>
          </c:spPr>
          <c:invertIfNegative val="0"/>
          <c:cat>
            <c:strRef>
              <c:f>Raport5!$E$12:$E$14</c:f>
              <c:strCache>
                <c:ptCount val="3"/>
                <c:pt idx="0">
                  <c:v>Rok 2016</c:v>
                </c:pt>
                <c:pt idx="1">
                  <c:v>Rok 2017</c:v>
                </c:pt>
                <c:pt idx="2">
                  <c:v>Rok 2018</c:v>
                </c:pt>
              </c:strCache>
            </c:strRef>
          </c:cat>
          <c:val>
            <c:numRef>
              <c:f>Raport5!$F$12:$F$14</c:f>
              <c:numCache>
                <c:formatCode>#,##0.00</c:formatCode>
                <c:ptCount val="3"/>
                <c:pt idx="0">
                  <c:v>0.68918383842318487</c:v>
                </c:pt>
                <c:pt idx="1">
                  <c:v>0.68335134095512651</c:v>
                </c:pt>
                <c:pt idx="2">
                  <c:v>0.5526890581177939</c:v>
                </c:pt>
              </c:numCache>
            </c:numRef>
          </c:val>
        </c:ser>
        <c:dLbls>
          <c:showLegendKey val="0"/>
          <c:showVal val="0"/>
          <c:showCatName val="0"/>
          <c:showSerName val="0"/>
          <c:showPercent val="0"/>
          <c:showBubbleSize val="0"/>
        </c:dLbls>
        <c:gapWidth val="150"/>
        <c:axId val="621886576"/>
        <c:axId val="621885400"/>
      </c:barChart>
      <c:catAx>
        <c:axId val="621886576"/>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21885400"/>
        <c:crosses val="autoZero"/>
        <c:auto val="1"/>
        <c:lblAlgn val="ctr"/>
        <c:lblOffset val="100"/>
        <c:tickLblSkip val="1"/>
        <c:tickMarkSkip val="1"/>
        <c:noMultiLvlLbl val="0"/>
      </c:catAx>
      <c:valAx>
        <c:axId val="621885400"/>
        <c:scaling>
          <c:orientation val="minMax"/>
          <c:min val="0"/>
        </c:scaling>
        <c:delete val="0"/>
        <c:axPos val="l"/>
        <c:majorGridlines>
          <c:spPr>
            <a:ln w="3175">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[GJ/m2/rok]</a:t>
                </a:r>
              </a:p>
            </c:rich>
          </c:tx>
          <c:layout>
            <c:manualLayout>
              <c:xMode val="edge"/>
              <c:yMode val="edge"/>
              <c:x val="3.4015076845056698E-3"/>
              <c:y val="0.26666783318751824"/>
            </c:manualLayout>
          </c:layout>
          <c:overlay val="0"/>
          <c:spPr>
            <a:noFill/>
            <a:ln w="25400">
              <a:noFill/>
            </a:ln>
          </c:spPr>
        </c:title>
        <c:numFmt formatCode="#,##0.0" sourceLinked="0"/>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21886576"/>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a:ea typeface="Tahoma"/>
                <a:cs typeface="Tahoma"/>
              </a:defRPr>
            </a:pPr>
            <a:r>
              <a:rPr lang="pl-PL"/>
              <a:t>Zużycie wody</a:t>
            </a:r>
          </a:p>
        </c:rich>
      </c:tx>
      <c:layout>
        <c:manualLayout>
          <c:xMode val="edge"/>
          <c:yMode val="edge"/>
          <c:x val="0.38531106130270609"/>
          <c:y val="2.7624309392265192E-2"/>
        </c:manualLayout>
      </c:layout>
      <c:overlay val="0"/>
      <c:spPr>
        <a:noFill/>
        <a:ln w="25400">
          <a:noFill/>
        </a:ln>
      </c:spPr>
    </c:title>
    <c:autoTitleDeleted val="0"/>
    <c:plotArea>
      <c:layout>
        <c:manualLayout>
          <c:layoutTarget val="inner"/>
          <c:xMode val="edge"/>
          <c:yMode val="edge"/>
          <c:x val="0.1777221406646203"/>
          <c:y val="0.14917167313663549"/>
          <c:w val="0.78983193202544599"/>
          <c:h val="0.69613447463763234"/>
        </c:manualLayout>
      </c:layout>
      <c:barChart>
        <c:barDir val="col"/>
        <c:grouping val="clustered"/>
        <c:varyColors val="0"/>
        <c:ser>
          <c:idx val="1"/>
          <c:order val="0"/>
          <c:spPr>
            <a:solidFill>
              <a:srgbClr val="33CCCC"/>
            </a:solidFill>
            <a:ln w="25400">
              <a:noFill/>
            </a:ln>
          </c:spPr>
          <c:invertIfNegative val="0"/>
          <c:cat>
            <c:strRef>
              <c:f>Raport5!$B$36:$B$38</c:f>
              <c:strCache>
                <c:ptCount val="3"/>
                <c:pt idx="0">
                  <c:v>Rok 2016</c:v>
                </c:pt>
                <c:pt idx="1">
                  <c:v>Rok 2017</c:v>
                </c:pt>
                <c:pt idx="2">
                  <c:v>Rok 2018</c:v>
                </c:pt>
              </c:strCache>
            </c:strRef>
          </c:cat>
          <c:val>
            <c:numRef>
              <c:f>Raport5!$C$36:$C$38</c:f>
              <c:numCache>
                <c:formatCode>#,##0.00</c:formatCode>
                <c:ptCount val="3"/>
                <c:pt idx="0">
                  <c:v>4442.7493675889327</c:v>
                </c:pt>
                <c:pt idx="1">
                  <c:v>3667.33</c:v>
                </c:pt>
                <c:pt idx="2">
                  <c:v>4406.24</c:v>
                </c:pt>
              </c:numCache>
            </c:numRef>
          </c:val>
        </c:ser>
        <c:dLbls>
          <c:showLegendKey val="0"/>
          <c:showVal val="0"/>
          <c:showCatName val="0"/>
          <c:showSerName val="0"/>
          <c:showPercent val="0"/>
          <c:showBubbleSize val="0"/>
        </c:dLbls>
        <c:gapWidth val="150"/>
        <c:axId val="621884616"/>
        <c:axId val="621885792"/>
      </c:barChart>
      <c:catAx>
        <c:axId val="621884616"/>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21885792"/>
        <c:crossesAt val="0"/>
        <c:auto val="1"/>
        <c:lblAlgn val="ctr"/>
        <c:lblOffset val="100"/>
        <c:tickLblSkip val="1"/>
        <c:tickMarkSkip val="1"/>
        <c:noMultiLvlLbl val="0"/>
      </c:catAx>
      <c:valAx>
        <c:axId val="621885792"/>
        <c:scaling>
          <c:orientation val="minMax"/>
          <c:min val="0"/>
        </c:scaling>
        <c:delete val="0"/>
        <c:axPos val="l"/>
        <c:majorGridlines>
          <c:spPr>
            <a:ln w="3175">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[tys.m3/rok]</a:t>
                </a:r>
              </a:p>
            </c:rich>
          </c:tx>
          <c:layout>
            <c:manualLayout>
              <c:xMode val="edge"/>
              <c:yMode val="edge"/>
              <c:x val="1.6949158164610772E-2"/>
              <c:y val="0.28176853583909744"/>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21884616"/>
        <c:crosses val="autoZero"/>
        <c:crossBetween val="between"/>
        <c:dispUnits>
          <c:builtInUnit val="thousands"/>
        </c:dispUnits>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a:ea typeface="Tahoma"/>
                <a:cs typeface="Tahoma"/>
              </a:defRPr>
            </a:pPr>
            <a:r>
              <a:rPr lang="pl-PL"/>
              <a:t>Zużycie gazu ziemnego</a:t>
            </a:r>
          </a:p>
        </c:rich>
      </c:tx>
      <c:layout>
        <c:manualLayout>
          <c:xMode val="edge"/>
          <c:yMode val="edge"/>
          <c:x val="0.26077171830378504"/>
          <c:y val="2.7777777777777776E-2"/>
        </c:manualLayout>
      </c:layout>
      <c:overlay val="0"/>
      <c:spPr>
        <a:noFill/>
        <a:ln w="25400">
          <a:noFill/>
        </a:ln>
      </c:spPr>
    </c:title>
    <c:autoTitleDeleted val="0"/>
    <c:plotArea>
      <c:layout>
        <c:manualLayout>
          <c:layoutTarget val="inner"/>
          <c:xMode val="edge"/>
          <c:yMode val="edge"/>
          <c:x val="0.18367418358419485"/>
          <c:y val="0.15000081380649852"/>
          <c:w val="0.78231542485760708"/>
          <c:h val="0.69444821206712271"/>
        </c:manualLayout>
      </c:layout>
      <c:barChart>
        <c:barDir val="col"/>
        <c:grouping val="clustered"/>
        <c:varyColors val="0"/>
        <c:ser>
          <c:idx val="1"/>
          <c:order val="0"/>
          <c:spPr>
            <a:solidFill>
              <a:srgbClr val="99CC00"/>
            </a:solidFill>
            <a:ln w="25400">
              <a:noFill/>
            </a:ln>
          </c:spPr>
          <c:invertIfNegative val="0"/>
          <c:cat>
            <c:strRef>
              <c:f>Raport5!$E$36:$E$38</c:f>
              <c:strCache>
                <c:ptCount val="3"/>
                <c:pt idx="0">
                  <c:v>Rok 2016</c:v>
                </c:pt>
                <c:pt idx="1">
                  <c:v>Rok 2017</c:v>
                </c:pt>
                <c:pt idx="2">
                  <c:v>Rok 2018</c:v>
                </c:pt>
              </c:strCache>
            </c:strRef>
          </c:cat>
          <c:val>
            <c:numRef>
              <c:f>Raport5!$F$36:$F$38</c:f>
              <c:numCache>
                <c:formatCode>#,##0.00</c:formatCode>
                <c:ptCount val="3"/>
                <c:pt idx="0">
                  <c:v>2386</c:v>
                </c:pt>
                <c:pt idx="1">
                  <c:v>5596</c:v>
                </c:pt>
                <c:pt idx="2">
                  <c:v>4061</c:v>
                </c:pt>
              </c:numCache>
            </c:numRef>
          </c:val>
        </c:ser>
        <c:dLbls>
          <c:showLegendKey val="0"/>
          <c:showVal val="0"/>
          <c:showCatName val="0"/>
          <c:showSerName val="0"/>
          <c:showPercent val="0"/>
          <c:showBubbleSize val="0"/>
        </c:dLbls>
        <c:gapWidth val="150"/>
        <c:axId val="621883832"/>
        <c:axId val="621884224"/>
      </c:barChart>
      <c:catAx>
        <c:axId val="621883832"/>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21884224"/>
        <c:crosses val="autoZero"/>
        <c:auto val="1"/>
        <c:lblAlgn val="ctr"/>
        <c:lblOffset val="100"/>
        <c:tickLblSkip val="1"/>
        <c:tickMarkSkip val="1"/>
        <c:noMultiLvlLbl val="0"/>
      </c:catAx>
      <c:valAx>
        <c:axId val="621884224"/>
        <c:scaling>
          <c:orientation val="minMax"/>
          <c:min val="0"/>
        </c:scaling>
        <c:delete val="0"/>
        <c:axPos val="l"/>
        <c:majorGridlines>
          <c:spPr>
            <a:ln w="3175">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[tys.m3/rok]</a:t>
                </a:r>
              </a:p>
            </c:rich>
          </c:tx>
          <c:layout>
            <c:manualLayout>
              <c:xMode val="edge"/>
              <c:yMode val="edge"/>
              <c:x val="3.4015076845056698E-3"/>
              <c:y val="0.27777952755905511"/>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621883832"/>
        <c:crosses val="autoZero"/>
        <c:crossBetween val="between"/>
        <c:dispUnits>
          <c:builtInUnit val="thousands"/>
        </c:dispUnits>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a:ea typeface="Tahoma"/>
                <a:cs typeface="Tahoma"/>
              </a:defRPr>
            </a:pPr>
            <a:r>
              <a:rPr lang="pl-PL"/>
              <a:t>Zużycie energii elektrycznej</a:t>
            </a:r>
          </a:p>
        </c:rich>
      </c:tx>
      <c:layout>
        <c:manualLayout>
          <c:xMode val="edge"/>
          <c:yMode val="edge"/>
          <c:x val="0.23841835720941279"/>
          <c:y val="2.7624309392265192E-2"/>
        </c:manualLayout>
      </c:layout>
      <c:overlay val="0"/>
      <c:spPr>
        <a:noFill/>
        <a:ln w="25400">
          <a:noFill/>
        </a:ln>
      </c:spPr>
    </c:title>
    <c:autoTitleDeleted val="0"/>
    <c:plotArea>
      <c:layout>
        <c:manualLayout>
          <c:layoutTarget val="inner"/>
          <c:xMode val="edge"/>
          <c:yMode val="edge"/>
          <c:x val="0.21920939543574003"/>
          <c:y val="0.14917167313663549"/>
          <c:w val="0.74689407891810133"/>
          <c:h val="0.69613447463763234"/>
        </c:manualLayout>
      </c:layout>
      <c:barChart>
        <c:barDir val="col"/>
        <c:grouping val="clustered"/>
        <c:varyColors val="0"/>
        <c:ser>
          <c:idx val="1"/>
          <c:order val="0"/>
          <c:spPr>
            <a:solidFill>
              <a:srgbClr val="808000"/>
            </a:solidFill>
            <a:ln w="25400">
              <a:noFill/>
            </a:ln>
          </c:spPr>
          <c:invertIfNegative val="0"/>
          <c:cat>
            <c:strRef>
              <c:f>Raport5!$E$59:$E$61</c:f>
              <c:strCache>
                <c:ptCount val="3"/>
                <c:pt idx="0">
                  <c:v>Rok 2016</c:v>
                </c:pt>
                <c:pt idx="1">
                  <c:v>Rok 2017</c:v>
                </c:pt>
                <c:pt idx="2">
                  <c:v>Rok 2018</c:v>
                </c:pt>
              </c:strCache>
            </c:strRef>
          </c:cat>
          <c:val>
            <c:numRef>
              <c:f>Raport5!$F$59:$F$61</c:f>
              <c:numCache>
                <c:formatCode>#,##0.00</c:formatCode>
                <c:ptCount val="3"/>
                <c:pt idx="0">
                  <c:v>1151.3836666666668</c:v>
                </c:pt>
                <c:pt idx="1">
                  <c:v>1009.912</c:v>
                </c:pt>
                <c:pt idx="2">
                  <c:v>755.67100000000005</c:v>
                </c:pt>
              </c:numCache>
            </c:numRef>
          </c:val>
        </c:ser>
        <c:dLbls>
          <c:showLegendKey val="0"/>
          <c:showVal val="0"/>
          <c:showCatName val="0"/>
          <c:showSerName val="0"/>
          <c:showPercent val="0"/>
          <c:showBubbleSize val="0"/>
        </c:dLbls>
        <c:gapWidth val="150"/>
        <c:axId val="460902448"/>
        <c:axId val="460905976"/>
      </c:barChart>
      <c:catAx>
        <c:axId val="460902448"/>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460905976"/>
        <c:crosses val="autoZero"/>
        <c:auto val="1"/>
        <c:lblAlgn val="ctr"/>
        <c:lblOffset val="100"/>
        <c:tickLblSkip val="1"/>
        <c:tickMarkSkip val="1"/>
        <c:noMultiLvlLbl val="0"/>
      </c:catAx>
      <c:valAx>
        <c:axId val="460905976"/>
        <c:scaling>
          <c:orientation val="minMax"/>
          <c:min val="0"/>
        </c:scaling>
        <c:delete val="0"/>
        <c:axPos val="l"/>
        <c:majorGridlines>
          <c:spPr>
            <a:ln w="3175">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[MWh/rok]</a:t>
                </a:r>
              </a:p>
            </c:rich>
          </c:tx>
          <c:layout>
            <c:manualLayout>
              <c:xMode val="edge"/>
              <c:yMode val="edge"/>
              <c:x val="1.6949158164610772E-2"/>
              <c:y val="0.29281825959600349"/>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900" b="0" i="0" u="none" strike="noStrike" baseline="0">
                <a:solidFill>
                  <a:srgbClr val="000000"/>
                </a:solidFill>
                <a:latin typeface="Tahoma"/>
                <a:ea typeface="Tahoma"/>
                <a:cs typeface="Tahoma"/>
              </a:defRPr>
            </a:pPr>
            <a:endParaRPr lang="pl-PL"/>
          </a:p>
        </c:txPr>
        <c:crossAx val="46090244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ahoma"/>
                <a:ea typeface="Tahoma"/>
                <a:cs typeface="Tahoma"/>
              </a:defRPr>
            </a:pPr>
            <a:r>
              <a:rPr lang="pl-PL"/>
              <a:t>Grupa - Zużycie paliw stałych</a:t>
            </a:r>
          </a:p>
        </c:rich>
      </c:tx>
      <c:layout>
        <c:manualLayout>
          <c:xMode val="edge"/>
          <c:yMode val="edge"/>
          <c:x val="0.22033938785197549"/>
          <c:y val="2.7624309392265192E-2"/>
        </c:manualLayout>
      </c:layout>
      <c:overlay val="0"/>
      <c:spPr>
        <a:noFill/>
        <a:ln w="25400">
          <a:noFill/>
        </a:ln>
      </c:spPr>
    </c:title>
    <c:autoTitleDeleted val="0"/>
    <c:plotArea>
      <c:layout>
        <c:manualLayout>
          <c:layoutTarget val="inner"/>
          <c:xMode val="edge"/>
          <c:yMode val="edge"/>
          <c:x val="0.15254262536848742"/>
          <c:y val="0.15469654991947385"/>
          <c:w val="0.81017083251263322"/>
          <c:h val="0.67403496750627889"/>
        </c:manualLayout>
      </c:layout>
      <c:barChart>
        <c:barDir val="col"/>
        <c:grouping val="clustered"/>
        <c:varyColors val="0"/>
        <c:ser>
          <c:idx val="1"/>
          <c:order val="0"/>
          <c:spPr>
            <a:solidFill>
              <a:srgbClr val="808080"/>
            </a:solidFill>
            <a:ln w="25400">
              <a:noFill/>
            </a:ln>
          </c:spPr>
          <c:invertIfNegative val="0"/>
          <c:cat>
            <c:strRef>
              <c:f>Raport6!$B$12:$B$14</c:f>
              <c:strCache>
                <c:ptCount val="3"/>
                <c:pt idx="0">
                  <c:v>Rok 2016</c:v>
                </c:pt>
                <c:pt idx="1">
                  <c:v>Rok 2017</c:v>
                </c:pt>
                <c:pt idx="2">
                  <c:v>Rok 2018</c:v>
                </c:pt>
              </c:strCache>
            </c:strRef>
          </c:cat>
          <c:val>
            <c:numRef>
              <c:f>Raport6!$C$12:$C$14</c:f>
              <c:numCache>
                <c:formatCode>#,##0.00</c:formatCode>
                <c:ptCount val="3"/>
                <c:pt idx="0">
                  <c:v>21.009999999999998</c:v>
                </c:pt>
                <c:pt idx="1">
                  <c:v>24.93</c:v>
                </c:pt>
                <c:pt idx="2">
                  <c:v>16.82</c:v>
                </c:pt>
              </c:numCache>
            </c:numRef>
          </c:val>
        </c:ser>
        <c:dLbls>
          <c:showLegendKey val="0"/>
          <c:showVal val="0"/>
          <c:showCatName val="0"/>
          <c:showSerName val="0"/>
          <c:showPercent val="0"/>
          <c:showBubbleSize val="0"/>
        </c:dLbls>
        <c:gapWidth val="150"/>
        <c:axId val="460904800"/>
        <c:axId val="460904408"/>
      </c:barChart>
      <c:catAx>
        <c:axId val="460904800"/>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460904408"/>
        <c:crosses val="autoZero"/>
        <c:auto val="1"/>
        <c:lblAlgn val="ctr"/>
        <c:lblOffset val="100"/>
        <c:tickLblSkip val="1"/>
        <c:tickMarkSkip val="1"/>
        <c:noMultiLvlLbl val="0"/>
      </c:catAx>
      <c:valAx>
        <c:axId val="460904408"/>
        <c:scaling>
          <c:orientation val="minMax"/>
          <c:min val="0"/>
        </c:scaling>
        <c:delete val="0"/>
        <c:axPos val="l"/>
        <c:majorGridlines>
          <c:spPr>
            <a:ln w="3175">
              <a:solidFill>
                <a:schemeClr val="bg2"/>
              </a:solidFill>
              <a:prstDash val="solid"/>
            </a:ln>
          </c:spPr>
        </c:majorGridlines>
        <c:title>
          <c:tx>
            <c:rich>
              <a:bodyPr/>
              <a:lstStyle/>
              <a:p>
                <a:pPr>
                  <a:defRPr sz="800" b="1" i="0" u="none" strike="noStrike" baseline="0">
                    <a:solidFill>
                      <a:srgbClr val="000000"/>
                    </a:solidFill>
                    <a:latin typeface="Tahoma"/>
                    <a:ea typeface="Tahoma"/>
                    <a:cs typeface="Tahoma"/>
                  </a:defRPr>
                </a:pPr>
                <a:r>
                  <a:rPr lang="pl-PL"/>
                  <a:t>[ton/rok]</a:t>
                </a:r>
              </a:p>
            </c:rich>
          </c:tx>
          <c:layout>
            <c:manualLayout>
              <c:xMode val="edge"/>
              <c:yMode val="edge"/>
              <c:x val="1.6949158164610772E-2"/>
              <c:y val="0.3314928727831673"/>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46090480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ahoma"/>
                <a:ea typeface="Tahoma"/>
                <a:cs typeface="Tahoma"/>
              </a:defRPr>
            </a:pPr>
            <a:r>
              <a:rPr lang="pl-PL"/>
              <a:t>Grupa - Zużycie oleju opałowego</a:t>
            </a:r>
          </a:p>
        </c:rich>
      </c:tx>
      <c:layout>
        <c:manualLayout>
          <c:xMode val="edge"/>
          <c:yMode val="edge"/>
          <c:x val="0.18367409416805483"/>
          <c:y val="2.7777777777777776E-2"/>
        </c:manualLayout>
      </c:layout>
      <c:overlay val="0"/>
      <c:spPr>
        <a:noFill/>
        <a:ln w="25400">
          <a:noFill/>
        </a:ln>
      </c:spPr>
    </c:title>
    <c:autoTitleDeleted val="0"/>
    <c:plotArea>
      <c:layout>
        <c:manualLayout>
          <c:layoutTarget val="inner"/>
          <c:xMode val="edge"/>
          <c:yMode val="edge"/>
          <c:x val="0.13265350185182109"/>
          <c:y val="0.15555639950303549"/>
          <c:w val="0.82993472953447045"/>
          <c:h val="0.67222586928097483"/>
        </c:manualLayout>
      </c:layout>
      <c:barChart>
        <c:barDir val="col"/>
        <c:grouping val="clustered"/>
        <c:varyColors val="0"/>
        <c:ser>
          <c:idx val="1"/>
          <c:order val="0"/>
          <c:spPr>
            <a:solidFill>
              <a:srgbClr val="99CC00"/>
            </a:solidFill>
            <a:ln w="25400">
              <a:noFill/>
            </a:ln>
          </c:spPr>
          <c:invertIfNegative val="0"/>
          <c:cat>
            <c:strRef>
              <c:f>Raport6!$E$12:$E$14</c:f>
              <c:strCache>
                <c:ptCount val="3"/>
                <c:pt idx="0">
                  <c:v>Rok 2016</c:v>
                </c:pt>
                <c:pt idx="1">
                  <c:v>Rok 2017</c:v>
                </c:pt>
                <c:pt idx="2">
                  <c:v>Rok 2018</c:v>
                </c:pt>
              </c:strCache>
            </c:strRef>
          </c:cat>
          <c:val>
            <c:numRef>
              <c:f>Raport6!$F$12:$F$14</c:f>
              <c:numCache>
                <c:formatCode>#,##0.00</c:formatCode>
                <c:ptCount val="3"/>
                <c:pt idx="0">
                  <c:v>55.655760000000001</c:v>
                </c:pt>
                <c:pt idx="1">
                  <c:v>61.465060000000001</c:v>
                </c:pt>
                <c:pt idx="2">
                  <c:v>57.083359999999999</c:v>
                </c:pt>
              </c:numCache>
            </c:numRef>
          </c:val>
        </c:ser>
        <c:dLbls>
          <c:showLegendKey val="0"/>
          <c:showVal val="0"/>
          <c:showCatName val="0"/>
          <c:showSerName val="0"/>
          <c:showPercent val="0"/>
          <c:showBubbleSize val="0"/>
        </c:dLbls>
        <c:gapWidth val="150"/>
        <c:axId val="460903232"/>
        <c:axId val="460903624"/>
      </c:barChart>
      <c:catAx>
        <c:axId val="460903232"/>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460903624"/>
        <c:crosses val="autoZero"/>
        <c:auto val="1"/>
        <c:lblAlgn val="ctr"/>
        <c:lblOffset val="100"/>
        <c:tickLblSkip val="1"/>
        <c:tickMarkSkip val="1"/>
        <c:noMultiLvlLbl val="0"/>
      </c:catAx>
      <c:valAx>
        <c:axId val="460903624"/>
        <c:scaling>
          <c:orientation val="minMax"/>
          <c:min val="0"/>
        </c:scaling>
        <c:delete val="0"/>
        <c:axPos val="l"/>
        <c:majorGridlines>
          <c:spPr>
            <a:ln w="3175">
              <a:solidFill>
                <a:schemeClr val="bg2"/>
              </a:solidFill>
              <a:prstDash val="solid"/>
            </a:ln>
          </c:spPr>
        </c:majorGridlines>
        <c:title>
          <c:tx>
            <c:rich>
              <a:bodyPr/>
              <a:lstStyle/>
              <a:p>
                <a:pPr>
                  <a:defRPr sz="825" b="1" i="0" u="none" strike="noStrike" baseline="0">
                    <a:solidFill>
                      <a:srgbClr val="000000"/>
                    </a:solidFill>
                    <a:latin typeface="Tahoma"/>
                    <a:ea typeface="Tahoma"/>
                    <a:cs typeface="Tahoma"/>
                  </a:defRPr>
                </a:pPr>
                <a:r>
                  <a:rPr lang="pl-PL"/>
                  <a:t>[ton/rok]</a:t>
                </a:r>
              </a:p>
            </c:rich>
          </c:tx>
          <c:layout>
            <c:manualLayout>
              <c:xMode val="edge"/>
              <c:yMode val="edge"/>
              <c:x val="3.4015076845056698E-3"/>
              <c:y val="0.32777952755905509"/>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46090323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58727014163472E-2"/>
          <c:y val="3.6529761811861919E-2"/>
          <c:w val="0.87710581910547381"/>
          <c:h val="0.83637915123623241"/>
        </c:manualLayout>
      </c:layout>
      <c:scatterChart>
        <c:scatterStyle val="lineMarker"/>
        <c:varyColors val="0"/>
        <c:ser>
          <c:idx val="0"/>
          <c:order val="0"/>
          <c:tx>
            <c:v>Wskaźniki poszczególnych obiektów</c:v>
          </c:tx>
          <c:spPr>
            <a:ln w="38100">
              <a:solidFill>
                <a:srgbClr val="008000"/>
              </a:solidFill>
              <a:prstDash val="solid"/>
            </a:ln>
          </c:spPr>
          <c:marker>
            <c:symbol val="diamond"/>
            <c:size val="6"/>
            <c:spPr>
              <a:solidFill>
                <a:srgbClr val="008000"/>
              </a:solidFill>
              <a:ln>
                <a:solidFill>
                  <a:srgbClr val="008000"/>
                </a:solidFill>
                <a:prstDash val="solid"/>
              </a:ln>
            </c:spPr>
          </c:marker>
          <c:xVal>
            <c:numRef>
              <c:f>'Tabele-koszty'!$K$8:$K$29</c:f>
              <c:numCache>
                <c:formatCode>#,##0</c:formatCode>
                <c:ptCount val="22"/>
                <c:pt idx="0">
                  <c:v>60.3</c:v>
                </c:pt>
                <c:pt idx="1">
                  <c:v>296.2</c:v>
                </c:pt>
                <c:pt idx="2">
                  <c:v>498.6</c:v>
                </c:pt>
                <c:pt idx="3">
                  <c:v>1587.42</c:v>
                </c:pt>
                <c:pt idx="4">
                  <c:v>1841.42</c:v>
                </c:pt>
                <c:pt idx="5">
                  <c:v>2040.9</c:v>
                </c:pt>
                <c:pt idx="6">
                  <c:v>2463.8000000000002</c:v>
                </c:pt>
                <c:pt idx="7">
                  <c:v>2733.1000000000004</c:v>
                </c:pt>
                <c:pt idx="8">
                  <c:v>2897.4200000000005</c:v>
                </c:pt>
                <c:pt idx="9">
                  <c:v>3363.4200000000005</c:v>
                </c:pt>
                <c:pt idx="10">
                  <c:v>3561.4200000000005</c:v>
                </c:pt>
                <c:pt idx="11">
                  <c:v>4327.8200000000006</c:v>
                </c:pt>
                <c:pt idx="12">
                  <c:v>5907.6200000000008</c:v>
                </c:pt>
                <c:pt idx="13">
                  <c:v>7102.6200000000008</c:v>
                </c:pt>
                <c:pt idx="14">
                  <c:v>7306.1400000000012</c:v>
                </c:pt>
                <c:pt idx="15">
                  <c:v>7766.1400000000012</c:v>
                </c:pt>
                <c:pt idx="16">
                  <c:v>10268.800000000001</c:v>
                </c:pt>
                <c:pt idx="17">
                  <c:v>10268.800000000001</c:v>
                </c:pt>
                <c:pt idx="18">
                  <c:v>10268.800000000001</c:v>
                </c:pt>
                <c:pt idx="19">
                  <c:v>10268.800000000001</c:v>
                </c:pt>
                <c:pt idx="20">
                  <c:v>10268.800000000001</c:v>
                </c:pt>
                <c:pt idx="21">
                  <c:v>10268.800000000001</c:v>
                </c:pt>
              </c:numCache>
            </c:numRef>
          </c:xVal>
          <c:yVal>
            <c:numRef>
              <c:f>'Tabele-koszty'!$F$8:$F$29</c:f>
              <c:numCache>
                <c:formatCode>0.00</c:formatCode>
                <c:ptCount val="22"/>
                <c:pt idx="0">
                  <c:v>289.11890547263681</c:v>
                </c:pt>
                <c:pt idx="1">
                  <c:v>225.3114879186096</c:v>
                </c:pt>
                <c:pt idx="2">
                  <c:v>154.7772727272727</c:v>
                </c:pt>
                <c:pt idx="3">
                  <c:v>79.270522216711669</c:v>
                </c:pt>
                <c:pt idx="4">
                  <c:v>58.354803149606305</c:v>
                </c:pt>
                <c:pt idx="5">
                  <c:v>35.197563665530382</c:v>
                </c:pt>
                <c:pt idx="6">
                  <c:v>29.555592338614328</c:v>
                </c:pt>
                <c:pt idx="7">
                  <c:v>26.818232454511694</c:v>
                </c:pt>
                <c:pt idx="8">
                  <c:v>24.728578383641675</c:v>
                </c:pt>
                <c:pt idx="9">
                  <c:v>24.543905579399141</c:v>
                </c:pt>
                <c:pt idx="10">
                  <c:v>14.468787878787879</c:v>
                </c:pt>
                <c:pt idx="11">
                  <c:v>10.726030793319417</c:v>
                </c:pt>
                <c:pt idx="12">
                  <c:v>9.6363780225344975</c:v>
                </c:pt>
                <c:pt idx="13">
                  <c:v>9.5804184100418421</c:v>
                </c:pt>
                <c:pt idx="14">
                  <c:v>8.6510416666666661</c:v>
                </c:pt>
                <c:pt idx="15">
                  <c:v>6.4208043478260874</c:v>
                </c:pt>
                <c:pt idx="16">
                  <c:v>6.0432220117794664</c:v>
                </c:pt>
              </c:numCache>
            </c:numRef>
          </c:yVal>
          <c:smooth val="0"/>
        </c:ser>
        <c:ser>
          <c:idx val="1"/>
          <c:order val="1"/>
          <c:tx>
            <c:v>Wartość średnia</c:v>
          </c:tx>
          <c:spPr>
            <a:ln w="38100">
              <a:solidFill>
                <a:srgbClr val="FF6600"/>
              </a:solidFill>
              <a:prstDash val="solid"/>
            </a:ln>
          </c:spPr>
          <c:marker>
            <c:symbol val="none"/>
          </c:marker>
          <c:xVal>
            <c:numRef>
              <c:f>'Tabele-koszty'!$K$8:$K$29</c:f>
              <c:numCache>
                <c:formatCode>#,##0</c:formatCode>
                <c:ptCount val="22"/>
                <c:pt idx="0">
                  <c:v>60.3</c:v>
                </c:pt>
                <c:pt idx="1">
                  <c:v>296.2</c:v>
                </c:pt>
                <c:pt idx="2">
                  <c:v>498.6</c:v>
                </c:pt>
                <c:pt idx="3">
                  <c:v>1587.42</c:v>
                </c:pt>
                <c:pt idx="4">
                  <c:v>1841.42</c:v>
                </c:pt>
                <c:pt idx="5">
                  <c:v>2040.9</c:v>
                </c:pt>
                <c:pt idx="6">
                  <c:v>2463.8000000000002</c:v>
                </c:pt>
                <c:pt idx="7">
                  <c:v>2733.1000000000004</c:v>
                </c:pt>
                <c:pt idx="8">
                  <c:v>2897.4200000000005</c:v>
                </c:pt>
                <c:pt idx="9">
                  <c:v>3363.4200000000005</c:v>
                </c:pt>
                <c:pt idx="10">
                  <c:v>3561.4200000000005</c:v>
                </c:pt>
                <c:pt idx="11">
                  <c:v>4327.8200000000006</c:v>
                </c:pt>
                <c:pt idx="12">
                  <c:v>5907.6200000000008</c:v>
                </c:pt>
                <c:pt idx="13">
                  <c:v>7102.6200000000008</c:v>
                </c:pt>
                <c:pt idx="14">
                  <c:v>7306.1400000000012</c:v>
                </c:pt>
                <c:pt idx="15">
                  <c:v>7766.1400000000012</c:v>
                </c:pt>
                <c:pt idx="16">
                  <c:v>10268.800000000001</c:v>
                </c:pt>
                <c:pt idx="17">
                  <c:v>10268.800000000001</c:v>
                </c:pt>
                <c:pt idx="18">
                  <c:v>10268.800000000001</c:v>
                </c:pt>
                <c:pt idx="19">
                  <c:v>10268.800000000001</c:v>
                </c:pt>
                <c:pt idx="20">
                  <c:v>10268.800000000001</c:v>
                </c:pt>
                <c:pt idx="21">
                  <c:v>10268.800000000001</c:v>
                </c:pt>
              </c:numCache>
            </c:numRef>
          </c:xVal>
          <c:yVal>
            <c:numRef>
              <c:f>'Tabele-koszty'!$J$8:$J$29</c:f>
              <c:numCache>
                <c:formatCode>0.00</c:formatCode>
                <c:ptCount val="22"/>
                <c:pt idx="0">
                  <c:v>29.495584683702081</c:v>
                </c:pt>
                <c:pt idx="1">
                  <c:v>29.495584683702081</c:v>
                </c:pt>
                <c:pt idx="2">
                  <c:v>29.495584683702081</c:v>
                </c:pt>
                <c:pt idx="3">
                  <c:v>29.495584683702081</c:v>
                </c:pt>
                <c:pt idx="4">
                  <c:v>29.495584683702081</c:v>
                </c:pt>
                <c:pt idx="5">
                  <c:v>29.495584683702081</c:v>
                </c:pt>
                <c:pt idx="6">
                  <c:v>29.495584683702081</c:v>
                </c:pt>
                <c:pt idx="7">
                  <c:v>29.495584683702081</c:v>
                </c:pt>
                <c:pt idx="8">
                  <c:v>29.495584683702081</c:v>
                </c:pt>
                <c:pt idx="9">
                  <c:v>29.495584683702081</c:v>
                </c:pt>
                <c:pt idx="10">
                  <c:v>29.495584683702081</c:v>
                </c:pt>
                <c:pt idx="11">
                  <c:v>29.495584683702081</c:v>
                </c:pt>
                <c:pt idx="12">
                  <c:v>29.495584683702081</c:v>
                </c:pt>
                <c:pt idx="13">
                  <c:v>29.495584683702081</c:v>
                </c:pt>
                <c:pt idx="14">
                  <c:v>29.495584683702081</c:v>
                </c:pt>
                <c:pt idx="15">
                  <c:v>29.495584683702081</c:v>
                </c:pt>
                <c:pt idx="16">
                  <c:v>29.495584683702081</c:v>
                </c:pt>
                <c:pt idx="17">
                  <c:v>29.495584683702081</c:v>
                </c:pt>
                <c:pt idx="18">
                  <c:v>29.495584683702081</c:v>
                </c:pt>
                <c:pt idx="19">
                  <c:v>29.495584683702081</c:v>
                </c:pt>
                <c:pt idx="20">
                  <c:v>29.495584683702081</c:v>
                </c:pt>
                <c:pt idx="21">
                  <c:v>29.495584683702081</c:v>
                </c:pt>
              </c:numCache>
            </c:numRef>
          </c:yVal>
          <c:smooth val="0"/>
        </c:ser>
        <c:dLbls>
          <c:showLegendKey val="0"/>
          <c:showVal val="0"/>
          <c:showCatName val="0"/>
          <c:showSerName val="0"/>
          <c:showPercent val="0"/>
          <c:showBubbleSize val="0"/>
        </c:dLbls>
        <c:axId val="441935672"/>
        <c:axId val="441937240"/>
      </c:scatterChart>
      <c:valAx>
        <c:axId val="441935672"/>
        <c:scaling>
          <c:orientation val="minMax"/>
        </c:scaling>
        <c:delete val="0"/>
        <c:axPos val="b"/>
        <c:majorGridlines>
          <c:spPr>
            <a:ln w="3175">
              <a:solidFill>
                <a:schemeClr val="bg2"/>
              </a:solidFill>
              <a:prstDash val="solid"/>
            </a:ln>
          </c:spPr>
        </c:majorGridlines>
        <c:title>
          <c:tx>
            <c:rich>
              <a:bodyPr/>
              <a:lstStyle/>
              <a:p>
                <a:pPr>
                  <a:defRPr sz="800" b="1" i="0" u="none" strike="noStrike" baseline="0">
                    <a:solidFill>
                      <a:srgbClr val="000000"/>
                    </a:solidFill>
                    <a:latin typeface="Tahoma"/>
                    <a:ea typeface="Tahoma"/>
                    <a:cs typeface="Tahoma"/>
                  </a:defRPr>
                </a:pPr>
                <a:r>
                  <a:rPr lang="pl-PL"/>
                  <a:t>Powierzchnia ogrzewana (narastająco) [m</a:t>
                </a:r>
                <a:r>
                  <a:rPr lang="pl-PL" baseline="30000"/>
                  <a:t>2</a:t>
                </a:r>
                <a:r>
                  <a:rPr lang="pl-PL"/>
                  <a:t>]</a:t>
                </a:r>
              </a:p>
            </c:rich>
          </c:tx>
          <c:layout>
            <c:manualLayout>
              <c:xMode val="edge"/>
              <c:yMode val="edge"/>
              <c:x val="0.3299663445683747"/>
              <c:y val="0.93378995979932899"/>
            </c:manualLayout>
          </c:layout>
          <c:overlay val="0"/>
          <c:spPr>
            <a:noFill/>
            <a:ln w="25400">
              <a:noFill/>
            </a:ln>
          </c:spPr>
        </c:title>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441937240"/>
        <c:crosses val="autoZero"/>
        <c:crossBetween val="midCat"/>
      </c:valAx>
      <c:valAx>
        <c:axId val="441937240"/>
        <c:scaling>
          <c:orientation val="minMax"/>
        </c:scaling>
        <c:delete val="0"/>
        <c:axPos val="l"/>
        <c:majorGridlines>
          <c:spPr>
            <a:ln w="3175">
              <a:solidFill>
                <a:schemeClr val="bg2"/>
              </a:solidFill>
              <a:prstDash val="solid"/>
            </a:ln>
          </c:spPr>
        </c:majorGridlines>
        <c:title>
          <c:tx>
            <c:rich>
              <a:bodyPr/>
              <a:lstStyle/>
              <a:p>
                <a:pPr>
                  <a:defRPr sz="800" b="1" i="0" u="none" strike="noStrike" baseline="0">
                    <a:solidFill>
                      <a:srgbClr val="000000"/>
                    </a:solidFill>
                    <a:latin typeface="Tahoma"/>
                    <a:ea typeface="Tahoma"/>
                    <a:cs typeface="Tahoma"/>
                  </a:defRPr>
                </a:pPr>
                <a:r>
                  <a:rPr lang="pl-PL"/>
                  <a:t>Koszty jednostkowe [zł/m</a:t>
                </a:r>
                <a:r>
                  <a:rPr lang="pl-PL" baseline="30000"/>
                  <a:t>2</a:t>
                </a:r>
                <a:r>
                  <a:rPr lang="pl-PL"/>
                  <a:t>/rok]</a:t>
                </a:r>
              </a:p>
            </c:rich>
          </c:tx>
          <c:layout>
            <c:manualLayout>
              <c:xMode val="edge"/>
              <c:yMode val="edge"/>
              <c:x val="6.0877932427121301E-3"/>
              <c:y val="0.20776291571148545"/>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441935672"/>
        <c:crosses val="autoZero"/>
        <c:crossBetween val="midCat"/>
      </c:valAx>
      <c:spPr>
        <a:noFill/>
        <a:ln w="25400">
          <a:noFill/>
        </a:ln>
      </c:spPr>
    </c:plotArea>
    <c:legend>
      <c:legendPos val="r"/>
      <c:layout>
        <c:manualLayout>
          <c:xMode val="edge"/>
          <c:yMode val="edge"/>
          <c:x val="0.24268538721816399"/>
          <c:y val="5.5696468321206685E-2"/>
          <c:w val="0.70654162205627902"/>
          <c:h val="4.8101265822784817E-2"/>
        </c:manualLayout>
      </c:layout>
      <c:overlay val="0"/>
      <c:spPr>
        <a:solidFill>
          <a:srgbClr val="FFFFFF"/>
        </a:solidFill>
        <a:ln w="25400">
          <a:noFill/>
        </a:ln>
      </c:spPr>
      <c:txPr>
        <a:bodyPr/>
        <a:lstStyle/>
        <a:p>
          <a:pPr>
            <a:defRPr sz="82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76763258128088"/>
          <c:y val="3.4246575342465752E-2"/>
          <c:w val="0.85746352413019078"/>
          <c:h val="0.85083713850837139"/>
        </c:manualLayout>
      </c:layout>
      <c:scatterChart>
        <c:scatterStyle val="lineMarker"/>
        <c:varyColors val="0"/>
        <c:ser>
          <c:idx val="0"/>
          <c:order val="0"/>
          <c:tx>
            <c:v>Wskaźniki poszczególnych obiektów</c:v>
          </c:tx>
          <c:spPr>
            <a:ln w="38100">
              <a:solidFill>
                <a:srgbClr val="008000"/>
              </a:solidFill>
              <a:prstDash val="solid"/>
            </a:ln>
          </c:spPr>
          <c:marker>
            <c:symbol val="diamond"/>
            <c:size val="6"/>
            <c:spPr>
              <a:solidFill>
                <a:srgbClr val="008000"/>
              </a:solidFill>
              <a:ln>
                <a:solidFill>
                  <a:srgbClr val="008000"/>
                </a:solidFill>
                <a:prstDash val="solid"/>
              </a:ln>
            </c:spPr>
          </c:marker>
          <c:xVal>
            <c:numRef>
              <c:f>'Tabele-energia'!$K$8:$K$29</c:f>
              <c:numCache>
                <c:formatCode>#,##0</c:formatCode>
                <c:ptCount val="22"/>
                <c:pt idx="0">
                  <c:v>235.9</c:v>
                </c:pt>
                <c:pt idx="1">
                  <c:v>296.2</c:v>
                </c:pt>
                <c:pt idx="2">
                  <c:v>498.6</c:v>
                </c:pt>
                <c:pt idx="3">
                  <c:v>1587.42</c:v>
                </c:pt>
                <c:pt idx="4">
                  <c:v>1841.42</c:v>
                </c:pt>
                <c:pt idx="5">
                  <c:v>2040.9</c:v>
                </c:pt>
                <c:pt idx="6">
                  <c:v>2463.8000000000002</c:v>
                </c:pt>
                <c:pt idx="7">
                  <c:v>2929.8</c:v>
                </c:pt>
                <c:pt idx="8">
                  <c:v>3199.1000000000004</c:v>
                </c:pt>
                <c:pt idx="9">
                  <c:v>3397.1000000000004</c:v>
                </c:pt>
                <c:pt idx="10">
                  <c:v>4592.1000000000004</c:v>
                </c:pt>
                <c:pt idx="11">
                  <c:v>5358.5</c:v>
                </c:pt>
                <c:pt idx="12">
                  <c:v>6938.3</c:v>
                </c:pt>
                <c:pt idx="13">
                  <c:v>7398.3</c:v>
                </c:pt>
                <c:pt idx="14">
                  <c:v>9900.9599999999991</c:v>
                </c:pt>
                <c:pt idx="15">
                  <c:v>10104.48</c:v>
                </c:pt>
                <c:pt idx="16">
                  <c:v>10268.799999999999</c:v>
                </c:pt>
                <c:pt idx="17">
                  <c:v>10268.799999999999</c:v>
                </c:pt>
                <c:pt idx="18">
                  <c:v>10268.799999999999</c:v>
                </c:pt>
                <c:pt idx="19">
                  <c:v>10268.799999999999</c:v>
                </c:pt>
                <c:pt idx="20">
                  <c:v>10268.799999999999</c:v>
                </c:pt>
                <c:pt idx="21">
                  <c:v>10268.799999999999</c:v>
                </c:pt>
              </c:numCache>
            </c:numRef>
          </c:xVal>
          <c:yVal>
            <c:numRef>
              <c:f>'Tabele-energia'!$F$8:$F$29</c:f>
              <c:numCache>
                <c:formatCode>0.00</c:formatCode>
                <c:ptCount val="22"/>
                <c:pt idx="0">
                  <c:v>717.47350572276389</c:v>
                </c:pt>
                <c:pt idx="1">
                  <c:v>677.4792703150913</c:v>
                </c:pt>
                <c:pt idx="2">
                  <c:v>250.78063241106719</c:v>
                </c:pt>
                <c:pt idx="3">
                  <c:v>242.31002369537666</c:v>
                </c:pt>
                <c:pt idx="4">
                  <c:v>188.79133858267716</c:v>
                </c:pt>
                <c:pt idx="5">
                  <c:v>109.1537998796872</c:v>
                </c:pt>
                <c:pt idx="6">
                  <c:v>59.995270749586197</c:v>
                </c:pt>
                <c:pt idx="7">
                  <c:v>56.963519313304722</c:v>
                </c:pt>
                <c:pt idx="8">
                  <c:v>52.636464909023388</c:v>
                </c:pt>
                <c:pt idx="9">
                  <c:v>36.398989898989896</c:v>
                </c:pt>
                <c:pt idx="10">
                  <c:v>15.967364016736402</c:v>
                </c:pt>
                <c:pt idx="11">
                  <c:v>15.468423799582464</c:v>
                </c:pt>
                <c:pt idx="12">
                  <c:v>14.332193948601089</c:v>
                </c:pt>
                <c:pt idx="13">
                  <c:v>12.023913043478261</c:v>
                </c:pt>
                <c:pt idx="14">
                  <c:v>11.407062885090264</c:v>
                </c:pt>
                <c:pt idx="15">
                  <c:v>1.0514937106918238</c:v>
                </c:pt>
                <c:pt idx="16">
                  <c:v>0.48685491723466406</c:v>
                </c:pt>
              </c:numCache>
            </c:numRef>
          </c:yVal>
          <c:smooth val="0"/>
        </c:ser>
        <c:ser>
          <c:idx val="1"/>
          <c:order val="1"/>
          <c:tx>
            <c:v>Wartość średnia</c:v>
          </c:tx>
          <c:spPr>
            <a:ln w="38100">
              <a:solidFill>
                <a:srgbClr val="FF6600"/>
              </a:solidFill>
              <a:prstDash val="solid"/>
            </a:ln>
          </c:spPr>
          <c:marker>
            <c:symbol val="none"/>
          </c:marker>
          <c:xVal>
            <c:numRef>
              <c:f>'Tabele-energia'!$K$8:$K$29</c:f>
              <c:numCache>
                <c:formatCode>#,##0</c:formatCode>
                <c:ptCount val="22"/>
                <c:pt idx="0">
                  <c:v>235.9</c:v>
                </c:pt>
                <c:pt idx="1">
                  <c:v>296.2</c:v>
                </c:pt>
                <c:pt idx="2">
                  <c:v>498.6</c:v>
                </c:pt>
                <c:pt idx="3">
                  <c:v>1587.42</c:v>
                </c:pt>
                <c:pt idx="4">
                  <c:v>1841.42</c:v>
                </c:pt>
                <c:pt idx="5">
                  <c:v>2040.9</c:v>
                </c:pt>
                <c:pt idx="6">
                  <c:v>2463.8000000000002</c:v>
                </c:pt>
                <c:pt idx="7">
                  <c:v>2929.8</c:v>
                </c:pt>
                <c:pt idx="8">
                  <c:v>3199.1000000000004</c:v>
                </c:pt>
                <c:pt idx="9">
                  <c:v>3397.1000000000004</c:v>
                </c:pt>
                <c:pt idx="10">
                  <c:v>4592.1000000000004</c:v>
                </c:pt>
                <c:pt idx="11">
                  <c:v>5358.5</c:v>
                </c:pt>
                <c:pt idx="12">
                  <c:v>6938.3</c:v>
                </c:pt>
                <c:pt idx="13">
                  <c:v>7398.3</c:v>
                </c:pt>
                <c:pt idx="14">
                  <c:v>9900.9599999999991</c:v>
                </c:pt>
                <c:pt idx="15">
                  <c:v>10104.48</c:v>
                </c:pt>
                <c:pt idx="16">
                  <c:v>10268.799999999999</c:v>
                </c:pt>
                <c:pt idx="17">
                  <c:v>10268.799999999999</c:v>
                </c:pt>
                <c:pt idx="18">
                  <c:v>10268.799999999999</c:v>
                </c:pt>
                <c:pt idx="19">
                  <c:v>10268.799999999999</c:v>
                </c:pt>
                <c:pt idx="20">
                  <c:v>10268.799999999999</c:v>
                </c:pt>
                <c:pt idx="21">
                  <c:v>10268.799999999999</c:v>
                </c:pt>
              </c:numCache>
            </c:numRef>
          </c:xVal>
          <c:yVal>
            <c:numRef>
              <c:f>'Tabele-energia'!$A$8:$A$29</c:f>
              <c:numCache>
                <c:formatCode>0.00</c:formatCode>
                <c:ptCount val="22"/>
                <c:pt idx="0">
                  <c:v>73.589026955437845</c:v>
                </c:pt>
                <c:pt idx="1">
                  <c:v>73.589026955437845</c:v>
                </c:pt>
                <c:pt idx="2">
                  <c:v>73.589026955437845</c:v>
                </c:pt>
                <c:pt idx="3">
                  <c:v>73.589026955437845</c:v>
                </c:pt>
                <c:pt idx="4">
                  <c:v>73.589026955437845</c:v>
                </c:pt>
                <c:pt idx="5">
                  <c:v>73.589026955437845</c:v>
                </c:pt>
                <c:pt idx="6">
                  <c:v>73.589026955437845</c:v>
                </c:pt>
                <c:pt idx="7">
                  <c:v>73.589026955437845</c:v>
                </c:pt>
                <c:pt idx="8">
                  <c:v>73.589026955437845</c:v>
                </c:pt>
                <c:pt idx="9">
                  <c:v>73.589026955437845</c:v>
                </c:pt>
                <c:pt idx="10">
                  <c:v>73.589026955437845</c:v>
                </c:pt>
                <c:pt idx="11">
                  <c:v>73.589026955437845</c:v>
                </c:pt>
                <c:pt idx="12">
                  <c:v>73.589026955437845</c:v>
                </c:pt>
                <c:pt idx="13">
                  <c:v>73.589026955437845</c:v>
                </c:pt>
                <c:pt idx="14">
                  <c:v>73.589026955437845</c:v>
                </c:pt>
                <c:pt idx="15">
                  <c:v>73.589026955437845</c:v>
                </c:pt>
                <c:pt idx="16">
                  <c:v>73.589026955437845</c:v>
                </c:pt>
                <c:pt idx="17">
                  <c:v>73.589026955437845</c:v>
                </c:pt>
                <c:pt idx="18">
                  <c:v>73.589026955437845</c:v>
                </c:pt>
                <c:pt idx="19">
                  <c:v>73.589026955437845</c:v>
                </c:pt>
                <c:pt idx="20">
                  <c:v>73.589026955437845</c:v>
                </c:pt>
                <c:pt idx="21">
                  <c:v>73.589026955437845</c:v>
                </c:pt>
              </c:numCache>
            </c:numRef>
          </c:yVal>
          <c:smooth val="0"/>
        </c:ser>
        <c:dLbls>
          <c:showLegendKey val="0"/>
          <c:showVal val="0"/>
          <c:showCatName val="0"/>
          <c:showSerName val="0"/>
          <c:showPercent val="0"/>
          <c:showBubbleSize val="0"/>
        </c:dLbls>
        <c:axId val="441936064"/>
        <c:axId val="441934104"/>
      </c:scatterChart>
      <c:valAx>
        <c:axId val="441936064"/>
        <c:scaling>
          <c:orientation val="minMax"/>
        </c:scaling>
        <c:delete val="0"/>
        <c:axPos val="b"/>
        <c:majorGridlines>
          <c:spPr>
            <a:ln w="3175">
              <a:solidFill>
                <a:schemeClr val="bg2"/>
              </a:solidFill>
              <a:prstDash val="solid"/>
            </a:ln>
          </c:spPr>
        </c:majorGridlines>
        <c:title>
          <c:tx>
            <c:rich>
              <a:bodyPr/>
              <a:lstStyle/>
              <a:p>
                <a:pPr>
                  <a:defRPr sz="800" b="1" i="0" u="none" strike="noStrike" baseline="0">
                    <a:solidFill>
                      <a:srgbClr val="000000"/>
                    </a:solidFill>
                    <a:latin typeface="Tahoma"/>
                    <a:ea typeface="Tahoma"/>
                    <a:cs typeface="Tahoma"/>
                  </a:defRPr>
                </a:pPr>
                <a:r>
                  <a:rPr lang="pl-PL"/>
                  <a:t>Powierzchnia ogrzewana (narastająco) [m</a:t>
                </a:r>
                <a:r>
                  <a:rPr lang="pl-PL" baseline="30000"/>
                  <a:t>2</a:t>
                </a:r>
                <a:r>
                  <a:rPr lang="pl-PL"/>
                  <a:t>]</a:t>
                </a:r>
              </a:p>
            </c:rich>
          </c:tx>
          <c:layout>
            <c:manualLayout>
              <c:xMode val="edge"/>
              <c:yMode val="edge"/>
              <c:x val="0.34567897577425855"/>
              <c:y val="0.94216139883922956"/>
            </c:manualLayout>
          </c:layout>
          <c:overlay val="0"/>
          <c:spPr>
            <a:noFill/>
            <a:ln w="25400">
              <a:noFill/>
            </a:ln>
          </c:spPr>
        </c:title>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441934104"/>
        <c:crosses val="autoZero"/>
        <c:crossBetween val="midCat"/>
      </c:valAx>
      <c:valAx>
        <c:axId val="441934104"/>
        <c:scaling>
          <c:orientation val="minMax"/>
        </c:scaling>
        <c:delete val="0"/>
        <c:axPos val="l"/>
        <c:majorGridlines>
          <c:spPr>
            <a:ln w="3175">
              <a:solidFill>
                <a:schemeClr val="bg2"/>
              </a:solidFill>
              <a:prstDash val="solid"/>
            </a:ln>
          </c:spPr>
        </c:majorGridlines>
        <c:title>
          <c:tx>
            <c:rich>
              <a:bodyPr/>
              <a:lstStyle/>
              <a:p>
                <a:pPr>
                  <a:defRPr sz="800" b="1" i="0" u="none" strike="noStrike" baseline="0">
                    <a:solidFill>
                      <a:srgbClr val="000000"/>
                    </a:solidFill>
                    <a:latin typeface="Tahoma"/>
                    <a:ea typeface="Tahoma"/>
                    <a:cs typeface="Tahoma"/>
                  </a:defRPr>
                </a:pPr>
                <a:r>
                  <a:rPr lang="pl-PL"/>
                  <a:t>Jednostkowe zużycie energii elektrycznej [kWh/m</a:t>
                </a:r>
                <a:r>
                  <a:rPr lang="pl-PL" baseline="30000"/>
                  <a:t>2</a:t>
                </a:r>
                <a:r>
                  <a:rPr lang="pl-PL"/>
                  <a:t>/rok]</a:t>
                </a:r>
              </a:p>
            </c:rich>
          </c:tx>
          <c:layout>
            <c:manualLayout>
              <c:xMode val="edge"/>
              <c:yMode val="edge"/>
              <c:x val="6.350616407957534E-3"/>
              <c:y val="0.10121799563786922"/>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441936064"/>
        <c:crosses val="autoZero"/>
        <c:crossBetween val="midCat"/>
      </c:valAx>
      <c:spPr>
        <a:noFill/>
        <a:ln w="25400">
          <a:noFill/>
        </a:ln>
      </c:spPr>
    </c:plotArea>
    <c:legend>
      <c:legendPos val="r"/>
      <c:layout>
        <c:manualLayout>
          <c:xMode val="edge"/>
          <c:yMode val="edge"/>
          <c:x val="0.21742736694853099"/>
          <c:y val="4.929592251672766E-2"/>
          <c:w val="0.70788384287830941"/>
          <c:h val="4.6479021108276959E-2"/>
        </c:manualLayout>
      </c:layout>
      <c:overlay val="0"/>
      <c:spPr>
        <a:solidFill>
          <a:srgbClr val="FFFFFF"/>
        </a:solidFill>
        <a:ln w="25400">
          <a:noFill/>
        </a:ln>
      </c:spPr>
      <c:txPr>
        <a:bodyPr/>
        <a:lstStyle/>
        <a:p>
          <a:pPr>
            <a:defRPr sz="82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216216216216214E-2"/>
          <c:y val="3.8740920096852302E-2"/>
          <c:w val="0.88682432432432434"/>
          <c:h val="0.75544794188861986"/>
        </c:manualLayout>
      </c:layout>
      <c:barChart>
        <c:barDir val="col"/>
        <c:grouping val="clustered"/>
        <c:varyColors val="0"/>
        <c:ser>
          <c:idx val="0"/>
          <c:order val="0"/>
          <c:tx>
            <c:v>Obiekty</c:v>
          </c:tx>
          <c:spPr>
            <a:solidFill>
              <a:srgbClr val="99CC00"/>
            </a:solidFill>
            <a:ln w="25400">
              <a:noFill/>
            </a:ln>
          </c:spPr>
          <c:invertIfNegative val="0"/>
          <c:cat>
            <c:strRef>
              <c:f>'Tabele-koszty'!$B$8:$B$24</c:f>
              <c:strCache>
                <c:ptCount val="17"/>
                <c:pt idx="0">
                  <c:v>HYDGorP</c:v>
                </c:pt>
                <c:pt idx="1">
                  <c:v>HYDZyt</c:v>
                </c:pt>
                <c:pt idx="2">
                  <c:v>HYDRyd</c:v>
                </c:pt>
                <c:pt idx="3">
                  <c:v>SPPetr</c:v>
                </c:pt>
                <c:pt idx="4">
                  <c:v>OSPia</c:v>
                </c:pt>
                <c:pt idx="5">
                  <c:v>SWKon</c:v>
                </c:pt>
                <c:pt idx="6">
                  <c:v>UG</c:v>
                </c:pt>
                <c:pt idx="7">
                  <c:v>OSBych</c:v>
                </c:pt>
                <c:pt idx="8">
                  <c:v>SWHer</c:v>
                </c:pt>
                <c:pt idx="9">
                  <c:v>DLBych</c:v>
                </c:pt>
                <c:pt idx="10">
                  <c:v>SPJad</c:v>
                </c:pt>
                <c:pt idx="11">
                  <c:v>ZSPPiatZyt</c:v>
                </c:pt>
                <c:pt idx="12">
                  <c:v>ZSPPiat</c:v>
                </c:pt>
                <c:pt idx="13">
                  <c:v>SPPawl</c:v>
                </c:pt>
                <c:pt idx="14">
                  <c:v>BIB_Pia</c:v>
                </c:pt>
                <c:pt idx="15">
                  <c:v>SWWol</c:v>
                </c:pt>
                <c:pt idx="16">
                  <c:v>SPBych</c:v>
                </c:pt>
              </c:strCache>
            </c:strRef>
          </c:cat>
          <c:val>
            <c:numRef>
              <c:f>'Tabele-koszty'!$F$8:$F$24</c:f>
              <c:numCache>
                <c:formatCode>0.00</c:formatCode>
                <c:ptCount val="17"/>
                <c:pt idx="0">
                  <c:v>289.11890547263681</c:v>
                </c:pt>
                <c:pt idx="1">
                  <c:v>225.3114879186096</c:v>
                </c:pt>
                <c:pt idx="2">
                  <c:v>154.7772727272727</c:v>
                </c:pt>
                <c:pt idx="3">
                  <c:v>79.270522216711669</c:v>
                </c:pt>
                <c:pt idx="4">
                  <c:v>58.354803149606305</c:v>
                </c:pt>
                <c:pt idx="5">
                  <c:v>35.197563665530382</c:v>
                </c:pt>
                <c:pt idx="6">
                  <c:v>29.555592338614328</c:v>
                </c:pt>
                <c:pt idx="7">
                  <c:v>26.818232454511694</c:v>
                </c:pt>
                <c:pt idx="8">
                  <c:v>24.728578383641675</c:v>
                </c:pt>
                <c:pt idx="9">
                  <c:v>24.543905579399141</c:v>
                </c:pt>
                <c:pt idx="10">
                  <c:v>14.468787878787879</c:v>
                </c:pt>
                <c:pt idx="11">
                  <c:v>10.726030793319417</c:v>
                </c:pt>
                <c:pt idx="12">
                  <c:v>9.6363780225344975</c:v>
                </c:pt>
                <c:pt idx="13">
                  <c:v>9.5804184100418421</c:v>
                </c:pt>
                <c:pt idx="14">
                  <c:v>8.6510416666666661</c:v>
                </c:pt>
                <c:pt idx="15">
                  <c:v>6.4208043478260874</c:v>
                </c:pt>
                <c:pt idx="16">
                  <c:v>6.0432220117794664</c:v>
                </c:pt>
              </c:numCache>
            </c:numRef>
          </c:val>
        </c:ser>
        <c:dLbls>
          <c:showLegendKey val="0"/>
          <c:showVal val="0"/>
          <c:showCatName val="0"/>
          <c:showSerName val="0"/>
          <c:showPercent val="0"/>
          <c:showBubbleSize val="0"/>
        </c:dLbls>
        <c:gapWidth val="200"/>
        <c:axId val="441934496"/>
        <c:axId val="441934888"/>
      </c:barChart>
      <c:scatterChart>
        <c:scatterStyle val="lineMarker"/>
        <c:varyColors val="0"/>
        <c:ser>
          <c:idx val="1"/>
          <c:order val="1"/>
          <c:tx>
            <c:v>Wartość średnia</c:v>
          </c:tx>
          <c:spPr>
            <a:ln w="38100">
              <a:solidFill>
                <a:srgbClr val="FF6600"/>
              </a:solidFill>
              <a:prstDash val="solid"/>
            </a:ln>
          </c:spPr>
          <c:marker>
            <c:symbol val="none"/>
          </c:marker>
          <c:xVal>
            <c:strRef>
              <c:f>'Tabele-koszty'!$B$8:$B$24</c:f>
              <c:strCache>
                <c:ptCount val="17"/>
                <c:pt idx="0">
                  <c:v>HYDGorP</c:v>
                </c:pt>
                <c:pt idx="1">
                  <c:v>HYDZyt</c:v>
                </c:pt>
                <c:pt idx="2">
                  <c:v>HYDRyd</c:v>
                </c:pt>
                <c:pt idx="3">
                  <c:v>SPPetr</c:v>
                </c:pt>
                <c:pt idx="4">
                  <c:v>OSPia</c:v>
                </c:pt>
                <c:pt idx="5">
                  <c:v>SWKon</c:v>
                </c:pt>
                <c:pt idx="6">
                  <c:v>UG</c:v>
                </c:pt>
                <c:pt idx="7">
                  <c:v>OSBych</c:v>
                </c:pt>
                <c:pt idx="8">
                  <c:v>SWHer</c:v>
                </c:pt>
                <c:pt idx="9">
                  <c:v>DLBych</c:v>
                </c:pt>
                <c:pt idx="10">
                  <c:v>SPJad</c:v>
                </c:pt>
                <c:pt idx="11">
                  <c:v>ZSPPiatZyt</c:v>
                </c:pt>
                <c:pt idx="12">
                  <c:v>ZSPPiat</c:v>
                </c:pt>
                <c:pt idx="13">
                  <c:v>SPPawl</c:v>
                </c:pt>
                <c:pt idx="14">
                  <c:v>BIB_Pia</c:v>
                </c:pt>
                <c:pt idx="15">
                  <c:v>SWWol</c:v>
                </c:pt>
                <c:pt idx="16">
                  <c:v>SPBych</c:v>
                </c:pt>
              </c:strCache>
            </c:strRef>
          </c:xVal>
          <c:yVal>
            <c:numRef>
              <c:f>'Tabele-koszty'!$J$8:$J$29</c:f>
              <c:numCache>
                <c:formatCode>0.00</c:formatCode>
                <c:ptCount val="22"/>
                <c:pt idx="0">
                  <c:v>29.495584683702081</c:v>
                </c:pt>
                <c:pt idx="1">
                  <c:v>29.495584683702081</c:v>
                </c:pt>
                <c:pt idx="2">
                  <c:v>29.495584683702081</c:v>
                </c:pt>
                <c:pt idx="3">
                  <c:v>29.495584683702081</c:v>
                </c:pt>
                <c:pt idx="4">
                  <c:v>29.495584683702081</c:v>
                </c:pt>
                <c:pt idx="5">
                  <c:v>29.495584683702081</c:v>
                </c:pt>
                <c:pt idx="6">
                  <c:v>29.495584683702081</c:v>
                </c:pt>
                <c:pt idx="7">
                  <c:v>29.495584683702081</c:v>
                </c:pt>
                <c:pt idx="8">
                  <c:v>29.495584683702081</c:v>
                </c:pt>
                <c:pt idx="9">
                  <c:v>29.495584683702081</c:v>
                </c:pt>
                <c:pt idx="10">
                  <c:v>29.495584683702081</c:v>
                </c:pt>
                <c:pt idx="11">
                  <c:v>29.495584683702081</c:v>
                </c:pt>
                <c:pt idx="12">
                  <c:v>29.495584683702081</c:v>
                </c:pt>
                <c:pt idx="13">
                  <c:v>29.495584683702081</c:v>
                </c:pt>
                <c:pt idx="14">
                  <c:v>29.495584683702081</c:v>
                </c:pt>
                <c:pt idx="15">
                  <c:v>29.495584683702081</c:v>
                </c:pt>
                <c:pt idx="16">
                  <c:v>29.495584683702081</c:v>
                </c:pt>
                <c:pt idx="17">
                  <c:v>29.495584683702081</c:v>
                </c:pt>
                <c:pt idx="18">
                  <c:v>29.495584683702081</c:v>
                </c:pt>
                <c:pt idx="19">
                  <c:v>29.495584683702081</c:v>
                </c:pt>
                <c:pt idx="20">
                  <c:v>29.495584683702081</c:v>
                </c:pt>
                <c:pt idx="21">
                  <c:v>29.495584683702081</c:v>
                </c:pt>
              </c:numCache>
            </c:numRef>
          </c:yVal>
          <c:smooth val="0"/>
        </c:ser>
        <c:dLbls>
          <c:showLegendKey val="0"/>
          <c:showVal val="0"/>
          <c:showCatName val="0"/>
          <c:showSerName val="0"/>
          <c:showPercent val="0"/>
          <c:showBubbleSize val="0"/>
        </c:dLbls>
        <c:axId val="441934496"/>
        <c:axId val="441934888"/>
      </c:scatterChart>
      <c:catAx>
        <c:axId val="441934496"/>
        <c:scaling>
          <c:orientation val="minMax"/>
        </c:scaling>
        <c:delete val="0"/>
        <c:axPos val="b"/>
        <c:numFmt formatCode="General" sourceLinked="1"/>
        <c:majorTickMark val="out"/>
        <c:minorTickMark val="none"/>
        <c:tickLblPos val="nextTo"/>
        <c:spPr>
          <a:ln w="3175">
            <a:solidFill>
              <a:srgbClr val="969696"/>
            </a:solidFill>
            <a:prstDash val="solid"/>
          </a:ln>
        </c:spPr>
        <c:txPr>
          <a:bodyPr rot="-5400000" vert="horz"/>
          <a:lstStyle/>
          <a:p>
            <a:pPr>
              <a:defRPr sz="800" b="0" i="0" u="none" strike="noStrike" baseline="0">
                <a:solidFill>
                  <a:srgbClr val="000000"/>
                </a:solidFill>
                <a:latin typeface="Tahoma"/>
                <a:ea typeface="Tahoma"/>
                <a:cs typeface="Tahoma"/>
              </a:defRPr>
            </a:pPr>
            <a:endParaRPr lang="pl-PL"/>
          </a:p>
        </c:txPr>
        <c:crossAx val="441934888"/>
        <c:crosses val="autoZero"/>
        <c:auto val="1"/>
        <c:lblAlgn val="ctr"/>
        <c:lblOffset val="100"/>
        <c:tickLblSkip val="1"/>
        <c:tickMarkSkip val="1"/>
        <c:noMultiLvlLbl val="0"/>
      </c:catAx>
      <c:valAx>
        <c:axId val="441934888"/>
        <c:scaling>
          <c:orientation val="minMax"/>
        </c:scaling>
        <c:delete val="0"/>
        <c:axPos val="l"/>
        <c:majorGridlines>
          <c:spPr>
            <a:ln w="3175">
              <a:solidFill>
                <a:schemeClr val="bg2"/>
              </a:solidFill>
              <a:prstDash val="solid"/>
            </a:ln>
          </c:spPr>
        </c:majorGridlines>
        <c:title>
          <c:tx>
            <c:rich>
              <a:bodyPr/>
              <a:lstStyle/>
              <a:p>
                <a:pPr>
                  <a:defRPr sz="900" b="1" i="0" u="none" strike="noStrike" baseline="0">
                    <a:solidFill>
                      <a:srgbClr val="000000"/>
                    </a:solidFill>
                    <a:latin typeface="Tahoma"/>
                    <a:ea typeface="Tahoma"/>
                    <a:cs typeface="Tahoma"/>
                  </a:defRPr>
                </a:pPr>
                <a:r>
                  <a:rPr lang="pl-PL"/>
                  <a:t>Koszty jednostkowe [zł/m</a:t>
                </a:r>
                <a:r>
                  <a:rPr lang="pl-PL" baseline="30000"/>
                  <a:t>2</a:t>
                </a:r>
                <a:r>
                  <a:rPr lang="pl-PL"/>
                  <a:t>/rok]</a:t>
                </a:r>
              </a:p>
            </c:rich>
          </c:tx>
          <c:layout>
            <c:manualLayout>
              <c:xMode val="edge"/>
              <c:yMode val="edge"/>
              <c:x val="8.4458854407904894E-3"/>
              <c:y val="0.20581122296421808"/>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441934496"/>
        <c:crosses val="autoZero"/>
        <c:crossBetween val="between"/>
        <c:majorUnit val="20"/>
      </c:valAx>
      <c:spPr>
        <a:solidFill>
          <a:srgbClr val="FFFFFF"/>
        </a:solidFill>
        <a:ln w="25400">
          <a:noFill/>
        </a:ln>
      </c:spPr>
    </c:plotArea>
    <c:legend>
      <c:legendPos val="r"/>
      <c:layout>
        <c:manualLayout>
          <c:xMode val="edge"/>
          <c:yMode val="edge"/>
          <c:x val="0.55210092856040061"/>
          <c:y val="5.696215821123625E-2"/>
          <c:w val="0.29579831932773104"/>
          <c:h val="3.7974683544303792E-2"/>
        </c:manualLayout>
      </c:layout>
      <c:overlay val="0"/>
      <c:spPr>
        <a:solidFill>
          <a:srgbClr val="FFFFFF"/>
        </a:solidFill>
        <a:ln w="25400">
          <a:noFill/>
        </a:ln>
      </c:spPr>
      <c:txPr>
        <a:bodyPr/>
        <a:lstStyle/>
        <a:p>
          <a:pPr>
            <a:defRPr sz="620" b="0" i="0" u="none" strike="noStrike" baseline="0">
              <a:solidFill>
                <a:srgbClr val="000000"/>
              </a:solidFill>
              <a:latin typeface="Tahoma"/>
              <a:ea typeface="Tahoma"/>
              <a:cs typeface="Tahoma"/>
            </a:defRPr>
          </a:pPr>
          <a:endParaRPr lang="pl-PL"/>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27550754269926"/>
          <c:y val="5.0724817159254552E-2"/>
          <c:w val="0.87856223115307508"/>
          <c:h val="0.77500708320403677"/>
        </c:manualLayout>
      </c:layout>
      <c:barChart>
        <c:barDir val="col"/>
        <c:grouping val="clustered"/>
        <c:varyColors val="0"/>
        <c:ser>
          <c:idx val="0"/>
          <c:order val="0"/>
          <c:tx>
            <c:v>liczba mieszkań</c:v>
          </c:tx>
          <c:spPr>
            <a:solidFill>
              <a:srgbClr val="33CCCC"/>
            </a:solidFill>
            <a:ln w="25400">
              <a:noFill/>
            </a:ln>
          </c:spPr>
          <c:invertIfNegative val="0"/>
          <c:dLbls>
            <c:dLbl>
              <c:idx val="0"/>
              <c:layout>
                <c:manualLayout>
                  <c:x val="-2.058082820619072E-3"/>
                  <c:y val="1.57146041026005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472292178052633E-3"/>
                  <c:y val="9.640166108682381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8191314142412454E-3"/>
                  <c:y val="3.732632774028332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2578447936922953E-3"/>
                  <c:y val="5.018418544822947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6965581731433452E-3"/>
                  <c:y val="1.663017053560282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1783501758635954E-3"/>
                  <c:y val="2.055430073179531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8.5251894120523183E-3"/>
                  <c:y val="8.786333577712784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94939271255060731"/>
                  <c:y val="0.81884347699939497"/>
                </c:manualLayout>
              </c:layout>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Mode val="edge"/>
                  <c:yMode val="edge"/>
                  <c:x val="0.97975708502024295"/>
                  <c:y val="0.83695948312770019"/>
                </c:manualLayout>
              </c:layout>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5400">
                <a:noFill/>
              </a:ln>
            </c:spPr>
            <c:txPr>
              <a:bodyPr/>
              <a:lstStyle/>
              <a:p>
                <a:pPr>
                  <a:defRPr sz="800" b="0"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NSP_2002!$C$36:$C$42</c:f>
              <c:strCache>
                <c:ptCount val="7"/>
                <c:pt idx="0">
                  <c:v>przed 1918</c:v>
                </c:pt>
                <c:pt idx="1">
                  <c:v>1918-1944</c:v>
                </c:pt>
                <c:pt idx="2">
                  <c:v>1945-1970</c:v>
                </c:pt>
                <c:pt idx="3">
                  <c:v>1971-1978</c:v>
                </c:pt>
                <c:pt idx="4">
                  <c:v>1979-1988</c:v>
                </c:pt>
                <c:pt idx="5">
                  <c:v>1989-2002</c:v>
                </c:pt>
                <c:pt idx="6">
                  <c:v>po 2002</c:v>
                </c:pt>
              </c:strCache>
            </c:strRef>
          </c:cat>
          <c:val>
            <c:numRef>
              <c:f>NSP_2002!$R$36:$R$42</c:f>
              <c:numCache>
                <c:formatCode>0.00</c:formatCode>
                <c:ptCount val="7"/>
                <c:pt idx="0">
                  <c:v>3.8445465942331801E-2</c:v>
                </c:pt>
                <c:pt idx="1">
                  <c:v>9.6949435854575841E-2</c:v>
                </c:pt>
                <c:pt idx="2">
                  <c:v>0.22858336815712496</c:v>
                </c:pt>
                <c:pt idx="3">
                  <c:v>9.4860008357709982E-2</c:v>
                </c:pt>
                <c:pt idx="4">
                  <c:v>9.1934809862097788E-2</c:v>
                </c:pt>
                <c:pt idx="5">
                  <c:v>9.8203092352695365E-2</c:v>
                </c:pt>
                <c:pt idx="6">
                  <c:v>0.35102381947346428</c:v>
                </c:pt>
              </c:numCache>
            </c:numRef>
          </c:val>
        </c:ser>
        <c:ser>
          <c:idx val="1"/>
          <c:order val="1"/>
          <c:tx>
            <c:v>liczba budynków</c:v>
          </c:tx>
          <c:invertIfNegative val="0"/>
          <c:dLbls>
            <c:numFmt formatCode="0%" sourceLinked="0"/>
            <c:spPr>
              <a:noFill/>
              <a:ln>
                <a:noFill/>
              </a:ln>
              <a:effectLst/>
            </c:spPr>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NSP_2002!$AC$36:$AC$42</c:f>
              <c:numCache>
                <c:formatCode>General</c:formatCode>
                <c:ptCount val="7"/>
                <c:pt idx="0">
                  <c:v>3.7020517395182875E-2</c:v>
                </c:pt>
                <c:pt idx="1">
                  <c:v>9.3666369313113299E-2</c:v>
                </c:pt>
                <c:pt idx="2">
                  <c:v>0.22123104371097235</c:v>
                </c:pt>
                <c:pt idx="3">
                  <c:v>9.1436217662801064E-2</c:v>
                </c:pt>
                <c:pt idx="4">
                  <c:v>8.9206066012488844E-2</c:v>
                </c:pt>
                <c:pt idx="5">
                  <c:v>9.500446030330062E-2</c:v>
                </c:pt>
                <c:pt idx="6">
                  <c:v>0.37243532560214093</c:v>
                </c:pt>
              </c:numCache>
            </c:numRef>
          </c:val>
        </c:ser>
        <c:dLbls>
          <c:showLegendKey val="0"/>
          <c:showVal val="0"/>
          <c:showCatName val="0"/>
          <c:showSerName val="0"/>
          <c:showPercent val="0"/>
          <c:showBubbleSize val="0"/>
        </c:dLbls>
        <c:gapWidth val="150"/>
        <c:axId val="635059904"/>
        <c:axId val="635060296"/>
      </c:barChart>
      <c:catAx>
        <c:axId val="635059904"/>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635060296"/>
        <c:crossesAt val="0"/>
        <c:auto val="1"/>
        <c:lblAlgn val="ctr"/>
        <c:lblOffset val="100"/>
        <c:tickLblSkip val="1"/>
        <c:tickMarkSkip val="1"/>
        <c:noMultiLvlLbl val="1"/>
      </c:catAx>
      <c:valAx>
        <c:axId val="635060296"/>
        <c:scaling>
          <c:orientation val="minMax"/>
          <c:max val="0.5"/>
        </c:scaling>
        <c:delete val="0"/>
        <c:axPos val="l"/>
        <c:majorGridlines>
          <c:spPr>
            <a:ln w="12700">
              <a:solidFill>
                <a:srgbClr val="C0C0C0"/>
              </a:solidFill>
              <a:prstDash val="solid"/>
            </a:ln>
          </c:spPr>
        </c:majorGridlines>
        <c:title>
          <c:tx>
            <c:rich>
              <a:bodyPr/>
              <a:lstStyle/>
              <a:p>
                <a:pPr>
                  <a:defRPr sz="900" b="0" i="0" u="none" strike="noStrike" baseline="0">
                    <a:solidFill>
                      <a:srgbClr val="000000"/>
                    </a:solidFill>
                    <a:latin typeface="Tahoma"/>
                    <a:ea typeface="Tahoma"/>
                    <a:cs typeface="Tahoma"/>
                  </a:defRPr>
                </a:pPr>
                <a:r>
                  <a:rPr lang="pl-PL"/>
                  <a:t>Udział w liczbie budynków mieszkań </a:t>
                </a:r>
              </a:p>
            </c:rich>
          </c:tx>
          <c:layout>
            <c:manualLayout>
              <c:xMode val="edge"/>
              <c:yMode val="edge"/>
              <c:x val="1.7759508889076441E-2"/>
              <c:y val="0.12478105567496044"/>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635059904"/>
        <c:crosses val="autoZero"/>
        <c:crossBetween val="between"/>
        <c:majorUnit val="0.1"/>
        <c:minorUnit val="2.5000000000000001E-2"/>
      </c:valAx>
      <c:spPr>
        <a:noFill/>
        <a:ln w="25400">
          <a:noFill/>
        </a:ln>
      </c:spPr>
    </c:plotArea>
    <c:legend>
      <c:legendPos val="b"/>
      <c:overlay val="0"/>
    </c:legend>
    <c:plotVisOnly val="1"/>
    <c:dispBlanksAs val="gap"/>
    <c:showDLblsOverMax val="0"/>
  </c:chart>
  <c:spPr>
    <a:solidFill>
      <a:srgbClr val="FFFFFF"/>
    </a:solidFill>
    <a:ln w="3175">
      <a:noFill/>
      <a:prstDash val="solid"/>
    </a:ln>
  </c:spPr>
  <c:txPr>
    <a:bodyPr/>
    <a:lstStyle/>
    <a:p>
      <a:pPr>
        <a:defRPr sz="925" b="0" i="0" u="none" strike="noStrike" baseline="0">
          <a:solidFill>
            <a:srgbClr val="000000"/>
          </a:solidFill>
          <a:latin typeface="Arial"/>
          <a:ea typeface="Arial"/>
          <a:cs typeface="Arial"/>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76208121043692"/>
          <c:y val="3.3898305084745763E-2"/>
          <c:w val="0.87170938926751806"/>
          <c:h val="0.75544794188861986"/>
        </c:manualLayout>
      </c:layout>
      <c:barChart>
        <c:barDir val="col"/>
        <c:grouping val="clustered"/>
        <c:varyColors val="0"/>
        <c:ser>
          <c:idx val="0"/>
          <c:order val="0"/>
          <c:tx>
            <c:v>Obiekty</c:v>
          </c:tx>
          <c:spPr>
            <a:solidFill>
              <a:srgbClr val="99CC00"/>
            </a:solidFill>
            <a:ln w="25400">
              <a:noFill/>
            </a:ln>
          </c:spPr>
          <c:invertIfNegative val="0"/>
          <c:cat>
            <c:strRef>
              <c:f>'Tabele-energia'!$B$8:$B$24</c:f>
              <c:strCache>
                <c:ptCount val="17"/>
                <c:pt idx="0">
                  <c:v>HYDZyt</c:v>
                </c:pt>
                <c:pt idx="1">
                  <c:v>HYDGorP</c:v>
                </c:pt>
                <c:pt idx="2">
                  <c:v>HYDRyd</c:v>
                </c:pt>
                <c:pt idx="3">
                  <c:v>SPPetr</c:v>
                </c:pt>
                <c:pt idx="4">
                  <c:v>OSPia</c:v>
                </c:pt>
                <c:pt idx="5">
                  <c:v>SWKon</c:v>
                </c:pt>
                <c:pt idx="6">
                  <c:v>UG</c:v>
                </c:pt>
                <c:pt idx="7">
                  <c:v>DLBych</c:v>
                </c:pt>
                <c:pt idx="8">
                  <c:v>OSBych</c:v>
                </c:pt>
                <c:pt idx="9">
                  <c:v>SPJad</c:v>
                </c:pt>
                <c:pt idx="10">
                  <c:v>SPPawl</c:v>
                </c:pt>
                <c:pt idx="11">
                  <c:v>ZSPPiatZyt</c:v>
                </c:pt>
                <c:pt idx="12">
                  <c:v>ZSPPiat</c:v>
                </c:pt>
                <c:pt idx="13">
                  <c:v>SWWol</c:v>
                </c:pt>
                <c:pt idx="14">
                  <c:v>SPBych</c:v>
                </c:pt>
                <c:pt idx="15">
                  <c:v>BIB_Pia</c:v>
                </c:pt>
                <c:pt idx="16">
                  <c:v>SWHer</c:v>
                </c:pt>
              </c:strCache>
            </c:strRef>
          </c:cat>
          <c:val>
            <c:numRef>
              <c:f>'Tabele-energia'!$F$8:$F$24</c:f>
              <c:numCache>
                <c:formatCode>0.00</c:formatCode>
                <c:ptCount val="17"/>
                <c:pt idx="0">
                  <c:v>717.47350572276389</c:v>
                </c:pt>
                <c:pt idx="1">
                  <c:v>677.4792703150913</c:v>
                </c:pt>
                <c:pt idx="2">
                  <c:v>250.78063241106719</c:v>
                </c:pt>
                <c:pt idx="3">
                  <c:v>242.31002369537666</c:v>
                </c:pt>
                <c:pt idx="4">
                  <c:v>188.79133858267716</c:v>
                </c:pt>
                <c:pt idx="5">
                  <c:v>109.1537998796872</c:v>
                </c:pt>
                <c:pt idx="6">
                  <c:v>59.995270749586197</c:v>
                </c:pt>
                <c:pt idx="7">
                  <c:v>56.963519313304722</c:v>
                </c:pt>
                <c:pt idx="8">
                  <c:v>52.636464909023388</c:v>
                </c:pt>
                <c:pt idx="9">
                  <c:v>36.398989898989896</c:v>
                </c:pt>
                <c:pt idx="10">
                  <c:v>15.967364016736402</c:v>
                </c:pt>
                <c:pt idx="11">
                  <c:v>15.468423799582464</c:v>
                </c:pt>
                <c:pt idx="12">
                  <c:v>14.332193948601089</c:v>
                </c:pt>
                <c:pt idx="13">
                  <c:v>12.023913043478261</c:v>
                </c:pt>
                <c:pt idx="14">
                  <c:v>11.407062885090264</c:v>
                </c:pt>
                <c:pt idx="15">
                  <c:v>1.0514937106918238</c:v>
                </c:pt>
                <c:pt idx="16">
                  <c:v>0.48685491723466406</c:v>
                </c:pt>
              </c:numCache>
            </c:numRef>
          </c:val>
        </c:ser>
        <c:dLbls>
          <c:showLegendKey val="0"/>
          <c:showVal val="0"/>
          <c:showCatName val="0"/>
          <c:showSerName val="0"/>
          <c:showPercent val="0"/>
          <c:showBubbleSize val="0"/>
        </c:dLbls>
        <c:gapWidth val="200"/>
        <c:axId val="441936456"/>
        <c:axId val="671112376"/>
      </c:barChart>
      <c:lineChart>
        <c:grouping val="standard"/>
        <c:varyColors val="0"/>
        <c:ser>
          <c:idx val="1"/>
          <c:order val="1"/>
          <c:tx>
            <c:v>Wartość średnia</c:v>
          </c:tx>
          <c:spPr>
            <a:ln w="38100">
              <a:solidFill>
                <a:srgbClr val="FF6600"/>
              </a:solidFill>
              <a:prstDash val="solid"/>
            </a:ln>
          </c:spPr>
          <c:marker>
            <c:symbol val="none"/>
          </c:marker>
          <c:cat>
            <c:strRef>
              <c:f>'Tabele-energia'!$B$8:$B$24</c:f>
              <c:strCache>
                <c:ptCount val="17"/>
                <c:pt idx="0">
                  <c:v>HYDZyt</c:v>
                </c:pt>
                <c:pt idx="1">
                  <c:v>HYDGorP</c:v>
                </c:pt>
                <c:pt idx="2">
                  <c:v>HYDRyd</c:v>
                </c:pt>
                <c:pt idx="3">
                  <c:v>SPPetr</c:v>
                </c:pt>
                <c:pt idx="4">
                  <c:v>OSPia</c:v>
                </c:pt>
                <c:pt idx="5">
                  <c:v>SWKon</c:v>
                </c:pt>
                <c:pt idx="6">
                  <c:v>UG</c:v>
                </c:pt>
                <c:pt idx="7">
                  <c:v>DLBych</c:v>
                </c:pt>
                <c:pt idx="8">
                  <c:v>OSBych</c:v>
                </c:pt>
                <c:pt idx="9">
                  <c:v>SPJad</c:v>
                </c:pt>
                <c:pt idx="10">
                  <c:v>SPPawl</c:v>
                </c:pt>
                <c:pt idx="11">
                  <c:v>ZSPPiatZyt</c:v>
                </c:pt>
                <c:pt idx="12">
                  <c:v>ZSPPiat</c:v>
                </c:pt>
                <c:pt idx="13">
                  <c:v>SWWol</c:v>
                </c:pt>
                <c:pt idx="14">
                  <c:v>SPBych</c:v>
                </c:pt>
                <c:pt idx="15">
                  <c:v>BIB_Pia</c:v>
                </c:pt>
                <c:pt idx="16">
                  <c:v>SWHer</c:v>
                </c:pt>
              </c:strCache>
            </c:strRef>
          </c:cat>
          <c:val>
            <c:numRef>
              <c:f>'Tabele-energia'!$A$8:$A$24</c:f>
              <c:numCache>
                <c:formatCode>0.00</c:formatCode>
                <c:ptCount val="17"/>
                <c:pt idx="0">
                  <c:v>73.589026955437845</c:v>
                </c:pt>
                <c:pt idx="1">
                  <c:v>73.589026955437845</c:v>
                </c:pt>
                <c:pt idx="2">
                  <c:v>73.589026955437845</c:v>
                </c:pt>
                <c:pt idx="3">
                  <c:v>73.589026955437845</c:v>
                </c:pt>
                <c:pt idx="4">
                  <c:v>73.589026955437845</c:v>
                </c:pt>
                <c:pt idx="5">
                  <c:v>73.589026955437845</c:v>
                </c:pt>
                <c:pt idx="6">
                  <c:v>73.589026955437845</c:v>
                </c:pt>
                <c:pt idx="7">
                  <c:v>73.589026955437845</c:v>
                </c:pt>
                <c:pt idx="8">
                  <c:v>73.589026955437845</c:v>
                </c:pt>
                <c:pt idx="9">
                  <c:v>73.589026955437845</c:v>
                </c:pt>
                <c:pt idx="10">
                  <c:v>73.589026955437845</c:v>
                </c:pt>
                <c:pt idx="11">
                  <c:v>73.589026955437845</c:v>
                </c:pt>
                <c:pt idx="12">
                  <c:v>73.589026955437845</c:v>
                </c:pt>
                <c:pt idx="13">
                  <c:v>73.589026955437845</c:v>
                </c:pt>
                <c:pt idx="14">
                  <c:v>73.589026955437845</c:v>
                </c:pt>
                <c:pt idx="15">
                  <c:v>73.589026955437845</c:v>
                </c:pt>
                <c:pt idx="16">
                  <c:v>73.589026955437845</c:v>
                </c:pt>
              </c:numCache>
            </c:numRef>
          </c:val>
          <c:smooth val="0"/>
        </c:ser>
        <c:dLbls>
          <c:showLegendKey val="0"/>
          <c:showVal val="0"/>
          <c:showCatName val="0"/>
          <c:showSerName val="0"/>
          <c:showPercent val="0"/>
          <c:showBubbleSize val="0"/>
        </c:dLbls>
        <c:marker val="1"/>
        <c:smooth val="0"/>
        <c:axId val="441936456"/>
        <c:axId val="671112376"/>
      </c:lineChart>
      <c:catAx>
        <c:axId val="441936456"/>
        <c:scaling>
          <c:orientation val="minMax"/>
        </c:scaling>
        <c:delete val="0"/>
        <c:axPos val="b"/>
        <c:numFmt formatCode="General" sourceLinked="1"/>
        <c:majorTickMark val="out"/>
        <c:minorTickMark val="none"/>
        <c:tickLblPos val="nextTo"/>
        <c:spPr>
          <a:ln w="3175">
            <a:solidFill>
              <a:srgbClr val="969696"/>
            </a:solidFill>
            <a:prstDash val="solid"/>
          </a:ln>
        </c:spPr>
        <c:txPr>
          <a:bodyPr rot="-5400000" vert="horz"/>
          <a:lstStyle/>
          <a:p>
            <a:pPr>
              <a:defRPr sz="800" b="0" i="0" u="none" strike="noStrike" baseline="0">
                <a:solidFill>
                  <a:srgbClr val="000000"/>
                </a:solidFill>
                <a:latin typeface="Tahoma"/>
                <a:ea typeface="Tahoma"/>
                <a:cs typeface="Tahoma"/>
              </a:defRPr>
            </a:pPr>
            <a:endParaRPr lang="pl-PL"/>
          </a:p>
        </c:txPr>
        <c:crossAx val="671112376"/>
        <c:crosses val="autoZero"/>
        <c:auto val="1"/>
        <c:lblAlgn val="ctr"/>
        <c:lblOffset val="100"/>
        <c:tickLblSkip val="1"/>
        <c:tickMarkSkip val="1"/>
        <c:noMultiLvlLbl val="0"/>
      </c:catAx>
      <c:valAx>
        <c:axId val="671112376"/>
        <c:scaling>
          <c:orientation val="minMax"/>
        </c:scaling>
        <c:delete val="0"/>
        <c:axPos val="l"/>
        <c:majorGridlines>
          <c:spPr>
            <a:ln w="3175">
              <a:solidFill>
                <a:schemeClr val="bg2"/>
              </a:solidFill>
              <a:prstDash val="solid"/>
            </a:ln>
          </c:spPr>
        </c:majorGridlines>
        <c:title>
          <c:tx>
            <c:rich>
              <a:bodyPr/>
              <a:lstStyle/>
              <a:p>
                <a:pPr>
                  <a:defRPr sz="800" b="1" i="0" u="none" strike="noStrike" baseline="0">
                    <a:solidFill>
                      <a:srgbClr val="000000"/>
                    </a:solidFill>
                    <a:latin typeface="Tahoma"/>
                    <a:ea typeface="Tahoma"/>
                    <a:cs typeface="Tahoma"/>
                  </a:defRPr>
                </a:pPr>
                <a:r>
                  <a:rPr lang="pl-PL"/>
                  <a:t>Jednostkowe zużycie energii elektrycznej [kWh/m</a:t>
                </a:r>
                <a:r>
                  <a:rPr lang="pl-PL" baseline="30000"/>
                  <a:t>2</a:t>
                </a:r>
                <a:r>
                  <a:rPr lang="pl-PL"/>
                  <a:t>/rok]</a:t>
                </a:r>
              </a:p>
            </c:rich>
          </c:tx>
          <c:layout>
            <c:manualLayout>
              <c:xMode val="edge"/>
              <c:yMode val="edge"/>
              <c:x val="1.1267177461403183E-2"/>
              <c:y val="0.10411628874259571"/>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441936456"/>
        <c:crosses val="autoZero"/>
        <c:crossBetween val="between"/>
      </c:valAx>
      <c:spPr>
        <a:solidFill>
          <a:srgbClr val="FFFFFF"/>
        </a:solidFill>
        <a:ln w="25400">
          <a:noFill/>
        </a:ln>
      </c:spPr>
    </c:plotArea>
    <c:legend>
      <c:legendPos val="r"/>
      <c:layout>
        <c:manualLayout>
          <c:xMode val="edge"/>
          <c:yMode val="edge"/>
          <c:x val="0.54208807232429279"/>
          <c:y val="4.9180327868852458E-2"/>
          <c:w val="0.29377130888941916"/>
          <c:h val="4.0983606557377053E-2"/>
        </c:manualLayout>
      </c:layout>
      <c:overlay val="0"/>
      <c:spPr>
        <a:solidFill>
          <a:srgbClr val="FFFFFF"/>
        </a:solidFill>
        <a:ln w="25400">
          <a:noFill/>
        </a:ln>
      </c:spPr>
      <c:txPr>
        <a:bodyPr/>
        <a:lstStyle/>
        <a:p>
          <a:pPr>
            <a:defRPr sz="620" b="0" i="0" u="none" strike="noStrike" baseline="0">
              <a:solidFill>
                <a:srgbClr val="000000"/>
              </a:solidFill>
              <a:latin typeface="Tahoma"/>
              <a:ea typeface="Tahoma"/>
              <a:cs typeface="Tahoma"/>
            </a:defRPr>
          </a:pPr>
          <a:endParaRPr lang="pl-PL"/>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445709469344624E-2"/>
          <c:y val="4.074281623887923E-2"/>
          <c:w val="0.89590211417747534"/>
          <c:h val="0.75281981056715741"/>
        </c:manualLayout>
      </c:layout>
      <c:barChart>
        <c:barDir val="col"/>
        <c:grouping val="clustered"/>
        <c:varyColors val="0"/>
        <c:ser>
          <c:idx val="0"/>
          <c:order val="0"/>
          <c:tx>
            <c:v>Obiekty</c:v>
          </c:tx>
          <c:spPr>
            <a:solidFill>
              <a:srgbClr val="99CC00"/>
            </a:solidFill>
            <a:ln w="25400">
              <a:noFill/>
            </a:ln>
          </c:spPr>
          <c:invertIfNegative val="0"/>
          <c:cat>
            <c:strRef>
              <c:f>'Tabele-cena'!$B$10:$B$24</c:f>
              <c:strCache>
                <c:ptCount val="15"/>
                <c:pt idx="0">
                  <c:v>ZSPPiatZyt</c:v>
                </c:pt>
                <c:pt idx="1">
                  <c:v>ZSPPiat</c:v>
                </c:pt>
                <c:pt idx="2">
                  <c:v>HYDRyd</c:v>
                </c:pt>
                <c:pt idx="3">
                  <c:v>SPPawl</c:v>
                </c:pt>
                <c:pt idx="4">
                  <c:v>SWWol</c:v>
                </c:pt>
                <c:pt idx="5">
                  <c:v>SPBych</c:v>
                </c:pt>
                <c:pt idx="6">
                  <c:v>OSBych</c:v>
                </c:pt>
                <c:pt idx="7">
                  <c:v>UG</c:v>
                </c:pt>
                <c:pt idx="8">
                  <c:v>DLBych</c:v>
                </c:pt>
                <c:pt idx="9">
                  <c:v>HYDGorP</c:v>
                </c:pt>
                <c:pt idx="10">
                  <c:v>SPJad</c:v>
                </c:pt>
                <c:pt idx="11">
                  <c:v>SPPetr</c:v>
                </c:pt>
                <c:pt idx="12">
                  <c:v>SWKon</c:v>
                </c:pt>
                <c:pt idx="13">
                  <c:v>HYDZyt</c:v>
                </c:pt>
                <c:pt idx="14">
                  <c:v>OSPia</c:v>
                </c:pt>
              </c:strCache>
            </c:strRef>
          </c:cat>
          <c:val>
            <c:numRef>
              <c:f>'Tabele-cena'!$F$10:$F$24</c:f>
              <c:numCache>
                <c:formatCode>0.00</c:formatCode>
                <c:ptCount val="15"/>
                <c:pt idx="0">
                  <c:v>0.69341459299873476</c:v>
                </c:pt>
                <c:pt idx="1">
                  <c:v>0.67235889055737119</c:v>
                </c:pt>
                <c:pt idx="2">
                  <c:v>0.61718192206154687</c:v>
                </c:pt>
                <c:pt idx="3">
                  <c:v>0.6</c:v>
                </c:pt>
                <c:pt idx="4">
                  <c:v>0.53400289278611468</c:v>
                </c:pt>
                <c:pt idx="5">
                  <c:v>0.52977896875437858</c:v>
                </c:pt>
                <c:pt idx="6">
                  <c:v>0.50949911816578486</c:v>
                </c:pt>
                <c:pt idx="7">
                  <c:v>0.49263203531451993</c:v>
                </c:pt>
                <c:pt idx="8">
                  <c:v>0.43087059709926534</c:v>
                </c:pt>
                <c:pt idx="9">
                  <c:v>0.42675682953098987</c:v>
                </c:pt>
                <c:pt idx="10">
                  <c:v>0.39750520327459415</c:v>
                </c:pt>
                <c:pt idx="11">
                  <c:v>0.32714503926741262</c:v>
                </c:pt>
                <c:pt idx="12">
                  <c:v>0.32245843666758517</c:v>
                </c:pt>
                <c:pt idx="13">
                  <c:v>0.31403457566232601</c:v>
                </c:pt>
                <c:pt idx="14">
                  <c:v>0.30909682397347404</c:v>
                </c:pt>
              </c:numCache>
            </c:numRef>
          </c:val>
        </c:ser>
        <c:dLbls>
          <c:showLegendKey val="0"/>
          <c:showVal val="0"/>
          <c:showCatName val="0"/>
          <c:showSerName val="0"/>
          <c:showPercent val="0"/>
          <c:showBubbleSize val="0"/>
        </c:dLbls>
        <c:gapWidth val="200"/>
        <c:axId val="671113160"/>
        <c:axId val="671112768"/>
      </c:barChart>
      <c:lineChart>
        <c:grouping val="standard"/>
        <c:varyColors val="0"/>
        <c:ser>
          <c:idx val="1"/>
          <c:order val="1"/>
          <c:tx>
            <c:v>Wartość średnia</c:v>
          </c:tx>
          <c:spPr>
            <a:ln w="38100">
              <a:solidFill>
                <a:srgbClr val="FF6600"/>
              </a:solidFill>
              <a:prstDash val="solid"/>
            </a:ln>
          </c:spPr>
          <c:marker>
            <c:symbol val="none"/>
          </c:marker>
          <c:cat>
            <c:strRef>
              <c:f>'Tabele-cena'!$B$10:$B$24</c:f>
              <c:strCache>
                <c:ptCount val="15"/>
                <c:pt idx="0">
                  <c:v>ZSPPiatZyt</c:v>
                </c:pt>
                <c:pt idx="1">
                  <c:v>ZSPPiat</c:v>
                </c:pt>
                <c:pt idx="2">
                  <c:v>HYDRyd</c:v>
                </c:pt>
                <c:pt idx="3">
                  <c:v>SPPawl</c:v>
                </c:pt>
                <c:pt idx="4">
                  <c:v>SWWol</c:v>
                </c:pt>
                <c:pt idx="5">
                  <c:v>SPBych</c:v>
                </c:pt>
                <c:pt idx="6">
                  <c:v>OSBych</c:v>
                </c:pt>
                <c:pt idx="7">
                  <c:v>UG</c:v>
                </c:pt>
                <c:pt idx="8">
                  <c:v>DLBych</c:v>
                </c:pt>
                <c:pt idx="9">
                  <c:v>HYDGorP</c:v>
                </c:pt>
                <c:pt idx="10">
                  <c:v>SPJad</c:v>
                </c:pt>
                <c:pt idx="11">
                  <c:v>SPPetr</c:v>
                </c:pt>
                <c:pt idx="12">
                  <c:v>SWKon</c:v>
                </c:pt>
                <c:pt idx="13">
                  <c:v>HYDZyt</c:v>
                </c:pt>
                <c:pt idx="14">
                  <c:v>OSPia</c:v>
                </c:pt>
              </c:strCache>
            </c:strRef>
          </c:cat>
          <c:val>
            <c:numRef>
              <c:f>'Tabele-cena'!$A$10:$A$24</c:f>
              <c:numCache>
                <c:formatCode>0.00</c:formatCode>
                <c:ptCount val="15"/>
                <c:pt idx="0">
                  <c:v>0.40081498429872253</c:v>
                </c:pt>
                <c:pt idx="1">
                  <c:v>0.40081498429872253</c:v>
                </c:pt>
                <c:pt idx="2">
                  <c:v>0.40081498429872253</c:v>
                </c:pt>
                <c:pt idx="3">
                  <c:v>0.40081498429872253</c:v>
                </c:pt>
                <c:pt idx="4">
                  <c:v>0.40081498429872253</c:v>
                </c:pt>
                <c:pt idx="5">
                  <c:v>0.40081498429872253</c:v>
                </c:pt>
                <c:pt idx="6">
                  <c:v>0.40081498429872253</c:v>
                </c:pt>
                <c:pt idx="7">
                  <c:v>0.40081498429872253</c:v>
                </c:pt>
                <c:pt idx="8">
                  <c:v>0.40081498429872253</c:v>
                </c:pt>
                <c:pt idx="9">
                  <c:v>0.40081498429872253</c:v>
                </c:pt>
                <c:pt idx="10">
                  <c:v>0.40081498429872253</c:v>
                </c:pt>
                <c:pt idx="11">
                  <c:v>0.40081498429872253</c:v>
                </c:pt>
                <c:pt idx="12">
                  <c:v>0.40081498429872253</c:v>
                </c:pt>
                <c:pt idx="13">
                  <c:v>0.40081498429872253</c:v>
                </c:pt>
                <c:pt idx="14">
                  <c:v>0.40081498429872253</c:v>
                </c:pt>
              </c:numCache>
            </c:numRef>
          </c:val>
          <c:smooth val="0"/>
        </c:ser>
        <c:dLbls>
          <c:showLegendKey val="0"/>
          <c:showVal val="0"/>
          <c:showCatName val="0"/>
          <c:showSerName val="0"/>
          <c:showPercent val="0"/>
          <c:showBubbleSize val="0"/>
        </c:dLbls>
        <c:marker val="1"/>
        <c:smooth val="0"/>
        <c:axId val="671113160"/>
        <c:axId val="671112768"/>
      </c:lineChart>
      <c:catAx>
        <c:axId val="671113160"/>
        <c:scaling>
          <c:orientation val="minMax"/>
        </c:scaling>
        <c:delete val="0"/>
        <c:axPos val="b"/>
        <c:numFmt formatCode="General" sourceLinked="1"/>
        <c:majorTickMark val="out"/>
        <c:minorTickMark val="none"/>
        <c:tickLblPos val="nextTo"/>
        <c:spPr>
          <a:ln w="3175">
            <a:solidFill>
              <a:srgbClr val="969696"/>
            </a:solidFill>
            <a:prstDash val="solid"/>
          </a:ln>
        </c:spPr>
        <c:txPr>
          <a:bodyPr rot="-5400000" vert="horz"/>
          <a:lstStyle/>
          <a:p>
            <a:pPr>
              <a:defRPr sz="800" b="0" i="0" u="none" strike="noStrike" baseline="0">
                <a:solidFill>
                  <a:srgbClr val="000000"/>
                </a:solidFill>
                <a:latin typeface="Tahoma"/>
                <a:ea typeface="Tahoma"/>
                <a:cs typeface="Tahoma"/>
              </a:defRPr>
            </a:pPr>
            <a:endParaRPr lang="pl-PL"/>
          </a:p>
        </c:txPr>
        <c:crossAx val="671112768"/>
        <c:crosses val="autoZero"/>
        <c:auto val="1"/>
        <c:lblAlgn val="ctr"/>
        <c:lblOffset val="100"/>
        <c:tickLblSkip val="1"/>
        <c:tickMarkSkip val="1"/>
        <c:noMultiLvlLbl val="0"/>
      </c:catAx>
      <c:valAx>
        <c:axId val="671112768"/>
        <c:scaling>
          <c:orientation val="minMax"/>
        </c:scaling>
        <c:delete val="0"/>
        <c:axPos val="l"/>
        <c:majorGridlines>
          <c:spPr>
            <a:ln w="3175">
              <a:solidFill>
                <a:schemeClr val="bg2"/>
              </a:solidFill>
              <a:prstDash val="solid"/>
            </a:ln>
          </c:spPr>
        </c:majorGridlines>
        <c:title>
          <c:tx>
            <c:rich>
              <a:bodyPr/>
              <a:lstStyle/>
              <a:p>
                <a:pPr>
                  <a:defRPr sz="800" b="1" i="0" u="none" strike="noStrike" baseline="0">
                    <a:solidFill>
                      <a:srgbClr val="000000"/>
                    </a:solidFill>
                    <a:latin typeface="Tahoma"/>
                    <a:ea typeface="Tahoma"/>
                    <a:cs typeface="Tahoma"/>
                  </a:defRPr>
                </a:pPr>
                <a:r>
                  <a:rPr lang="pl-PL"/>
                  <a:t>Cena jednostkowe [zł/kWh]</a:t>
                </a:r>
              </a:p>
            </c:rich>
          </c:tx>
          <c:layout>
            <c:manualLayout>
              <c:xMode val="edge"/>
              <c:yMode val="edge"/>
              <c:x val="8.44586367214906E-3"/>
              <c:y val="0.20581109179534376"/>
            </c:manualLayout>
          </c:layout>
          <c:overlay val="0"/>
          <c:spPr>
            <a:noFill/>
            <a:ln w="25400">
              <a:noFill/>
            </a:ln>
          </c:spPr>
        </c:title>
        <c:numFmt formatCode="0.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671113160"/>
        <c:crosses val="autoZero"/>
        <c:crossBetween val="between"/>
      </c:valAx>
      <c:spPr>
        <a:solidFill>
          <a:srgbClr val="FFFFFF"/>
        </a:solidFill>
        <a:ln w="25400">
          <a:noFill/>
        </a:ln>
      </c:spPr>
    </c:plotArea>
    <c:legend>
      <c:legendPos val="r"/>
      <c:layout>
        <c:manualLayout>
          <c:xMode val="edge"/>
          <c:yMode val="edge"/>
          <c:x val="0.61055084630492651"/>
          <c:y val="6.1039097385554075E-2"/>
          <c:w val="0.28316530276046237"/>
          <c:h val="3.896103896103896E-2"/>
        </c:manualLayout>
      </c:layout>
      <c:overlay val="0"/>
      <c:spPr>
        <a:solidFill>
          <a:srgbClr val="FFFFFF"/>
        </a:solidFill>
        <a:ln w="25400">
          <a:noFill/>
        </a:ln>
      </c:spPr>
      <c:txPr>
        <a:bodyPr/>
        <a:lstStyle/>
        <a:p>
          <a:pPr>
            <a:defRPr sz="620" b="0" i="0" u="none" strike="noStrike" baseline="0">
              <a:solidFill>
                <a:srgbClr val="000000"/>
              </a:solidFill>
              <a:latin typeface="Tahoma"/>
              <a:ea typeface="Tahoma"/>
              <a:cs typeface="Tahoma"/>
            </a:defRPr>
          </a:pPr>
          <a:endParaRPr lang="pl-PL"/>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58727014163472E-2"/>
          <c:y val="3.6529761811861919E-2"/>
          <c:w val="0.87710581910547381"/>
          <c:h val="0.84855571135799801"/>
        </c:manualLayout>
      </c:layout>
      <c:scatterChart>
        <c:scatterStyle val="lineMarker"/>
        <c:varyColors val="0"/>
        <c:ser>
          <c:idx val="0"/>
          <c:order val="0"/>
          <c:tx>
            <c:v>Wskaźniki poszczególnych obiektów</c:v>
          </c:tx>
          <c:spPr>
            <a:ln w="38100">
              <a:solidFill>
                <a:srgbClr val="008000"/>
              </a:solidFill>
              <a:prstDash val="solid"/>
            </a:ln>
          </c:spPr>
          <c:marker>
            <c:symbol val="diamond"/>
            <c:size val="6"/>
            <c:spPr>
              <a:solidFill>
                <a:srgbClr val="008000"/>
              </a:solidFill>
              <a:ln>
                <a:solidFill>
                  <a:srgbClr val="008000"/>
                </a:solidFill>
                <a:prstDash val="solid"/>
              </a:ln>
            </c:spPr>
          </c:marker>
          <c:xVal>
            <c:numRef>
              <c:f>'Tabele-koszty'!$K$8:$K$45</c:f>
              <c:numCache>
                <c:formatCode>#,##0</c:formatCode>
                <c:ptCount val="38"/>
                <c:pt idx="0">
                  <c:v>1088.82</c:v>
                </c:pt>
                <c:pt idx="1">
                  <c:v>2283.8199999999997</c:v>
                </c:pt>
                <c:pt idx="2">
                  <c:v>3863.62</c:v>
                </c:pt>
                <c:pt idx="3">
                  <c:v>6366.28</c:v>
                </c:pt>
                <c:pt idx="4">
                  <c:v>6620.28</c:v>
                </c:pt>
                <c:pt idx="5">
                  <c:v>7080.28</c:v>
                </c:pt>
                <c:pt idx="6">
                  <c:v>7503.1799999999994</c:v>
                </c:pt>
                <c:pt idx="7">
                  <c:v>7702.6599999999989</c:v>
                </c:pt>
                <c:pt idx="8">
                  <c:v>8469.06</c:v>
                </c:pt>
                <c:pt idx="9">
                  <c:v>8935.06</c:v>
                </c:pt>
                <c:pt idx="10">
                  <c:v>9204.3599999999988</c:v>
                </c:pt>
                <c:pt idx="11">
                  <c:v>9402.3599999999988</c:v>
                </c:pt>
                <c:pt idx="12">
                  <c:v>9402.3599999999988</c:v>
                </c:pt>
                <c:pt idx="13">
                  <c:v>9402.3599999999988</c:v>
                </c:pt>
                <c:pt idx="14">
                  <c:v>9402.3599999999988</c:v>
                </c:pt>
                <c:pt idx="15">
                  <c:v>9402.3599999999988</c:v>
                </c:pt>
                <c:pt idx="16">
                  <c:v>9402.3599999999988</c:v>
                </c:pt>
                <c:pt idx="17">
                  <c:v>9402.3599999999988</c:v>
                </c:pt>
                <c:pt idx="18">
                  <c:v>9402.3599999999988</c:v>
                </c:pt>
                <c:pt idx="19">
                  <c:v>9402.3599999999988</c:v>
                </c:pt>
                <c:pt idx="20">
                  <c:v>9402.3599999999988</c:v>
                </c:pt>
                <c:pt idx="21">
                  <c:v>9402.3599999999988</c:v>
                </c:pt>
                <c:pt idx="22">
                  <c:v>9402.3599999999988</c:v>
                </c:pt>
                <c:pt idx="23">
                  <c:v>9402.3599999999988</c:v>
                </c:pt>
                <c:pt idx="24">
                  <c:v>9402.3599999999988</c:v>
                </c:pt>
                <c:pt idx="25">
                  <c:v>9402.3599999999988</c:v>
                </c:pt>
                <c:pt idx="26">
                  <c:v>9402.3599999999988</c:v>
                </c:pt>
                <c:pt idx="27">
                  <c:v>9402.3599999999988</c:v>
                </c:pt>
                <c:pt idx="28">
                  <c:v>9402.3599999999988</c:v>
                </c:pt>
                <c:pt idx="29">
                  <c:v>9402.3599999999988</c:v>
                </c:pt>
                <c:pt idx="30">
                  <c:v>9402.3599999999988</c:v>
                </c:pt>
                <c:pt idx="31">
                  <c:v>9402.3599999999988</c:v>
                </c:pt>
                <c:pt idx="32">
                  <c:v>9402.3599999999988</c:v>
                </c:pt>
                <c:pt idx="33">
                  <c:v>9402.3599999999988</c:v>
                </c:pt>
                <c:pt idx="34">
                  <c:v>9402.3599999999988</c:v>
                </c:pt>
                <c:pt idx="35">
                  <c:v>9402.3599999999988</c:v>
                </c:pt>
                <c:pt idx="36">
                  <c:v>9402.3599999999988</c:v>
                </c:pt>
                <c:pt idx="37">
                  <c:v>9402.3599999999988</c:v>
                </c:pt>
              </c:numCache>
            </c:numRef>
          </c:xVal>
          <c:yVal>
            <c:numRef>
              <c:f>'Tabele-koszty'!$F$8:$F$45</c:f>
              <c:numCache>
                <c:formatCode>0.00</c:formatCode>
                <c:ptCount val="38"/>
                <c:pt idx="0">
                  <c:v>47.56231333002701</c:v>
                </c:pt>
                <c:pt idx="1">
                  <c:v>39.202753138075316</c:v>
                </c:pt>
                <c:pt idx="2">
                  <c:v>34.994011900240537</c:v>
                </c:pt>
                <c:pt idx="3">
                  <c:v>29.358574476756733</c:v>
                </c:pt>
                <c:pt idx="4">
                  <c:v>29.177401574803152</c:v>
                </c:pt>
                <c:pt idx="5">
                  <c:v>25.916195652173915</c:v>
                </c:pt>
                <c:pt idx="6">
                  <c:v>24.58567037124616</c:v>
                </c:pt>
                <c:pt idx="7">
                  <c:v>17.598781832765191</c:v>
                </c:pt>
                <c:pt idx="8">
                  <c:v>16.990905532359083</c:v>
                </c:pt>
                <c:pt idx="9">
                  <c:v>13.519356223175967</c:v>
                </c:pt>
                <c:pt idx="10">
                  <c:v>13.409116227255847</c:v>
                </c:pt>
                <c:pt idx="11">
                  <c:v>7.2343939393939394</c:v>
                </c:pt>
              </c:numCache>
            </c:numRef>
          </c:yVal>
          <c:smooth val="0"/>
        </c:ser>
        <c:ser>
          <c:idx val="1"/>
          <c:order val="1"/>
          <c:tx>
            <c:v>Wartość średnia</c:v>
          </c:tx>
          <c:spPr>
            <a:ln w="38100">
              <a:solidFill>
                <a:srgbClr val="FF6600"/>
              </a:solidFill>
              <a:prstDash val="solid"/>
            </a:ln>
          </c:spPr>
          <c:marker>
            <c:symbol val="none"/>
          </c:marker>
          <c:xVal>
            <c:numRef>
              <c:f>'Tabele-koszty'!$K$8:$K$45</c:f>
              <c:numCache>
                <c:formatCode>#,##0</c:formatCode>
                <c:ptCount val="38"/>
                <c:pt idx="0">
                  <c:v>1088.82</c:v>
                </c:pt>
                <c:pt idx="1">
                  <c:v>2283.8199999999997</c:v>
                </c:pt>
                <c:pt idx="2">
                  <c:v>3863.62</c:v>
                </c:pt>
                <c:pt idx="3">
                  <c:v>6366.28</c:v>
                </c:pt>
                <c:pt idx="4">
                  <c:v>6620.28</c:v>
                </c:pt>
                <c:pt idx="5">
                  <c:v>7080.28</c:v>
                </c:pt>
                <c:pt idx="6">
                  <c:v>7503.1799999999994</c:v>
                </c:pt>
                <c:pt idx="7">
                  <c:v>7702.6599999999989</c:v>
                </c:pt>
                <c:pt idx="8">
                  <c:v>8469.06</c:v>
                </c:pt>
                <c:pt idx="9">
                  <c:v>8935.06</c:v>
                </c:pt>
                <c:pt idx="10">
                  <c:v>9204.3599999999988</c:v>
                </c:pt>
                <c:pt idx="11">
                  <c:v>9402.3599999999988</c:v>
                </c:pt>
                <c:pt idx="12">
                  <c:v>9402.3599999999988</c:v>
                </c:pt>
                <c:pt idx="13">
                  <c:v>9402.3599999999988</c:v>
                </c:pt>
                <c:pt idx="14">
                  <c:v>9402.3599999999988</c:v>
                </c:pt>
                <c:pt idx="15">
                  <c:v>9402.3599999999988</c:v>
                </c:pt>
                <c:pt idx="16">
                  <c:v>9402.3599999999988</c:v>
                </c:pt>
                <c:pt idx="17">
                  <c:v>9402.3599999999988</c:v>
                </c:pt>
                <c:pt idx="18">
                  <c:v>9402.3599999999988</c:v>
                </c:pt>
                <c:pt idx="19">
                  <c:v>9402.3599999999988</c:v>
                </c:pt>
                <c:pt idx="20">
                  <c:v>9402.3599999999988</c:v>
                </c:pt>
                <c:pt idx="21">
                  <c:v>9402.3599999999988</c:v>
                </c:pt>
                <c:pt idx="22">
                  <c:v>9402.3599999999988</c:v>
                </c:pt>
                <c:pt idx="23">
                  <c:v>9402.3599999999988</c:v>
                </c:pt>
                <c:pt idx="24">
                  <c:v>9402.3599999999988</c:v>
                </c:pt>
                <c:pt idx="25">
                  <c:v>9402.3599999999988</c:v>
                </c:pt>
                <c:pt idx="26">
                  <c:v>9402.3599999999988</c:v>
                </c:pt>
                <c:pt idx="27">
                  <c:v>9402.3599999999988</c:v>
                </c:pt>
                <c:pt idx="28">
                  <c:v>9402.3599999999988</c:v>
                </c:pt>
                <c:pt idx="29">
                  <c:v>9402.3599999999988</c:v>
                </c:pt>
                <c:pt idx="30">
                  <c:v>9402.3599999999988</c:v>
                </c:pt>
                <c:pt idx="31">
                  <c:v>9402.3599999999988</c:v>
                </c:pt>
                <c:pt idx="32">
                  <c:v>9402.3599999999988</c:v>
                </c:pt>
                <c:pt idx="33">
                  <c:v>9402.3599999999988</c:v>
                </c:pt>
                <c:pt idx="34">
                  <c:v>9402.3599999999988</c:v>
                </c:pt>
                <c:pt idx="35">
                  <c:v>9402.3599999999988</c:v>
                </c:pt>
                <c:pt idx="36">
                  <c:v>9402.3599999999988</c:v>
                </c:pt>
                <c:pt idx="37">
                  <c:v>9402.3599999999988</c:v>
                </c:pt>
              </c:numCache>
            </c:numRef>
          </c:xVal>
          <c:yVal>
            <c:numRef>
              <c:f>'Tabele-koszty'!$J$8:$J$45</c:f>
              <c:numCache>
                <c:formatCode>0.00</c:formatCode>
                <c:ptCount val="38"/>
                <c:pt idx="0">
                  <c:v>30.311314180695067</c:v>
                </c:pt>
                <c:pt idx="1">
                  <c:v>30.311314180695067</c:v>
                </c:pt>
                <c:pt idx="2">
                  <c:v>30.311314180695067</c:v>
                </c:pt>
                <c:pt idx="3">
                  <c:v>30.311314180695067</c:v>
                </c:pt>
                <c:pt idx="4">
                  <c:v>30.311314180695067</c:v>
                </c:pt>
                <c:pt idx="5">
                  <c:v>30.311314180695067</c:v>
                </c:pt>
                <c:pt idx="6">
                  <c:v>30.311314180695067</c:v>
                </c:pt>
                <c:pt idx="7">
                  <c:v>30.311314180695067</c:v>
                </c:pt>
                <c:pt idx="8">
                  <c:v>30.311314180695067</c:v>
                </c:pt>
                <c:pt idx="9">
                  <c:v>30.311314180695067</c:v>
                </c:pt>
                <c:pt idx="10">
                  <c:v>30.311314180695067</c:v>
                </c:pt>
                <c:pt idx="11">
                  <c:v>30.311314180695067</c:v>
                </c:pt>
                <c:pt idx="12">
                  <c:v>30.311314180695067</c:v>
                </c:pt>
                <c:pt idx="13">
                  <c:v>30.311314180695067</c:v>
                </c:pt>
                <c:pt idx="14">
                  <c:v>30.311314180695067</c:v>
                </c:pt>
                <c:pt idx="15">
                  <c:v>30.311314180695067</c:v>
                </c:pt>
                <c:pt idx="16">
                  <c:v>30.311314180695067</c:v>
                </c:pt>
                <c:pt idx="17">
                  <c:v>30.311314180695067</c:v>
                </c:pt>
                <c:pt idx="18">
                  <c:v>30.311314180695067</c:v>
                </c:pt>
                <c:pt idx="19">
                  <c:v>30.311314180695067</c:v>
                </c:pt>
                <c:pt idx="20">
                  <c:v>30.311314180695067</c:v>
                </c:pt>
                <c:pt idx="21">
                  <c:v>30.311314180695067</c:v>
                </c:pt>
                <c:pt idx="22">
                  <c:v>30.311314180695067</c:v>
                </c:pt>
                <c:pt idx="23">
                  <c:v>30.311314180695067</c:v>
                </c:pt>
                <c:pt idx="24">
                  <c:v>30.311314180695067</c:v>
                </c:pt>
                <c:pt idx="25">
                  <c:v>30.311314180695067</c:v>
                </c:pt>
                <c:pt idx="26">
                  <c:v>30.311314180695067</c:v>
                </c:pt>
                <c:pt idx="27">
                  <c:v>30.311314180695067</c:v>
                </c:pt>
                <c:pt idx="28">
                  <c:v>30.311314180695067</c:v>
                </c:pt>
                <c:pt idx="29">
                  <c:v>30.311314180695067</c:v>
                </c:pt>
                <c:pt idx="30">
                  <c:v>30.311314180695067</c:v>
                </c:pt>
                <c:pt idx="31">
                  <c:v>30.311314180695067</c:v>
                </c:pt>
                <c:pt idx="32">
                  <c:v>30.311314180695067</c:v>
                </c:pt>
                <c:pt idx="33">
                  <c:v>30.311314180695067</c:v>
                </c:pt>
                <c:pt idx="34">
                  <c:v>30.311314180695067</c:v>
                </c:pt>
                <c:pt idx="35">
                  <c:v>30.311314180695067</c:v>
                </c:pt>
                <c:pt idx="36">
                  <c:v>30.311314180695067</c:v>
                </c:pt>
                <c:pt idx="37">
                  <c:v>30.311314180695067</c:v>
                </c:pt>
              </c:numCache>
            </c:numRef>
          </c:yVal>
          <c:smooth val="0"/>
        </c:ser>
        <c:dLbls>
          <c:showLegendKey val="0"/>
          <c:showVal val="0"/>
          <c:showCatName val="0"/>
          <c:showSerName val="0"/>
          <c:showPercent val="0"/>
          <c:showBubbleSize val="0"/>
        </c:dLbls>
        <c:axId val="671114336"/>
        <c:axId val="671113944"/>
      </c:scatterChart>
      <c:valAx>
        <c:axId val="671114336"/>
        <c:scaling>
          <c:orientation val="minMax"/>
        </c:scaling>
        <c:delete val="0"/>
        <c:axPos val="b"/>
        <c:majorGridlines>
          <c:spPr>
            <a:ln w="3175">
              <a:solidFill>
                <a:schemeClr val="bg2"/>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pl-PL" sz="800" b="1" i="0" u="none" strike="noStrike" baseline="0">
                    <a:solidFill>
                      <a:srgbClr val="000000"/>
                    </a:solidFill>
                    <a:latin typeface="Tahoma"/>
                    <a:ea typeface="Tahoma"/>
                    <a:cs typeface="Tahoma"/>
                  </a:rPr>
                  <a:t>Powierzchnia ogrzewana (narastająco) [m</a:t>
                </a:r>
                <a:r>
                  <a:rPr lang="pl-PL" sz="800" b="1" i="0" u="none" strike="noStrike" baseline="30000">
                    <a:solidFill>
                      <a:srgbClr val="000000"/>
                    </a:solidFill>
                    <a:latin typeface="Tahoma"/>
                    <a:ea typeface="Tahoma"/>
                    <a:cs typeface="Tahoma"/>
                  </a:rPr>
                  <a:t>2</a:t>
                </a:r>
                <a:r>
                  <a:rPr lang="pl-PL" sz="800" b="1" i="0" u="none" strike="noStrike" baseline="0">
                    <a:solidFill>
                      <a:srgbClr val="000000"/>
                    </a:solidFill>
                    <a:latin typeface="Tahoma"/>
                    <a:ea typeface="Tahoma"/>
                    <a:cs typeface="Tahoma"/>
                  </a:rPr>
                  <a:t>]</a:t>
                </a:r>
              </a:p>
            </c:rich>
          </c:tx>
          <c:layout>
            <c:manualLayout>
              <c:xMode val="edge"/>
              <c:yMode val="edge"/>
              <c:x val="0.31818176574082085"/>
              <c:y val="0.94292237442922378"/>
            </c:manualLayout>
          </c:layout>
          <c:overlay val="0"/>
          <c:spPr>
            <a:noFill/>
            <a:ln w="25400">
              <a:noFill/>
            </a:ln>
          </c:spPr>
        </c:title>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671113944"/>
        <c:crosses val="autoZero"/>
        <c:crossBetween val="midCat"/>
      </c:valAx>
      <c:valAx>
        <c:axId val="671113944"/>
        <c:scaling>
          <c:orientation val="minMax"/>
        </c:scaling>
        <c:delete val="0"/>
        <c:axPos val="l"/>
        <c:majorGridlines>
          <c:spPr>
            <a:ln w="3175">
              <a:solidFill>
                <a:schemeClr val="bg2"/>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pl-PL" sz="800" b="1" i="0" u="none" strike="noStrike" baseline="0">
                    <a:solidFill>
                      <a:srgbClr val="000000"/>
                    </a:solidFill>
                    <a:latin typeface="Tahoma"/>
                    <a:ea typeface="Tahoma"/>
                    <a:cs typeface="Tahoma"/>
                  </a:rPr>
                  <a:t>Koszty jednostkowe [zł/m</a:t>
                </a:r>
                <a:r>
                  <a:rPr lang="pl-PL" sz="800" b="1" i="0" u="none" strike="noStrike" baseline="30000">
                    <a:solidFill>
                      <a:srgbClr val="000000"/>
                    </a:solidFill>
                    <a:latin typeface="Tahoma"/>
                    <a:ea typeface="Tahoma"/>
                    <a:cs typeface="Tahoma"/>
                  </a:rPr>
                  <a:t>2</a:t>
                </a:r>
                <a:r>
                  <a:rPr lang="pl-PL" sz="800" b="1" i="0" u="none" strike="noStrike" baseline="0">
                    <a:solidFill>
                      <a:srgbClr val="000000"/>
                    </a:solidFill>
                    <a:latin typeface="Tahoma"/>
                    <a:ea typeface="Tahoma"/>
                    <a:cs typeface="Tahoma"/>
                  </a:rPr>
                  <a:t>/rok]</a:t>
                </a:r>
              </a:p>
            </c:rich>
          </c:tx>
          <c:layout>
            <c:manualLayout>
              <c:xMode val="edge"/>
              <c:yMode val="edge"/>
              <c:x val="1.3467986831316416E-2"/>
              <c:y val="0.20776303646975633"/>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671114336"/>
        <c:crosses val="autoZero"/>
        <c:crossBetween val="midCat"/>
      </c:valAx>
      <c:spPr>
        <a:noFill/>
        <a:ln w="25400">
          <a:noFill/>
        </a:ln>
      </c:spPr>
    </c:plotArea>
    <c:legend>
      <c:legendPos val="r"/>
      <c:layout>
        <c:manualLayout>
          <c:xMode val="edge"/>
          <c:yMode val="edge"/>
          <c:x val="0.20957622055484823"/>
          <c:y val="7.5342465753424653E-2"/>
          <c:w val="0.7072214324857744"/>
          <c:h val="5.0228310502283102E-2"/>
        </c:manualLayout>
      </c:layout>
      <c:overlay val="0"/>
      <c:spPr>
        <a:solidFill>
          <a:srgbClr val="FFFFFF"/>
        </a:solidFill>
        <a:ln w="25400">
          <a:noFill/>
        </a:ln>
      </c:spPr>
      <c:txPr>
        <a:bodyPr/>
        <a:lstStyle/>
        <a:p>
          <a:pPr>
            <a:defRPr sz="82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858727014163472E-2"/>
          <c:y val="3.6529761811861919E-2"/>
          <c:w val="0.87710581910547381"/>
          <c:h val="0.75114322725641069"/>
        </c:manualLayout>
      </c:layout>
      <c:scatterChart>
        <c:scatterStyle val="lineMarker"/>
        <c:varyColors val="0"/>
        <c:ser>
          <c:idx val="0"/>
          <c:order val="0"/>
          <c:tx>
            <c:v>Wskaźniki poszczególnych obiektów</c:v>
          </c:tx>
          <c:spPr>
            <a:ln w="38100">
              <a:solidFill>
                <a:srgbClr val="008000"/>
              </a:solidFill>
              <a:prstDash val="solid"/>
            </a:ln>
          </c:spPr>
          <c:marker>
            <c:symbol val="diamond"/>
            <c:size val="6"/>
            <c:spPr>
              <a:solidFill>
                <a:srgbClr val="008000"/>
              </a:solidFill>
              <a:ln>
                <a:solidFill>
                  <a:srgbClr val="008000"/>
                </a:solidFill>
                <a:prstDash val="solid"/>
              </a:ln>
            </c:spPr>
          </c:marker>
          <c:xVal>
            <c:numRef>
              <c:f>'Tabele-energia'!$K$8:$K$45</c:f>
              <c:numCache>
                <c:formatCode>#,##0</c:formatCode>
                <c:ptCount val="38"/>
                <c:pt idx="0">
                  <c:v>1088.82</c:v>
                </c:pt>
                <c:pt idx="1">
                  <c:v>2283.8199999999997</c:v>
                </c:pt>
                <c:pt idx="2">
                  <c:v>3863.62</c:v>
                </c:pt>
                <c:pt idx="3">
                  <c:v>4630.0199999999995</c:v>
                </c:pt>
                <c:pt idx="4">
                  <c:v>7132.6799999999994</c:v>
                </c:pt>
                <c:pt idx="5">
                  <c:v>7386.6799999999994</c:v>
                </c:pt>
                <c:pt idx="6">
                  <c:v>7809.579999999999</c:v>
                </c:pt>
                <c:pt idx="7">
                  <c:v>8269.5799999999981</c:v>
                </c:pt>
                <c:pt idx="8">
                  <c:v>8469.0599999999977</c:v>
                </c:pt>
                <c:pt idx="9">
                  <c:v>8935.0599999999977</c:v>
                </c:pt>
                <c:pt idx="10">
                  <c:v>9204.3599999999969</c:v>
                </c:pt>
                <c:pt idx="11">
                  <c:v>9402.3599999999969</c:v>
                </c:pt>
                <c:pt idx="12">
                  <c:v>9402.3599999999969</c:v>
                </c:pt>
                <c:pt idx="13">
                  <c:v>9402.3599999999969</c:v>
                </c:pt>
                <c:pt idx="14">
                  <c:v>9402.3599999999969</c:v>
                </c:pt>
                <c:pt idx="15">
                  <c:v>9402.3599999999969</c:v>
                </c:pt>
                <c:pt idx="16">
                  <c:v>9402.3599999999969</c:v>
                </c:pt>
                <c:pt idx="17">
                  <c:v>9402.3599999999969</c:v>
                </c:pt>
                <c:pt idx="18">
                  <c:v>9402.3599999999969</c:v>
                </c:pt>
                <c:pt idx="19">
                  <c:v>9402.3599999999969</c:v>
                </c:pt>
                <c:pt idx="20">
                  <c:v>9402.3599999999969</c:v>
                </c:pt>
                <c:pt idx="21">
                  <c:v>9402.3599999999969</c:v>
                </c:pt>
                <c:pt idx="22">
                  <c:v>9402.3599999999969</c:v>
                </c:pt>
                <c:pt idx="23">
                  <c:v>9402.3599999999969</c:v>
                </c:pt>
                <c:pt idx="24">
                  <c:v>9402.3599999999969</c:v>
                </c:pt>
                <c:pt idx="25">
                  <c:v>9402.3599999999969</c:v>
                </c:pt>
                <c:pt idx="26">
                  <c:v>9402.3599999999969</c:v>
                </c:pt>
                <c:pt idx="27">
                  <c:v>9402.3599999999969</c:v>
                </c:pt>
                <c:pt idx="28">
                  <c:v>9402.3599999999969</c:v>
                </c:pt>
                <c:pt idx="29">
                  <c:v>9402.3599999999969</c:v>
                </c:pt>
                <c:pt idx="30">
                  <c:v>9402.3599999999969</c:v>
                </c:pt>
                <c:pt idx="31">
                  <c:v>9402.3599999999969</c:v>
                </c:pt>
                <c:pt idx="32">
                  <c:v>9402.3599999999969</c:v>
                </c:pt>
                <c:pt idx="33">
                  <c:v>9402.3599999999969</c:v>
                </c:pt>
                <c:pt idx="34">
                  <c:v>9402.3599999999969</c:v>
                </c:pt>
                <c:pt idx="35">
                  <c:v>9402.3599999999969</c:v>
                </c:pt>
                <c:pt idx="36">
                  <c:v>9402.3599999999969</c:v>
                </c:pt>
                <c:pt idx="37">
                  <c:v>9402.3599999999969</c:v>
                </c:pt>
              </c:numCache>
            </c:numRef>
          </c:xVal>
          <c:yVal>
            <c:numRef>
              <c:f>'Tabele-energia'!$F$8:$F$45</c:f>
              <c:numCache>
                <c:formatCode>0.00</c:formatCode>
                <c:ptCount val="38"/>
                <c:pt idx="0">
                  <c:v>0.52338965118201353</c:v>
                </c:pt>
                <c:pt idx="1">
                  <c:v>0.49548953974895388</c:v>
                </c:pt>
                <c:pt idx="2">
                  <c:v>0.48580636789467024</c:v>
                </c:pt>
                <c:pt idx="3">
                  <c:v>0.41474425887265137</c:v>
                </c:pt>
                <c:pt idx="4">
                  <c:v>0.36771111537324291</c:v>
                </c:pt>
                <c:pt idx="5">
                  <c:v>0.33982440944881892</c:v>
                </c:pt>
                <c:pt idx="6">
                  <c:v>0.33609600378340032</c:v>
                </c:pt>
                <c:pt idx="7">
                  <c:v>0.3178260869565217</c:v>
                </c:pt>
                <c:pt idx="8">
                  <c:v>0.19647683978343697</c:v>
                </c:pt>
                <c:pt idx="9">
                  <c:v>0.14806866952789699</c:v>
                </c:pt>
                <c:pt idx="10">
                  <c:v>9.4745636836242111E-2</c:v>
                </c:pt>
                <c:pt idx="11">
                  <c:v>6.5518181818181823E-2</c:v>
                </c:pt>
              </c:numCache>
            </c:numRef>
          </c:yVal>
          <c:smooth val="0"/>
        </c:ser>
        <c:ser>
          <c:idx val="1"/>
          <c:order val="1"/>
          <c:tx>
            <c:v>Wartość średnia</c:v>
          </c:tx>
          <c:spPr>
            <a:ln w="38100">
              <a:solidFill>
                <a:srgbClr val="FF6600"/>
              </a:solidFill>
              <a:prstDash val="solid"/>
            </a:ln>
          </c:spPr>
          <c:marker>
            <c:symbol val="none"/>
          </c:marker>
          <c:xVal>
            <c:numRef>
              <c:f>'Tabele-energia'!$K$8:$K$45</c:f>
              <c:numCache>
                <c:formatCode>#,##0</c:formatCode>
                <c:ptCount val="38"/>
                <c:pt idx="0">
                  <c:v>1088.82</c:v>
                </c:pt>
                <c:pt idx="1">
                  <c:v>2283.8199999999997</c:v>
                </c:pt>
                <c:pt idx="2">
                  <c:v>3863.62</c:v>
                </c:pt>
                <c:pt idx="3">
                  <c:v>4630.0199999999995</c:v>
                </c:pt>
                <c:pt idx="4">
                  <c:v>7132.6799999999994</c:v>
                </c:pt>
                <c:pt idx="5">
                  <c:v>7386.6799999999994</c:v>
                </c:pt>
                <c:pt idx="6">
                  <c:v>7809.579999999999</c:v>
                </c:pt>
                <c:pt idx="7">
                  <c:v>8269.5799999999981</c:v>
                </c:pt>
                <c:pt idx="8">
                  <c:v>8469.0599999999977</c:v>
                </c:pt>
                <c:pt idx="9">
                  <c:v>8935.0599999999977</c:v>
                </c:pt>
                <c:pt idx="10">
                  <c:v>9204.3599999999969</c:v>
                </c:pt>
                <c:pt idx="11">
                  <c:v>9402.3599999999969</c:v>
                </c:pt>
                <c:pt idx="12">
                  <c:v>9402.3599999999969</c:v>
                </c:pt>
                <c:pt idx="13">
                  <c:v>9402.3599999999969</c:v>
                </c:pt>
                <c:pt idx="14">
                  <c:v>9402.3599999999969</c:v>
                </c:pt>
                <c:pt idx="15">
                  <c:v>9402.3599999999969</c:v>
                </c:pt>
                <c:pt idx="16">
                  <c:v>9402.3599999999969</c:v>
                </c:pt>
                <c:pt idx="17">
                  <c:v>9402.3599999999969</c:v>
                </c:pt>
                <c:pt idx="18">
                  <c:v>9402.3599999999969</c:v>
                </c:pt>
                <c:pt idx="19">
                  <c:v>9402.3599999999969</c:v>
                </c:pt>
                <c:pt idx="20">
                  <c:v>9402.3599999999969</c:v>
                </c:pt>
                <c:pt idx="21">
                  <c:v>9402.3599999999969</c:v>
                </c:pt>
                <c:pt idx="22">
                  <c:v>9402.3599999999969</c:v>
                </c:pt>
                <c:pt idx="23">
                  <c:v>9402.3599999999969</c:v>
                </c:pt>
                <c:pt idx="24">
                  <c:v>9402.3599999999969</c:v>
                </c:pt>
                <c:pt idx="25">
                  <c:v>9402.3599999999969</c:v>
                </c:pt>
                <c:pt idx="26">
                  <c:v>9402.3599999999969</c:v>
                </c:pt>
                <c:pt idx="27">
                  <c:v>9402.3599999999969</c:v>
                </c:pt>
                <c:pt idx="28">
                  <c:v>9402.3599999999969</c:v>
                </c:pt>
                <c:pt idx="29">
                  <c:v>9402.3599999999969</c:v>
                </c:pt>
                <c:pt idx="30">
                  <c:v>9402.3599999999969</c:v>
                </c:pt>
                <c:pt idx="31">
                  <c:v>9402.3599999999969</c:v>
                </c:pt>
                <c:pt idx="32">
                  <c:v>9402.3599999999969</c:v>
                </c:pt>
                <c:pt idx="33">
                  <c:v>9402.3599999999969</c:v>
                </c:pt>
                <c:pt idx="34">
                  <c:v>9402.3599999999969</c:v>
                </c:pt>
                <c:pt idx="35">
                  <c:v>9402.3599999999969</c:v>
                </c:pt>
                <c:pt idx="36">
                  <c:v>9402.3599999999969</c:v>
                </c:pt>
                <c:pt idx="37">
                  <c:v>9402.3599999999969</c:v>
                </c:pt>
              </c:numCache>
            </c:numRef>
          </c:xVal>
          <c:yVal>
            <c:numRef>
              <c:f>'Tabele-energia'!$A$8:$A$45</c:f>
              <c:numCache>
                <c:formatCode>0.00</c:formatCode>
                <c:ptCount val="38"/>
                <c:pt idx="0">
                  <c:v>0.39233885109695871</c:v>
                </c:pt>
                <c:pt idx="1">
                  <c:v>0.39233885109695871</c:v>
                </c:pt>
                <c:pt idx="2">
                  <c:v>0.39233885109695871</c:v>
                </c:pt>
                <c:pt idx="3">
                  <c:v>0.39233885109695871</c:v>
                </c:pt>
                <c:pt idx="4">
                  <c:v>0.39233885109695871</c:v>
                </c:pt>
                <c:pt idx="5">
                  <c:v>0.39233885109695871</c:v>
                </c:pt>
                <c:pt idx="6">
                  <c:v>0.39233885109695871</c:v>
                </c:pt>
                <c:pt idx="7">
                  <c:v>0.39233885109695871</c:v>
                </c:pt>
                <c:pt idx="8">
                  <c:v>0.39233885109695871</c:v>
                </c:pt>
                <c:pt idx="9">
                  <c:v>0.39233885109695871</c:v>
                </c:pt>
                <c:pt idx="10">
                  <c:v>0.39233885109695871</c:v>
                </c:pt>
                <c:pt idx="11">
                  <c:v>0.39233885109695871</c:v>
                </c:pt>
                <c:pt idx="12">
                  <c:v>0.39233885109695871</c:v>
                </c:pt>
                <c:pt idx="13">
                  <c:v>0.39233885109695871</c:v>
                </c:pt>
                <c:pt idx="14">
                  <c:v>0.39233885109695871</c:v>
                </c:pt>
                <c:pt idx="15">
                  <c:v>0.39233885109695871</c:v>
                </c:pt>
                <c:pt idx="16">
                  <c:v>0.39233885109695871</c:v>
                </c:pt>
                <c:pt idx="17">
                  <c:v>0.39233885109695871</c:v>
                </c:pt>
                <c:pt idx="18">
                  <c:v>0.39233885109695871</c:v>
                </c:pt>
                <c:pt idx="19">
                  <c:v>0.39233885109695871</c:v>
                </c:pt>
                <c:pt idx="20">
                  <c:v>0.39233885109695871</c:v>
                </c:pt>
                <c:pt idx="21">
                  <c:v>0.39233885109695871</c:v>
                </c:pt>
                <c:pt idx="22">
                  <c:v>0.39233885109695871</c:v>
                </c:pt>
                <c:pt idx="23">
                  <c:v>0.39233885109695871</c:v>
                </c:pt>
                <c:pt idx="24">
                  <c:v>0.39233885109695871</c:v>
                </c:pt>
                <c:pt idx="25">
                  <c:v>0.39233885109695871</c:v>
                </c:pt>
                <c:pt idx="26">
                  <c:v>0.39233885109695871</c:v>
                </c:pt>
                <c:pt idx="27">
                  <c:v>0.39233885109695871</c:v>
                </c:pt>
                <c:pt idx="28">
                  <c:v>0.39233885109695871</c:v>
                </c:pt>
                <c:pt idx="29">
                  <c:v>0.39233885109695871</c:v>
                </c:pt>
                <c:pt idx="30">
                  <c:v>0.39233885109695871</c:v>
                </c:pt>
                <c:pt idx="31">
                  <c:v>0.39233885109695871</c:v>
                </c:pt>
                <c:pt idx="32">
                  <c:v>0.39233885109695871</c:v>
                </c:pt>
                <c:pt idx="33">
                  <c:v>0.39233885109695871</c:v>
                </c:pt>
                <c:pt idx="34">
                  <c:v>0.39233885109695871</c:v>
                </c:pt>
                <c:pt idx="35">
                  <c:v>0.39233885109695871</c:v>
                </c:pt>
                <c:pt idx="36">
                  <c:v>0.39233885109695871</c:v>
                </c:pt>
                <c:pt idx="37">
                  <c:v>0.39233885109695871</c:v>
                </c:pt>
              </c:numCache>
            </c:numRef>
          </c:yVal>
          <c:smooth val="0"/>
        </c:ser>
        <c:dLbls>
          <c:showLegendKey val="0"/>
          <c:showVal val="0"/>
          <c:showCatName val="0"/>
          <c:showSerName val="0"/>
          <c:showPercent val="0"/>
          <c:showBubbleSize val="0"/>
        </c:dLbls>
        <c:axId val="671114728"/>
        <c:axId val="671111200"/>
      </c:scatterChart>
      <c:valAx>
        <c:axId val="671114728"/>
        <c:scaling>
          <c:orientation val="minMax"/>
          <c:min val="0"/>
        </c:scaling>
        <c:delete val="0"/>
        <c:axPos val="b"/>
        <c:majorGridlines>
          <c:spPr>
            <a:ln w="3175">
              <a:solidFill>
                <a:schemeClr val="bg2"/>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pl-PL" sz="800" b="1" i="0" u="none" strike="noStrike" baseline="0">
                    <a:solidFill>
                      <a:srgbClr val="000000"/>
                    </a:solidFill>
                    <a:latin typeface="Tahoma"/>
                    <a:ea typeface="Tahoma"/>
                    <a:cs typeface="Tahoma"/>
                  </a:rPr>
                  <a:t>Powierzchnia ogrzewana (narastająco) [m</a:t>
                </a:r>
                <a:r>
                  <a:rPr lang="pl-PL" sz="800" b="1" i="0" u="none" strike="noStrike" baseline="30000">
                    <a:solidFill>
                      <a:srgbClr val="000000"/>
                    </a:solidFill>
                    <a:latin typeface="Tahoma"/>
                    <a:ea typeface="Tahoma"/>
                    <a:cs typeface="Tahoma"/>
                  </a:rPr>
                  <a:t>2</a:t>
                </a:r>
                <a:r>
                  <a:rPr lang="pl-PL" sz="800" b="1" i="0" u="none" strike="noStrike" baseline="0">
                    <a:solidFill>
                      <a:srgbClr val="000000"/>
                    </a:solidFill>
                    <a:latin typeface="Tahoma"/>
                    <a:ea typeface="Tahoma"/>
                    <a:cs typeface="Tahoma"/>
                  </a:rPr>
                  <a:t>]</a:t>
                </a:r>
              </a:p>
            </c:rich>
          </c:tx>
          <c:layout>
            <c:manualLayout>
              <c:xMode val="edge"/>
              <c:yMode val="edge"/>
              <c:x val="0.33501691409452938"/>
              <c:y val="0.86073059360730597"/>
            </c:manualLayout>
          </c:layout>
          <c:overlay val="0"/>
          <c:spPr>
            <a:noFill/>
            <a:ln w="25400">
              <a:noFill/>
            </a:ln>
          </c:spPr>
        </c:title>
        <c:numFmt formatCode="#,##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671111200"/>
        <c:crosses val="autoZero"/>
        <c:crossBetween val="midCat"/>
      </c:valAx>
      <c:valAx>
        <c:axId val="671111200"/>
        <c:scaling>
          <c:orientation val="minMax"/>
        </c:scaling>
        <c:delete val="0"/>
        <c:axPos val="l"/>
        <c:majorGridlines>
          <c:spPr>
            <a:ln w="3175">
              <a:solidFill>
                <a:schemeClr val="bg2"/>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pl-PL" sz="800" b="1" i="0" u="none" strike="noStrike" baseline="0">
                    <a:solidFill>
                      <a:srgbClr val="000000"/>
                    </a:solidFill>
                    <a:latin typeface="Tahoma"/>
                    <a:ea typeface="Tahoma"/>
                    <a:cs typeface="Tahoma"/>
                  </a:rPr>
                  <a:t>Jednostkowe zużycie ciepła[GJ/m</a:t>
                </a:r>
                <a:r>
                  <a:rPr lang="pl-PL" sz="800" b="1" i="0" u="none" strike="noStrike" baseline="30000">
                    <a:solidFill>
                      <a:srgbClr val="000000"/>
                    </a:solidFill>
                    <a:latin typeface="Tahoma"/>
                    <a:ea typeface="Tahoma"/>
                    <a:cs typeface="Tahoma"/>
                  </a:rPr>
                  <a:t>2</a:t>
                </a:r>
                <a:r>
                  <a:rPr lang="pl-PL" sz="800" b="1" i="0" u="none" strike="noStrike" baseline="0">
                    <a:solidFill>
                      <a:srgbClr val="000000"/>
                    </a:solidFill>
                    <a:latin typeface="Tahoma"/>
                    <a:ea typeface="Tahoma"/>
                    <a:cs typeface="Tahoma"/>
                  </a:rPr>
                  <a:t>/rok]</a:t>
                </a:r>
              </a:p>
            </c:rich>
          </c:tx>
          <c:layout>
            <c:manualLayout>
              <c:xMode val="edge"/>
              <c:yMode val="edge"/>
              <c:x val="1.3467986831316416E-2"/>
              <c:y val="0.20776303646975633"/>
            </c:manualLayout>
          </c:layout>
          <c:overlay val="0"/>
          <c:spPr>
            <a:noFill/>
            <a:ln w="25400">
              <a:noFill/>
            </a:ln>
          </c:spPr>
        </c:title>
        <c:numFmt formatCode="0.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671114728"/>
        <c:crosses val="autoZero"/>
        <c:crossBetween val="midCat"/>
      </c:valAx>
      <c:spPr>
        <a:noFill/>
        <a:ln w="25400">
          <a:noFill/>
        </a:ln>
      </c:spPr>
    </c:plotArea>
    <c:legend>
      <c:legendPos val="r"/>
      <c:layout>
        <c:manualLayout>
          <c:xMode val="edge"/>
          <c:yMode val="edge"/>
          <c:x val="0.14364215462078228"/>
          <c:y val="0.91324296791668158"/>
          <c:w val="0.7072214324857744"/>
          <c:h val="5.0228310502283158E-2"/>
        </c:manualLayout>
      </c:layout>
      <c:overlay val="0"/>
      <c:spPr>
        <a:solidFill>
          <a:srgbClr val="FFFFFF"/>
        </a:solidFill>
        <a:ln w="25400">
          <a:noFill/>
        </a:ln>
      </c:spPr>
      <c:txPr>
        <a:bodyPr/>
        <a:lstStyle/>
        <a:p>
          <a:pPr>
            <a:defRPr sz="82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391891891891886E-2"/>
          <c:y val="3.3898305084745763E-2"/>
          <c:w val="0.89695945945945943"/>
          <c:h val="0.75544794188861986"/>
        </c:manualLayout>
      </c:layout>
      <c:barChart>
        <c:barDir val="col"/>
        <c:grouping val="clustered"/>
        <c:varyColors val="0"/>
        <c:ser>
          <c:idx val="0"/>
          <c:order val="0"/>
          <c:tx>
            <c:v>Obiekty</c:v>
          </c:tx>
          <c:spPr>
            <a:solidFill>
              <a:srgbClr val="99CC00"/>
            </a:solidFill>
            <a:ln w="25400">
              <a:noFill/>
            </a:ln>
          </c:spPr>
          <c:invertIfNegative val="0"/>
          <c:cat>
            <c:strRef>
              <c:f>'Tabele-koszty'!$B$8:$B$19</c:f>
              <c:strCache>
                <c:ptCount val="12"/>
                <c:pt idx="0">
                  <c:v>SPPetr</c:v>
                </c:pt>
                <c:pt idx="1">
                  <c:v>SPPawl</c:v>
                </c:pt>
                <c:pt idx="2">
                  <c:v>ZSPPiat</c:v>
                </c:pt>
                <c:pt idx="3">
                  <c:v>SPBych</c:v>
                </c:pt>
                <c:pt idx="4">
                  <c:v>OSPia</c:v>
                </c:pt>
                <c:pt idx="5">
                  <c:v>SWWol</c:v>
                </c:pt>
                <c:pt idx="6">
                  <c:v>UG</c:v>
                </c:pt>
                <c:pt idx="7">
                  <c:v>SWKon</c:v>
                </c:pt>
                <c:pt idx="8">
                  <c:v>ZSPPiatZyt</c:v>
                </c:pt>
                <c:pt idx="9">
                  <c:v>DLBych</c:v>
                </c:pt>
                <c:pt idx="10">
                  <c:v>OSBych</c:v>
                </c:pt>
                <c:pt idx="11">
                  <c:v>SPJad</c:v>
                </c:pt>
              </c:strCache>
            </c:strRef>
          </c:cat>
          <c:val>
            <c:numRef>
              <c:f>'Tabele-koszty'!$F$8:$F$19</c:f>
              <c:numCache>
                <c:formatCode>0.00</c:formatCode>
                <c:ptCount val="12"/>
                <c:pt idx="0">
                  <c:v>47.56231333002701</c:v>
                </c:pt>
                <c:pt idx="1">
                  <c:v>39.202753138075316</c:v>
                </c:pt>
                <c:pt idx="2">
                  <c:v>34.994011900240537</c:v>
                </c:pt>
                <c:pt idx="3">
                  <c:v>29.358574476756733</c:v>
                </c:pt>
                <c:pt idx="4">
                  <c:v>29.177401574803152</c:v>
                </c:pt>
                <c:pt idx="5">
                  <c:v>25.916195652173915</c:v>
                </c:pt>
                <c:pt idx="6">
                  <c:v>24.58567037124616</c:v>
                </c:pt>
                <c:pt idx="7">
                  <c:v>17.598781832765191</c:v>
                </c:pt>
                <c:pt idx="8">
                  <c:v>16.990905532359083</c:v>
                </c:pt>
                <c:pt idx="9">
                  <c:v>13.519356223175967</c:v>
                </c:pt>
                <c:pt idx="10">
                  <c:v>13.409116227255847</c:v>
                </c:pt>
                <c:pt idx="11">
                  <c:v>7.2343939393939394</c:v>
                </c:pt>
              </c:numCache>
            </c:numRef>
          </c:val>
        </c:ser>
        <c:dLbls>
          <c:showLegendKey val="0"/>
          <c:showVal val="0"/>
          <c:showCatName val="0"/>
          <c:showSerName val="0"/>
          <c:showPercent val="0"/>
          <c:showBubbleSize val="0"/>
        </c:dLbls>
        <c:gapWidth val="200"/>
        <c:axId val="447239720"/>
        <c:axId val="447238152"/>
      </c:barChart>
      <c:scatterChart>
        <c:scatterStyle val="lineMarker"/>
        <c:varyColors val="0"/>
        <c:ser>
          <c:idx val="1"/>
          <c:order val="1"/>
          <c:tx>
            <c:v>Wartość średnia</c:v>
          </c:tx>
          <c:spPr>
            <a:ln w="38100">
              <a:solidFill>
                <a:srgbClr val="FF6600"/>
              </a:solidFill>
              <a:prstDash val="solid"/>
            </a:ln>
          </c:spPr>
          <c:marker>
            <c:symbol val="none"/>
          </c:marker>
          <c:xVal>
            <c:strRef>
              <c:f>'Tabele-koszty'!$B$8:$B$19</c:f>
              <c:strCache>
                <c:ptCount val="12"/>
                <c:pt idx="0">
                  <c:v>SPPetr</c:v>
                </c:pt>
                <c:pt idx="1">
                  <c:v>SPPawl</c:v>
                </c:pt>
                <c:pt idx="2">
                  <c:v>ZSPPiat</c:v>
                </c:pt>
                <c:pt idx="3">
                  <c:v>SPBych</c:v>
                </c:pt>
                <c:pt idx="4">
                  <c:v>OSPia</c:v>
                </c:pt>
                <c:pt idx="5">
                  <c:v>SWWol</c:v>
                </c:pt>
                <c:pt idx="6">
                  <c:v>UG</c:v>
                </c:pt>
                <c:pt idx="7">
                  <c:v>SWKon</c:v>
                </c:pt>
                <c:pt idx="8">
                  <c:v>ZSPPiatZyt</c:v>
                </c:pt>
                <c:pt idx="9">
                  <c:v>DLBych</c:v>
                </c:pt>
                <c:pt idx="10">
                  <c:v>OSBych</c:v>
                </c:pt>
                <c:pt idx="11">
                  <c:v>SPJad</c:v>
                </c:pt>
              </c:strCache>
            </c:strRef>
          </c:xVal>
          <c:yVal>
            <c:numRef>
              <c:f>'Tabele-koszty'!$J$8:$J$19</c:f>
              <c:numCache>
                <c:formatCode>0.00</c:formatCode>
                <c:ptCount val="12"/>
                <c:pt idx="0">
                  <c:v>30.311314180695067</c:v>
                </c:pt>
                <c:pt idx="1">
                  <c:v>30.311314180695067</c:v>
                </c:pt>
                <c:pt idx="2">
                  <c:v>30.311314180695067</c:v>
                </c:pt>
                <c:pt idx="3">
                  <c:v>30.311314180695067</c:v>
                </c:pt>
                <c:pt idx="4">
                  <c:v>30.311314180695067</c:v>
                </c:pt>
                <c:pt idx="5">
                  <c:v>30.311314180695067</c:v>
                </c:pt>
                <c:pt idx="6">
                  <c:v>30.311314180695067</c:v>
                </c:pt>
                <c:pt idx="7">
                  <c:v>30.311314180695067</c:v>
                </c:pt>
                <c:pt idx="8">
                  <c:v>30.311314180695067</c:v>
                </c:pt>
                <c:pt idx="9">
                  <c:v>30.311314180695067</c:v>
                </c:pt>
                <c:pt idx="10">
                  <c:v>30.311314180695067</c:v>
                </c:pt>
                <c:pt idx="11">
                  <c:v>30.311314180695067</c:v>
                </c:pt>
              </c:numCache>
            </c:numRef>
          </c:yVal>
          <c:smooth val="0"/>
        </c:ser>
        <c:dLbls>
          <c:showLegendKey val="0"/>
          <c:showVal val="0"/>
          <c:showCatName val="0"/>
          <c:showSerName val="0"/>
          <c:showPercent val="0"/>
          <c:showBubbleSize val="0"/>
        </c:dLbls>
        <c:axId val="447239720"/>
        <c:axId val="447238152"/>
      </c:scatterChart>
      <c:catAx>
        <c:axId val="447239720"/>
        <c:scaling>
          <c:orientation val="minMax"/>
        </c:scaling>
        <c:delete val="0"/>
        <c:axPos val="b"/>
        <c:numFmt formatCode="General" sourceLinked="1"/>
        <c:majorTickMark val="out"/>
        <c:minorTickMark val="none"/>
        <c:tickLblPos val="nextTo"/>
        <c:spPr>
          <a:ln w="3175">
            <a:solidFill>
              <a:srgbClr val="969696"/>
            </a:solidFill>
            <a:prstDash val="solid"/>
          </a:ln>
        </c:spPr>
        <c:txPr>
          <a:bodyPr rot="-5400000" vert="horz"/>
          <a:lstStyle/>
          <a:p>
            <a:pPr>
              <a:defRPr sz="800" b="0" i="0" u="none" strike="noStrike" baseline="0">
                <a:solidFill>
                  <a:srgbClr val="000000"/>
                </a:solidFill>
                <a:latin typeface="Tahoma"/>
                <a:ea typeface="Tahoma"/>
                <a:cs typeface="Tahoma"/>
              </a:defRPr>
            </a:pPr>
            <a:endParaRPr lang="pl-PL"/>
          </a:p>
        </c:txPr>
        <c:crossAx val="447238152"/>
        <c:crosses val="autoZero"/>
        <c:auto val="1"/>
        <c:lblAlgn val="ctr"/>
        <c:lblOffset val="100"/>
        <c:tickLblSkip val="1"/>
        <c:tickMarkSkip val="1"/>
        <c:noMultiLvlLbl val="0"/>
      </c:catAx>
      <c:valAx>
        <c:axId val="447238152"/>
        <c:scaling>
          <c:orientation val="minMax"/>
        </c:scaling>
        <c:delete val="0"/>
        <c:axPos val="l"/>
        <c:majorGridlines>
          <c:spPr>
            <a:ln w="3175">
              <a:solidFill>
                <a:schemeClr val="bg2"/>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pl-PL" sz="800" b="1" i="0" u="none" strike="noStrike" baseline="0">
                    <a:solidFill>
                      <a:srgbClr val="000000"/>
                    </a:solidFill>
                    <a:latin typeface="Tahoma"/>
                    <a:ea typeface="Tahoma"/>
                    <a:cs typeface="Tahoma"/>
                  </a:rPr>
                  <a:t>Koszty jednostkowe [zł/m</a:t>
                </a:r>
                <a:r>
                  <a:rPr lang="pl-PL" sz="800" b="1" i="0" u="none" strike="noStrike" baseline="30000">
                    <a:solidFill>
                      <a:srgbClr val="000000"/>
                    </a:solidFill>
                    <a:latin typeface="Tahoma"/>
                    <a:ea typeface="Tahoma"/>
                    <a:cs typeface="Tahoma"/>
                  </a:rPr>
                  <a:t>2</a:t>
                </a:r>
                <a:r>
                  <a:rPr lang="pl-PL" sz="800" b="1" i="0" u="none" strike="noStrike" baseline="0">
                    <a:solidFill>
                      <a:srgbClr val="000000"/>
                    </a:solidFill>
                    <a:latin typeface="Tahoma"/>
                    <a:ea typeface="Tahoma"/>
                    <a:cs typeface="Tahoma"/>
                  </a:rPr>
                  <a:t>/rok]</a:t>
                </a:r>
              </a:p>
            </c:rich>
          </c:tx>
          <c:layout>
            <c:manualLayout>
              <c:xMode val="edge"/>
              <c:yMode val="edge"/>
              <c:x val="8.4459048918097829E-3"/>
              <c:y val="0.20581113801452786"/>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447239720"/>
        <c:crosses val="autoZero"/>
        <c:crossBetween val="between"/>
      </c:valAx>
      <c:spPr>
        <a:solidFill>
          <a:srgbClr val="FFFFFF"/>
        </a:solidFill>
        <a:ln w="25400">
          <a:noFill/>
        </a:ln>
      </c:spPr>
    </c:plotArea>
    <c:legend>
      <c:legendPos val="r"/>
      <c:layout>
        <c:manualLayout>
          <c:xMode val="edge"/>
          <c:yMode val="edge"/>
          <c:x val="0.5653551573769815"/>
          <c:y val="7.748209439921705E-2"/>
          <c:w val="0.29606348812697625"/>
          <c:h val="3.9951700952635158E-2"/>
        </c:manualLayout>
      </c:layout>
      <c:overlay val="0"/>
      <c:spPr>
        <a:solidFill>
          <a:srgbClr val="FFFFFF"/>
        </a:solidFill>
        <a:ln w="25400">
          <a:noFill/>
        </a:ln>
      </c:spPr>
      <c:txPr>
        <a:bodyPr/>
        <a:lstStyle/>
        <a:p>
          <a:pPr>
            <a:defRPr sz="675" b="0" i="0" u="none" strike="noStrike" baseline="0">
              <a:solidFill>
                <a:srgbClr val="000000"/>
              </a:solidFill>
              <a:latin typeface="Tahoma"/>
              <a:ea typeface="Tahoma"/>
              <a:cs typeface="Tahoma"/>
            </a:defRPr>
          </a:pPr>
          <a:endParaRPr lang="pl-PL"/>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283783783783786E-2"/>
          <c:y val="3.3898305084745763E-2"/>
          <c:w val="0.88006756756756754"/>
          <c:h val="0.75544794188861986"/>
        </c:manualLayout>
      </c:layout>
      <c:barChart>
        <c:barDir val="col"/>
        <c:grouping val="clustered"/>
        <c:varyColors val="0"/>
        <c:ser>
          <c:idx val="0"/>
          <c:order val="0"/>
          <c:tx>
            <c:v>Obiekty</c:v>
          </c:tx>
          <c:spPr>
            <a:solidFill>
              <a:srgbClr val="99CC00"/>
            </a:solidFill>
            <a:ln w="25400">
              <a:noFill/>
            </a:ln>
          </c:spPr>
          <c:invertIfNegative val="0"/>
          <c:cat>
            <c:strRef>
              <c:f>'Tabele-energia'!$B$8:$B$19</c:f>
              <c:strCache>
                <c:ptCount val="12"/>
                <c:pt idx="0">
                  <c:v>SPPetr</c:v>
                </c:pt>
                <c:pt idx="1">
                  <c:v>SPPawl</c:v>
                </c:pt>
                <c:pt idx="2">
                  <c:v>ZSPPiat</c:v>
                </c:pt>
                <c:pt idx="3">
                  <c:v>ZSPPiatZyt</c:v>
                </c:pt>
                <c:pt idx="4">
                  <c:v>SPBych</c:v>
                </c:pt>
                <c:pt idx="5">
                  <c:v>OSPia</c:v>
                </c:pt>
                <c:pt idx="6">
                  <c:v>UG</c:v>
                </c:pt>
                <c:pt idx="7">
                  <c:v>SWWol</c:v>
                </c:pt>
                <c:pt idx="8">
                  <c:v>SWKon</c:v>
                </c:pt>
                <c:pt idx="9">
                  <c:v>DLBych</c:v>
                </c:pt>
                <c:pt idx="10">
                  <c:v>OSBych</c:v>
                </c:pt>
                <c:pt idx="11">
                  <c:v>SPJad</c:v>
                </c:pt>
              </c:strCache>
            </c:strRef>
          </c:cat>
          <c:val>
            <c:numRef>
              <c:f>'Tabele-energia'!$F$8:$F$19</c:f>
              <c:numCache>
                <c:formatCode>0.00</c:formatCode>
                <c:ptCount val="12"/>
                <c:pt idx="0">
                  <c:v>0.52338965118201353</c:v>
                </c:pt>
                <c:pt idx="1">
                  <c:v>0.49548953974895388</c:v>
                </c:pt>
                <c:pt idx="2">
                  <c:v>0.48580636789467024</c:v>
                </c:pt>
                <c:pt idx="3">
                  <c:v>0.41474425887265137</c:v>
                </c:pt>
                <c:pt idx="4">
                  <c:v>0.36771111537324291</c:v>
                </c:pt>
                <c:pt idx="5">
                  <c:v>0.33982440944881892</c:v>
                </c:pt>
                <c:pt idx="6">
                  <c:v>0.33609600378340032</c:v>
                </c:pt>
                <c:pt idx="7">
                  <c:v>0.3178260869565217</c:v>
                </c:pt>
                <c:pt idx="8">
                  <c:v>0.19647683978343697</c:v>
                </c:pt>
                <c:pt idx="9">
                  <c:v>0.14806866952789699</c:v>
                </c:pt>
                <c:pt idx="10">
                  <c:v>9.4745636836242111E-2</c:v>
                </c:pt>
                <c:pt idx="11">
                  <c:v>6.5518181818181823E-2</c:v>
                </c:pt>
              </c:numCache>
            </c:numRef>
          </c:val>
        </c:ser>
        <c:dLbls>
          <c:showLegendKey val="0"/>
          <c:showVal val="0"/>
          <c:showCatName val="0"/>
          <c:showSerName val="0"/>
          <c:showPercent val="0"/>
          <c:showBubbleSize val="0"/>
        </c:dLbls>
        <c:gapWidth val="200"/>
        <c:axId val="447240504"/>
        <c:axId val="447239328"/>
      </c:barChart>
      <c:lineChart>
        <c:grouping val="standard"/>
        <c:varyColors val="0"/>
        <c:ser>
          <c:idx val="1"/>
          <c:order val="1"/>
          <c:tx>
            <c:v>Wartość średnia</c:v>
          </c:tx>
          <c:spPr>
            <a:ln w="38100">
              <a:solidFill>
                <a:srgbClr val="FF6600"/>
              </a:solidFill>
              <a:prstDash val="solid"/>
            </a:ln>
          </c:spPr>
          <c:marker>
            <c:symbol val="none"/>
          </c:marker>
          <c:cat>
            <c:strRef>
              <c:f>'Tabele-energia'!$B$8:$B$45</c:f>
              <c:strCache>
                <c:ptCount val="12"/>
                <c:pt idx="0">
                  <c:v>SPPetr</c:v>
                </c:pt>
                <c:pt idx="1">
                  <c:v>SPPawl</c:v>
                </c:pt>
                <c:pt idx="2">
                  <c:v>ZSPPiat</c:v>
                </c:pt>
                <c:pt idx="3">
                  <c:v>ZSPPiatZyt</c:v>
                </c:pt>
                <c:pt idx="4">
                  <c:v>SPBych</c:v>
                </c:pt>
                <c:pt idx="5">
                  <c:v>OSPia</c:v>
                </c:pt>
                <c:pt idx="6">
                  <c:v>UG</c:v>
                </c:pt>
                <c:pt idx="7">
                  <c:v>SWWol</c:v>
                </c:pt>
                <c:pt idx="8">
                  <c:v>SWKon</c:v>
                </c:pt>
                <c:pt idx="9">
                  <c:v>DLBych</c:v>
                </c:pt>
                <c:pt idx="10">
                  <c:v>OSBych</c:v>
                </c:pt>
                <c:pt idx="11">
                  <c:v>SPJad</c:v>
                </c:pt>
              </c:strCache>
            </c:strRef>
          </c:cat>
          <c:val>
            <c:numRef>
              <c:f>'Tabele-energia'!$A$8:$A$19</c:f>
              <c:numCache>
                <c:formatCode>0.00</c:formatCode>
                <c:ptCount val="12"/>
                <c:pt idx="0">
                  <c:v>0.39233885109695871</c:v>
                </c:pt>
                <c:pt idx="1">
                  <c:v>0.39233885109695871</c:v>
                </c:pt>
                <c:pt idx="2">
                  <c:v>0.39233885109695871</c:v>
                </c:pt>
                <c:pt idx="3">
                  <c:v>0.39233885109695871</c:v>
                </c:pt>
                <c:pt idx="4">
                  <c:v>0.39233885109695871</c:v>
                </c:pt>
                <c:pt idx="5">
                  <c:v>0.39233885109695871</c:v>
                </c:pt>
                <c:pt idx="6">
                  <c:v>0.39233885109695871</c:v>
                </c:pt>
                <c:pt idx="7">
                  <c:v>0.39233885109695871</c:v>
                </c:pt>
                <c:pt idx="8">
                  <c:v>0.39233885109695871</c:v>
                </c:pt>
                <c:pt idx="9">
                  <c:v>0.39233885109695871</c:v>
                </c:pt>
                <c:pt idx="10">
                  <c:v>0.39233885109695871</c:v>
                </c:pt>
                <c:pt idx="11">
                  <c:v>0.39233885109695871</c:v>
                </c:pt>
              </c:numCache>
            </c:numRef>
          </c:val>
          <c:smooth val="0"/>
        </c:ser>
        <c:dLbls>
          <c:showLegendKey val="0"/>
          <c:showVal val="0"/>
          <c:showCatName val="0"/>
          <c:showSerName val="0"/>
          <c:showPercent val="0"/>
          <c:showBubbleSize val="0"/>
        </c:dLbls>
        <c:marker val="1"/>
        <c:smooth val="0"/>
        <c:axId val="447240504"/>
        <c:axId val="447239328"/>
      </c:lineChart>
      <c:catAx>
        <c:axId val="447240504"/>
        <c:scaling>
          <c:orientation val="minMax"/>
        </c:scaling>
        <c:delete val="0"/>
        <c:axPos val="b"/>
        <c:numFmt formatCode="General" sourceLinked="1"/>
        <c:majorTickMark val="out"/>
        <c:minorTickMark val="none"/>
        <c:tickLblPos val="nextTo"/>
        <c:spPr>
          <a:ln w="3175">
            <a:solidFill>
              <a:srgbClr val="969696"/>
            </a:solidFill>
            <a:prstDash val="solid"/>
          </a:ln>
        </c:spPr>
        <c:txPr>
          <a:bodyPr rot="-5400000" vert="horz"/>
          <a:lstStyle/>
          <a:p>
            <a:pPr>
              <a:defRPr sz="800" b="0" i="0" u="none" strike="noStrike" baseline="0">
                <a:solidFill>
                  <a:srgbClr val="000000"/>
                </a:solidFill>
                <a:latin typeface="Tahoma"/>
                <a:ea typeface="Tahoma"/>
                <a:cs typeface="Tahoma"/>
              </a:defRPr>
            </a:pPr>
            <a:endParaRPr lang="pl-PL"/>
          </a:p>
        </c:txPr>
        <c:crossAx val="447239328"/>
        <c:crosses val="autoZero"/>
        <c:auto val="1"/>
        <c:lblAlgn val="ctr"/>
        <c:lblOffset val="100"/>
        <c:tickLblSkip val="1"/>
        <c:tickMarkSkip val="1"/>
        <c:noMultiLvlLbl val="0"/>
      </c:catAx>
      <c:valAx>
        <c:axId val="447239328"/>
        <c:scaling>
          <c:orientation val="minMax"/>
        </c:scaling>
        <c:delete val="0"/>
        <c:axPos val="l"/>
        <c:majorGridlines>
          <c:spPr>
            <a:ln w="3175">
              <a:solidFill>
                <a:schemeClr val="bg2"/>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pl-PL" sz="800" b="1" i="0" u="none" strike="noStrike" baseline="0">
                    <a:solidFill>
                      <a:srgbClr val="000000"/>
                    </a:solidFill>
                    <a:latin typeface="Tahoma"/>
                    <a:ea typeface="Tahoma"/>
                    <a:cs typeface="Tahoma"/>
                  </a:rPr>
                  <a:t>Jednostkowe zużycie ciepła [GJ/m</a:t>
                </a:r>
                <a:r>
                  <a:rPr lang="pl-PL" sz="800" b="1" i="0" u="none" strike="noStrike" baseline="30000">
                    <a:solidFill>
                      <a:srgbClr val="000000"/>
                    </a:solidFill>
                    <a:latin typeface="Tahoma"/>
                    <a:ea typeface="Tahoma"/>
                    <a:cs typeface="Tahoma"/>
                  </a:rPr>
                  <a:t>2</a:t>
                </a:r>
                <a:r>
                  <a:rPr lang="pl-PL" sz="800" b="1" i="0" u="none" strike="noStrike" baseline="0">
                    <a:solidFill>
                      <a:srgbClr val="000000"/>
                    </a:solidFill>
                    <a:latin typeface="Tahoma"/>
                    <a:ea typeface="Tahoma"/>
                    <a:cs typeface="Tahoma"/>
                  </a:rPr>
                  <a:t>/rok]</a:t>
                </a:r>
              </a:p>
            </c:rich>
          </c:tx>
          <c:layout>
            <c:manualLayout>
              <c:xMode val="edge"/>
              <c:yMode val="edge"/>
              <c:x val="1.4076508153016306E-2"/>
              <c:y val="0.10895883777239709"/>
            </c:manualLayout>
          </c:layout>
          <c:overlay val="0"/>
          <c:spPr>
            <a:noFill/>
            <a:ln w="25400">
              <a:noFill/>
            </a:ln>
          </c:spPr>
        </c:title>
        <c:numFmt formatCode="0.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447240504"/>
        <c:crosses val="autoZero"/>
        <c:crossBetween val="between"/>
      </c:valAx>
      <c:spPr>
        <a:solidFill>
          <a:srgbClr val="FFFFFF"/>
        </a:solidFill>
        <a:ln w="25400">
          <a:noFill/>
        </a:ln>
      </c:spPr>
    </c:plotArea>
    <c:legend>
      <c:legendPos val="r"/>
      <c:layout>
        <c:manualLayout>
          <c:xMode val="edge"/>
          <c:yMode val="edge"/>
          <c:x val="0.62755996445326234"/>
          <c:y val="7.3850006037380914E-2"/>
          <c:w val="0.29606348812697625"/>
          <c:h val="3.9951700952635158E-2"/>
        </c:manualLayout>
      </c:layout>
      <c:overlay val="0"/>
      <c:spPr>
        <a:solidFill>
          <a:srgbClr val="FFFFFF"/>
        </a:solidFill>
        <a:ln w="25400">
          <a:noFill/>
        </a:ln>
      </c:spPr>
      <c:txPr>
        <a:bodyPr/>
        <a:lstStyle/>
        <a:p>
          <a:pPr>
            <a:defRPr sz="675" b="0" i="0" u="none" strike="noStrike" baseline="0">
              <a:solidFill>
                <a:srgbClr val="000000"/>
              </a:solidFill>
              <a:latin typeface="Tahoma"/>
              <a:ea typeface="Tahoma"/>
              <a:cs typeface="Tahoma"/>
            </a:defRPr>
          </a:pPr>
          <a:endParaRPr lang="pl-PL"/>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86440677966102"/>
          <c:y val="3.3816504888721149E-2"/>
          <c:w val="0.86440677966101698"/>
          <c:h val="0.75604043072640847"/>
        </c:manualLayout>
      </c:layout>
      <c:barChart>
        <c:barDir val="col"/>
        <c:grouping val="clustered"/>
        <c:varyColors val="0"/>
        <c:ser>
          <c:idx val="0"/>
          <c:order val="0"/>
          <c:tx>
            <c:v>Obiekty</c:v>
          </c:tx>
          <c:spPr>
            <a:solidFill>
              <a:srgbClr val="99CC00"/>
            </a:solidFill>
            <a:ln w="25400">
              <a:noFill/>
            </a:ln>
          </c:spPr>
          <c:invertIfNegative val="0"/>
          <c:cat>
            <c:strRef>
              <c:f>'Tabele-cena'!$B$8:$B$19</c:f>
              <c:strCache>
                <c:ptCount val="12"/>
                <c:pt idx="0">
                  <c:v>OSBych</c:v>
                </c:pt>
                <c:pt idx="1">
                  <c:v>SPJad</c:v>
                </c:pt>
                <c:pt idx="2">
                  <c:v>DLBych</c:v>
                </c:pt>
                <c:pt idx="3">
                  <c:v>SPPetr</c:v>
                </c:pt>
                <c:pt idx="4">
                  <c:v>SWKon</c:v>
                </c:pt>
                <c:pt idx="5">
                  <c:v>OSPia</c:v>
                </c:pt>
                <c:pt idx="6">
                  <c:v>SWWol</c:v>
                </c:pt>
                <c:pt idx="7">
                  <c:v>SPBych</c:v>
                </c:pt>
                <c:pt idx="8">
                  <c:v>SPPawl</c:v>
                </c:pt>
                <c:pt idx="9">
                  <c:v>UG</c:v>
                </c:pt>
                <c:pt idx="10">
                  <c:v>ZSPPiat</c:v>
                </c:pt>
                <c:pt idx="11">
                  <c:v>ZSPPiatZyt</c:v>
                </c:pt>
              </c:strCache>
            </c:strRef>
          </c:cat>
          <c:val>
            <c:numRef>
              <c:f>'Tabele-cena'!$F$8:$F$19</c:f>
              <c:numCache>
                <c:formatCode>0.00</c:formatCode>
                <c:ptCount val="12"/>
                <c:pt idx="0">
                  <c:v>141.52753282382912</c:v>
                </c:pt>
                <c:pt idx="1">
                  <c:v>110.4181120207206</c:v>
                </c:pt>
                <c:pt idx="2">
                  <c:v>91.30463768115942</c:v>
                </c:pt>
                <c:pt idx="3">
                  <c:v>90.873622018725726</c:v>
                </c:pt>
                <c:pt idx="4">
                  <c:v>89.5717879632181</c:v>
                </c:pt>
                <c:pt idx="5">
                  <c:v>85.860228881520555</c:v>
                </c:pt>
                <c:pt idx="6">
                  <c:v>81.542065663474702</c:v>
                </c:pt>
                <c:pt idx="7">
                  <c:v>79.841411503039538</c:v>
                </c:pt>
                <c:pt idx="8">
                  <c:v>79.119234601678755</c:v>
                </c:pt>
                <c:pt idx="9">
                  <c:v>73.150736975410709</c:v>
                </c:pt>
                <c:pt idx="10">
                  <c:v>72.032839033982654</c:v>
                </c:pt>
                <c:pt idx="11">
                  <c:v>40.967186811803934</c:v>
                </c:pt>
              </c:numCache>
            </c:numRef>
          </c:val>
        </c:ser>
        <c:dLbls>
          <c:showLegendKey val="0"/>
          <c:showVal val="0"/>
          <c:showCatName val="0"/>
          <c:showSerName val="0"/>
          <c:showPercent val="0"/>
          <c:showBubbleSize val="0"/>
        </c:dLbls>
        <c:gapWidth val="200"/>
        <c:axId val="447238936"/>
        <c:axId val="447238544"/>
      </c:barChart>
      <c:lineChart>
        <c:grouping val="standard"/>
        <c:varyColors val="0"/>
        <c:ser>
          <c:idx val="1"/>
          <c:order val="1"/>
          <c:tx>
            <c:v>Wartość średnia</c:v>
          </c:tx>
          <c:spPr>
            <a:ln w="38100">
              <a:solidFill>
                <a:srgbClr val="FF6600"/>
              </a:solidFill>
              <a:prstDash val="solid"/>
            </a:ln>
          </c:spPr>
          <c:marker>
            <c:symbol val="none"/>
          </c:marker>
          <c:cat>
            <c:strRef>
              <c:f>'Tabele-cena'!$B$8:$B$45</c:f>
              <c:strCache>
                <c:ptCount val="12"/>
                <c:pt idx="0">
                  <c:v>OSBych</c:v>
                </c:pt>
                <c:pt idx="1">
                  <c:v>SPJad</c:v>
                </c:pt>
                <c:pt idx="2">
                  <c:v>DLBych</c:v>
                </c:pt>
                <c:pt idx="3">
                  <c:v>SPPetr</c:v>
                </c:pt>
                <c:pt idx="4">
                  <c:v>SWKon</c:v>
                </c:pt>
                <c:pt idx="5">
                  <c:v>OSPia</c:v>
                </c:pt>
                <c:pt idx="6">
                  <c:v>SWWol</c:v>
                </c:pt>
                <c:pt idx="7">
                  <c:v>SPBych</c:v>
                </c:pt>
                <c:pt idx="8">
                  <c:v>SPPawl</c:v>
                </c:pt>
                <c:pt idx="9">
                  <c:v>UG</c:v>
                </c:pt>
                <c:pt idx="10">
                  <c:v>ZSPPiat</c:v>
                </c:pt>
                <c:pt idx="11">
                  <c:v>ZSPPiatZyt</c:v>
                </c:pt>
              </c:strCache>
            </c:strRef>
          </c:cat>
          <c:val>
            <c:numRef>
              <c:f>'Tabele-cena'!$A$8:$A$19</c:f>
              <c:numCache>
                <c:formatCode>0.00</c:formatCode>
                <c:ptCount val="12"/>
                <c:pt idx="0">
                  <c:v>77.257998018667351</c:v>
                </c:pt>
                <c:pt idx="1">
                  <c:v>77.257998018667351</c:v>
                </c:pt>
                <c:pt idx="2">
                  <c:v>77.257998018667351</c:v>
                </c:pt>
                <c:pt idx="3">
                  <c:v>77.257998018667351</c:v>
                </c:pt>
                <c:pt idx="4">
                  <c:v>77.257998018667351</c:v>
                </c:pt>
                <c:pt idx="5">
                  <c:v>77.257998018667351</c:v>
                </c:pt>
                <c:pt idx="6">
                  <c:v>77.257998018667351</c:v>
                </c:pt>
                <c:pt idx="7">
                  <c:v>77.257998018667351</c:v>
                </c:pt>
                <c:pt idx="8">
                  <c:v>77.257998018667351</c:v>
                </c:pt>
                <c:pt idx="9">
                  <c:v>77.257998018667351</c:v>
                </c:pt>
                <c:pt idx="10">
                  <c:v>77.257998018667351</c:v>
                </c:pt>
                <c:pt idx="11">
                  <c:v>77.257998018667351</c:v>
                </c:pt>
              </c:numCache>
            </c:numRef>
          </c:val>
          <c:smooth val="0"/>
        </c:ser>
        <c:dLbls>
          <c:showLegendKey val="0"/>
          <c:showVal val="0"/>
          <c:showCatName val="0"/>
          <c:showSerName val="0"/>
          <c:showPercent val="0"/>
          <c:showBubbleSize val="0"/>
        </c:dLbls>
        <c:marker val="1"/>
        <c:smooth val="0"/>
        <c:axId val="447238936"/>
        <c:axId val="447238544"/>
      </c:lineChart>
      <c:catAx>
        <c:axId val="447238936"/>
        <c:scaling>
          <c:orientation val="minMax"/>
        </c:scaling>
        <c:delete val="0"/>
        <c:axPos val="b"/>
        <c:numFmt formatCode="General" sourceLinked="1"/>
        <c:majorTickMark val="out"/>
        <c:minorTickMark val="none"/>
        <c:tickLblPos val="nextTo"/>
        <c:spPr>
          <a:ln w="3175">
            <a:solidFill>
              <a:srgbClr val="969696"/>
            </a:solidFill>
            <a:prstDash val="solid"/>
          </a:ln>
        </c:spPr>
        <c:txPr>
          <a:bodyPr rot="-5400000" vert="horz"/>
          <a:lstStyle/>
          <a:p>
            <a:pPr>
              <a:defRPr sz="800" b="0" i="0" u="none" strike="noStrike" baseline="0">
                <a:solidFill>
                  <a:srgbClr val="000000"/>
                </a:solidFill>
                <a:latin typeface="Tahoma"/>
                <a:ea typeface="Tahoma"/>
                <a:cs typeface="Tahoma"/>
              </a:defRPr>
            </a:pPr>
            <a:endParaRPr lang="pl-PL"/>
          </a:p>
        </c:txPr>
        <c:crossAx val="447238544"/>
        <c:crosses val="autoZero"/>
        <c:auto val="1"/>
        <c:lblAlgn val="ctr"/>
        <c:lblOffset val="100"/>
        <c:tickLblSkip val="1"/>
        <c:tickMarkSkip val="1"/>
        <c:noMultiLvlLbl val="0"/>
      </c:catAx>
      <c:valAx>
        <c:axId val="447238544"/>
        <c:scaling>
          <c:orientation val="minMax"/>
        </c:scaling>
        <c:delete val="0"/>
        <c:axPos val="l"/>
        <c:majorGridlines>
          <c:spPr>
            <a:ln w="3175">
              <a:solidFill>
                <a:schemeClr val="bg2"/>
              </a:solidFill>
              <a:prstDash val="solid"/>
            </a:ln>
          </c:spPr>
        </c:majorGridlines>
        <c:title>
          <c:tx>
            <c:rich>
              <a:bodyPr/>
              <a:lstStyle/>
              <a:p>
                <a:pPr>
                  <a:defRPr sz="1000" b="1" i="0" u="none" strike="noStrike" baseline="0">
                    <a:solidFill>
                      <a:srgbClr val="000000"/>
                    </a:solidFill>
                    <a:latin typeface="Arial CE"/>
                    <a:ea typeface="Arial CE"/>
                    <a:cs typeface="Arial CE"/>
                  </a:defRPr>
                </a:pPr>
                <a:r>
                  <a:rPr lang="pl-PL"/>
                  <a:t>Cena jednostkowe [zł/GJ]</a:t>
                </a:r>
              </a:p>
            </c:rich>
          </c:tx>
          <c:layout>
            <c:manualLayout>
              <c:xMode val="edge"/>
              <c:yMode val="edge"/>
              <c:x val="1.525421843874817E-2"/>
              <c:y val="0.21256089365640887"/>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447238936"/>
        <c:crosses val="autoZero"/>
        <c:crossBetween val="between"/>
      </c:valAx>
      <c:spPr>
        <a:solidFill>
          <a:srgbClr val="FFFFFF"/>
        </a:solidFill>
        <a:ln w="25400">
          <a:noFill/>
        </a:ln>
      </c:spPr>
    </c:plotArea>
    <c:legend>
      <c:legendPos val="r"/>
      <c:layout>
        <c:manualLayout>
          <c:xMode val="edge"/>
          <c:yMode val="edge"/>
          <c:x val="0.58656121614132006"/>
          <c:y val="5.0724637681159424E-2"/>
          <c:w val="0.29723317691258266"/>
          <c:h val="3.985519925951285E-2"/>
        </c:manualLayout>
      </c:layout>
      <c:overlay val="0"/>
      <c:spPr>
        <a:solidFill>
          <a:srgbClr val="FFFFFF"/>
        </a:solidFill>
        <a:ln w="25400">
          <a:noFill/>
        </a:ln>
      </c:spPr>
      <c:txPr>
        <a:bodyPr/>
        <a:lstStyle/>
        <a:p>
          <a:pPr>
            <a:defRPr sz="675" b="0" i="0" u="none" strike="noStrike" baseline="0">
              <a:solidFill>
                <a:srgbClr val="000000"/>
              </a:solidFill>
              <a:latin typeface="Tahoma"/>
              <a:ea typeface="Tahoma"/>
              <a:cs typeface="Tahoma"/>
            </a:defRPr>
          </a:pPr>
          <a:endParaRPr lang="pl-PL"/>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958568937272103E-2"/>
          <c:y val="6.4989517819706494E-2"/>
          <c:w val="0.85626398210290833"/>
          <c:h val="0.85255066387141853"/>
        </c:manualLayout>
      </c:layout>
      <c:scatterChart>
        <c:scatterStyle val="lineMarker"/>
        <c:varyColors val="0"/>
        <c:ser>
          <c:idx val="2"/>
          <c:order val="0"/>
          <c:tx>
            <c:v>Wskaźniki średnie</c:v>
          </c:tx>
          <c:spPr>
            <a:ln w="28575">
              <a:noFill/>
            </a:ln>
          </c:spPr>
          <c:marker>
            <c:symbol val="diamond"/>
            <c:size val="9"/>
            <c:spPr>
              <a:solidFill>
                <a:srgbClr val="99CCFF"/>
              </a:solidFill>
              <a:ln>
                <a:solidFill>
                  <a:srgbClr val="333399"/>
                </a:solidFill>
                <a:prstDash val="solid"/>
              </a:ln>
            </c:spPr>
          </c:marker>
          <c:xVal>
            <c:numRef>
              <c:f>'Tabele-koszty'!$M$7</c:f>
              <c:numCache>
                <c:formatCode>0.00</c:formatCode>
                <c:ptCount val="1"/>
                <c:pt idx="0">
                  <c:v>23749.824000000004</c:v>
                </c:pt>
              </c:numCache>
            </c:numRef>
          </c:xVal>
          <c:yVal>
            <c:numRef>
              <c:f>'Tabele-energia'!$N$7</c:f>
              <c:numCache>
                <c:formatCode>0.00</c:formatCode>
                <c:ptCount val="1"/>
                <c:pt idx="0">
                  <c:v>0.35</c:v>
                </c:pt>
              </c:numCache>
            </c:numRef>
          </c:yVal>
          <c:smooth val="0"/>
        </c:ser>
        <c:ser>
          <c:idx val="3"/>
          <c:order val="1"/>
          <c:tx>
            <c:v>Średnie w grupie</c:v>
          </c:tx>
          <c:spPr>
            <a:ln w="25400">
              <a:solidFill>
                <a:srgbClr val="99CCFF"/>
              </a:solidFill>
              <a:prstDash val="solid"/>
            </a:ln>
          </c:spPr>
          <c:marker>
            <c:symbol val="none"/>
          </c:marker>
          <c:dPt>
            <c:idx val="1"/>
            <c:bubble3D val="0"/>
            <c:spPr>
              <a:ln w="38100">
                <a:solidFill>
                  <a:srgbClr val="33CCCC"/>
                </a:solidFill>
                <a:prstDash val="solid"/>
              </a:ln>
            </c:spPr>
          </c:dPt>
          <c:dPt>
            <c:idx val="2"/>
            <c:bubble3D val="0"/>
            <c:spPr>
              <a:ln w="28575">
                <a:noFill/>
              </a:ln>
            </c:spPr>
          </c:dPt>
          <c:dPt>
            <c:idx val="3"/>
            <c:bubble3D val="0"/>
            <c:spPr>
              <a:ln w="38100">
                <a:solidFill>
                  <a:srgbClr val="33CCCC"/>
                </a:solidFill>
                <a:prstDash val="solid"/>
              </a:ln>
            </c:spPr>
          </c:dPt>
          <c:xVal>
            <c:numRef>
              <c:f>'Tabele-koszty'!$M$11:$M$14</c:f>
              <c:numCache>
                <c:formatCode>0.00</c:formatCode>
                <c:ptCount val="4"/>
                <c:pt idx="0">
                  <c:v>23749.824000000004</c:v>
                </c:pt>
                <c:pt idx="1">
                  <c:v>23749.824000000004</c:v>
                </c:pt>
                <c:pt idx="2">
                  <c:v>1432.41</c:v>
                </c:pt>
                <c:pt idx="3">
                  <c:v>73474.53</c:v>
                </c:pt>
              </c:numCache>
            </c:numRef>
          </c:xVal>
          <c:yVal>
            <c:numRef>
              <c:f>'Tabele-energia'!$N$11:$N$14</c:f>
              <c:numCache>
                <c:formatCode>0.00</c:formatCode>
                <c:ptCount val="4"/>
                <c:pt idx="0">
                  <c:v>6.5518181818181823E-2</c:v>
                </c:pt>
                <c:pt idx="1">
                  <c:v>0.52338965118201353</c:v>
                </c:pt>
                <c:pt idx="2">
                  <c:v>0.39233885109695871</c:v>
                </c:pt>
                <c:pt idx="3">
                  <c:v>0.39233885109695871</c:v>
                </c:pt>
              </c:numCache>
            </c:numRef>
          </c:yVal>
          <c:smooth val="0"/>
        </c:ser>
        <c:ser>
          <c:idx val="0"/>
          <c:order val="2"/>
          <c:tx>
            <c:v>Wskaźniki poszczególnych obiektów</c:v>
          </c:tx>
          <c:spPr>
            <a:ln w="28575">
              <a:noFill/>
            </a:ln>
          </c:spPr>
          <c:marker>
            <c:symbol val="circle"/>
            <c:size val="7"/>
            <c:spPr>
              <a:solidFill>
                <a:srgbClr val="FF0000"/>
              </a:solidFill>
              <a:ln>
                <a:solidFill>
                  <a:srgbClr val="FF0000"/>
                </a:solidFill>
                <a:prstDash val="solid"/>
              </a:ln>
            </c:spPr>
          </c:marker>
          <c:xVal>
            <c:numRef>
              <c:f>'Tabele-MIX'!$E$8:$E$45</c:f>
              <c:numCache>
                <c:formatCode>#,##0</c:formatCode>
                <c:ptCount val="38"/>
                <c:pt idx="0">
                  <c:v>51786.798000000003</c:v>
                </c:pt>
                <c:pt idx="1">
                  <c:v>46847.29</c:v>
                </c:pt>
                <c:pt idx="2">
                  <c:v>55283.54</c:v>
                </c:pt>
                <c:pt idx="3">
                  <c:v>13021.83</c:v>
                </c:pt>
                <c:pt idx="4">
                  <c:v>73474.53</c:v>
                </c:pt>
                <c:pt idx="5">
                  <c:v>7411.06</c:v>
                </c:pt>
                <c:pt idx="6">
                  <c:v>10397.280000000001</c:v>
                </c:pt>
                <c:pt idx="7">
                  <c:v>11921.45</c:v>
                </c:pt>
                <c:pt idx="8">
                  <c:v>3510.605</c:v>
                </c:pt>
                <c:pt idx="9">
                  <c:v>6300.02</c:v>
                </c:pt>
                <c:pt idx="10">
                  <c:v>3611.0749999999998</c:v>
                </c:pt>
                <c:pt idx="11">
                  <c:v>1432.41</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numCache>
            </c:numRef>
          </c:xVal>
          <c:yVal>
            <c:numRef>
              <c:f>'Tabele-MIX'!$F$8:$F$45</c:f>
              <c:numCache>
                <c:formatCode>0.00</c:formatCode>
                <c:ptCount val="38"/>
                <c:pt idx="0">
                  <c:v>0.52338965118201353</c:v>
                </c:pt>
                <c:pt idx="1">
                  <c:v>0.49548953974895388</c:v>
                </c:pt>
                <c:pt idx="2">
                  <c:v>0.48580636789467024</c:v>
                </c:pt>
                <c:pt idx="3">
                  <c:v>0.41474425887265137</c:v>
                </c:pt>
                <c:pt idx="4">
                  <c:v>0.36771111537324291</c:v>
                </c:pt>
                <c:pt idx="5">
                  <c:v>0.33982440944881892</c:v>
                </c:pt>
                <c:pt idx="6">
                  <c:v>0.33609600378340032</c:v>
                </c:pt>
                <c:pt idx="7">
                  <c:v>0.3178260869565217</c:v>
                </c:pt>
                <c:pt idx="8">
                  <c:v>0.19647683978343697</c:v>
                </c:pt>
                <c:pt idx="9">
                  <c:v>0.14806866952789699</c:v>
                </c:pt>
                <c:pt idx="10">
                  <c:v>9.4745636836242111E-2</c:v>
                </c:pt>
                <c:pt idx="11">
                  <c:v>6.5518181818181823E-2</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numCache>
            </c:numRef>
          </c:yVal>
          <c:smooth val="0"/>
        </c:ser>
        <c:ser>
          <c:idx val="1"/>
          <c:order val="3"/>
          <c:tx>
            <c:v>Poziom odniesienia</c:v>
          </c:tx>
          <c:spPr>
            <a:ln w="38100">
              <a:solidFill>
                <a:srgbClr val="008000"/>
              </a:solidFill>
              <a:prstDash val="solid"/>
            </a:ln>
          </c:spPr>
          <c:marker>
            <c:symbol val="none"/>
          </c:marker>
          <c:xVal>
            <c:numRef>
              <c:f>'Tabele-koszty'!$M$22:$M$23</c:f>
              <c:numCache>
                <c:formatCode>0.00</c:formatCode>
                <c:ptCount val="2"/>
                <c:pt idx="0">
                  <c:v>1432.41</c:v>
                </c:pt>
                <c:pt idx="1">
                  <c:v>73474.53</c:v>
                </c:pt>
              </c:numCache>
            </c:numRef>
          </c:xVal>
          <c:yVal>
            <c:numRef>
              <c:f>'Tabele-energia'!$N$22:$N$23</c:f>
              <c:numCache>
                <c:formatCode>0.00</c:formatCode>
                <c:ptCount val="2"/>
                <c:pt idx="0">
                  <c:v>0.35</c:v>
                </c:pt>
                <c:pt idx="1">
                  <c:v>0.35</c:v>
                </c:pt>
              </c:numCache>
            </c:numRef>
          </c:yVal>
          <c:smooth val="0"/>
        </c:ser>
        <c:dLbls>
          <c:showLegendKey val="0"/>
          <c:showVal val="0"/>
          <c:showCatName val="0"/>
          <c:showSerName val="0"/>
          <c:showPercent val="0"/>
          <c:showBubbleSize val="0"/>
        </c:dLbls>
        <c:axId val="677376048"/>
        <c:axId val="677378792"/>
      </c:scatterChart>
      <c:valAx>
        <c:axId val="677376048"/>
        <c:scaling>
          <c:orientation val="minMax"/>
          <c:min val="0"/>
        </c:scaling>
        <c:delete val="0"/>
        <c:axPos val="b"/>
        <c:majorGridlines>
          <c:spPr>
            <a:ln w="3175">
              <a:solidFill>
                <a:schemeClr val="bg2"/>
              </a:solidFill>
              <a:prstDash val="sysDash"/>
            </a:ln>
          </c:spPr>
        </c:majorGridlines>
        <c:title>
          <c:tx>
            <c:rich>
              <a:bodyPr/>
              <a:lstStyle/>
              <a:p>
                <a:pPr>
                  <a:defRPr sz="900" b="1" i="0" u="none" strike="noStrike" baseline="0">
                    <a:solidFill>
                      <a:srgbClr val="000000"/>
                    </a:solidFill>
                    <a:latin typeface="Arial CE"/>
                    <a:ea typeface="Arial CE"/>
                    <a:cs typeface="Arial CE"/>
                  </a:defRPr>
                </a:pPr>
                <a:r>
                  <a:rPr lang="pl-PL"/>
                  <a:t>Koszt roczny [zł/rok]</a:t>
                </a:r>
              </a:p>
            </c:rich>
          </c:tx>
          <c:layout>
            <c:manualLayout>
              <c:xMode val="edge"/>
              <c:yMode val="edge"/>
              <c:x val="0.38982103762851239"/>
              <c:y val="0.94968553459119498"/>
            </c:manualLayout>
          </c:layout>
          <c:overlay val="0"/>
          <c:spPr>
            <a:noFill/>
            <a:ln w="25400">
              <a:noFill/>
            </a:ln>
          </c:spPr>
        </c:title>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677378792"/>
        <c:crosses val="autoZero"/>
        <c:crossBetween val="midCat"/>
      </c:valAx>
      <c:valAx>
        <c:axId val="677378792"/>
        <c:scaling>
          <c:orientation val="minMax"/>
        </c:scaling>
        <c:delete val="0"/>
        <c:axPos val="l"/>
        <c:majorGridlines>
          <c:spPr>
            <a:ln w="3175">
              <a:solidFill>
                <a:schemeClr val="bg2"/>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pl-PL" sz="1000" b="1" i="0" u="none" strike="noStrike" baseline="0">
                    <a:solidFill>
                      <a:srgbClr val="000000"/>
                    </a:solidFill>
                    <a:latin typeface="Arial"/>
                    <a:cs typeface="Arial"/>
                  </a:rPr>
                  <a:t>Wskaźnik zużycia energii [GJ/m</a:t>
                </a:r>
                <a:r>
                  <a:rPr lang="pl-PL" sz="1000" b="1" i="0" u="none" strike="noStrike" baseline="30000">
                    <a:solidFill>
                      <a:srgbClr val="000000"/>
                    </a:solidFill>
                    <a:latin typeface="Arial"/>
                    <a:cs typeface="Arial"/>
                  </a:rPr>
                  <a:t>2</a:t>
                </a:r>
                <a:r>
                  <a:rPr lang="pl-PL" sz="1000" b="1" i="0" u="none" strike="noStrike" baseline="0">
                    <a:solidFill>
                      <a:srgbClr val="000000"/>
                    </a:solidFill>
                    <a:latin typeface="Arial"/>
                    <a:cs typeface="Arial"/>
                  </a:rPr>
                  <a:t>/rok]</a:t>
                </a:r>
              </a:p>
              <a:p>
                <a:pPr>
                  <a:defRPr sz="1100" b="0" i="0" u="none" strike="noStrike" baseline="0">
                    <a:solidFill>
                      <a:srgbClr val="000000"/>
                    </a:solidFill>
                    <a:latin typeface="Calibri"/>
                    <a:ea typeface="Calibri"/>
                    <a:cs typeface="Calibri"/>
                  </a:defRPr>
                </a:pPr>
                <a:endParaRPr lang="pl-PL" sz="1000" b="1" i="0" u="none" strike="noStrike" baseline="0">
                  <a:solidFill>
                    <a:srgbClr val="000000"/>
                  </a:solidFill>
                  <a:latin typeface="Arial"/>
                  <a:cs typeface="Arial"/>
                </a:endParaRPr>
              </a:p>
            </c:rich>
          </c:tx>
          <c:layout>
            <c:manualLayout>
              <c:xMode val="edge"/>
              <c:yMode val="edge"/>
              <c:x val="1.5100694572802813E-2"/>
              <c:y val="0.16981132075471697"/>
            </c:manualLayout>
          </c:layout>
          <c:overlay val="0"/>
          <c:spPr>
            <a:noFill/>
            <a:ln w="25400">
              <a:noFill/>
            </a:ln>
          </c:spPr>
        </c:title>
        <c:numFmt formatCode="0.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Arial CE"/>
                <a:ea typeface="Arial CE"/>
                <a:cs typeface="Arial CE"/>
              </a:defRPr>
            </a:pPr>
            <a:endParaRPr lang="pl-PL"/>
          </a:p>
        </c:txPr>
        <c:crossAx val="677376048"/>
        <c:crosses val="autoZero"/>
        <c:crossBetween val="midCat"/>
      </c:valAx>
      <c:spPr>
        <a:noFill/>
        <a:ln w="25400">
          <a:noFill/>
        </a:ln>
      </c:spPr>
    </c:plotArea>
    <c:legend>
      <c:legendPos val="r"/>
      <c:legendEntry>
        <c:idx val="1"/>
        <c:delete val="1"/>
      </c:legendEntry>
      <c:layout>
        <c:manualLayout>
          <c:xMode val="edge"/>
          <c:yMode val="edge"/>
          <c:x val="0.11971839200851067"/>
          <c:y val="2.2012688665489142E-2"/>
          <c:w val="0.80516489429431648"/>
          <c:h val="4.821802935010483E-2"/>
        </c:manualLayout>
      </c:layout>
      <c:overlay val="0"/>
      <c:spPr>
        <a:solidFill>
          <a:srgbClr val="FFFFFF"/>
        </a:solidFill>
        <a:ln w="25400">
          <a:noFill/>
        </a:ln>
      </c:spPr>
      <c:txPr>
        <a:bodyPr/>
        <a:lstStyle/>
        <a:p>
          <a:pPr>
            <a:defRPr sz="82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Times New Roman CE"/>
          <a:ea typeface="Times New Roman CE"/>
          <a:cs typeface="Times New Roman CE"/>
        </a:defRPr>
      </a:pPr>
      <a:endParaRPr lang="pl-PL"/>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57163052758655"/>
          <c:y val="4.72972972972973E-2"/>
          <c:w val="0.88381116780351154"/>
          <c:h val="0.85810810810810811"/>
        </c:manualLayout>
      </c:layout>
      <c:barChart>
        <c:barDir val="col"/>
        <c:grouping val="clustered"/>
        <c:varyColors val="0"/>
        <c:ser>
          <c:idx val="0"/>
          <c:order val="0"/>
          <c:spPr>
            <a:solidFill>
              <a:srgbClr val="33CCCC"/>
            </a:solidFill>
            <a:ln w="25400">
              <a:noFill/>
            </a:ln>
          </c:spPr>
          <c:invertIfNegative val="0"/>
          <c:dLbls>
            <c:dLbl>
              <c:idx val="0"/>
              <c:layout>
                <c:manualLayout>
                  <c:x val="-2.058082820619072E-3"/>
                  <c:y val="1.571460410260059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472292178052633E-3"/>
                  <c:y val="9.640166108682381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8191314142412454E-3"/>
                  <c:y val="3.732632774028332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5.2578447936922953E-3"/>
                  <c:y val="5.018418544822947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7.6965581731433452E-3"/>
                  <c:y val="1.663017053560282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8.1783501758635954E-3"/>
                  <c:y val="2.055430073179531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8.5251894120523183E-3"/>
                  <c:y val="8.786333577712784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Mode val="edge"/>
                  <c:yMode val="edge"/>
                  <c:x val="0.94939271255060731"/>
                  <c:y val="0.81884347699939497"/>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Mode val="edge"/>
                  <c:yMode val="edge"/>
                  <c:x val="0.97975708502024295"/>
                  <c:y val="0.83695948312770019"/>
                </c:manualLayout>
              </c:layout>
              <c:numFmt formatCode="0.0%" sourceLinked="0"/>
              <c:spPr>
                <a:noFill/>
                <a:ln w="25400">
                  <a:noFill/>
                </a:ln>
              </c:spPr>
              <c:txPr>
                <a:bodyPr/>
                <a:lstStyle/>
                <a:p>
                  <a:pPr>
                    <a:defRPr sz="800" b="0"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400">
                <a:noFill/>
              </a:ln>
            </c:spPr>
            <c:txPr>
              <a:bodyPr/>
              <a:lstStyle/>
              <a:p>
                <a:pPr>
                  <a:defRPr sz="800" b="0" i="0" u="none" strike="noStrike" baseline="0">
                    <a:solidFill>
                      <a:srgbClr val="000000"/>
                    </a:solidFill>
                    <a:latin typeface="Tahoma"/>
                    <a:ea typeface="Tahoma"/>
                    <a:cs typeface="Tahoma"/>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NSP_2002!$C$45:$C$51</c:f>
              <c:strCache>
                <c:ptCount val="7"/>
                <c:pt idx="0">
                  <c:v>przed 1918</c:v>
                </c:pt>
                <c:pt idx="1">
                  <c:v>1918-1944</c:v>
                </c:pt>
                <c:pt idx="2">
                  <c:v>1945-1970</c:v>
                </c:pt>
                <c:pt idx="3">
                  <c:v>1971-1978</c:v>
                </c:pt>
                <c:pt idx="4">
                  <c:v>1979-1988</c:v>
                </c:pt>
                <c:pt idx="5">
                  <c:v>1989-2002</c:v>
                </c:pt>
                <c:pt idx="6">
                  <c:v>2002-2019</c:v>
                </c:pt>
              </c:strCache>
            </c:strRef>
          </c:cat>
          <c:val>
            <c:numRef>
              <c:f>NSP_2002!$E$45:$E$51</c:f>
              <c:numCache>
                <c:formatCode>0.00%</c:formatCode>
                <c:ptCount val="7"/>
                <c:pt idx="0">
                  <c:v>5.9233449477351915E-2</c:v>
                </c:pt>
                <c:pt idx="1">
                  <c:v>0.14982578397212543</c:v>
                </c:pt>
                <c:pt idx="2">
                  <c:v>0.3519163763066202</c:v>
                </c:pt>
                <c:pt idx="3">
                  <c:v>0.14634146341463414</c:v>
                </c:pt>
                <c:pt idx="4">
                  <c:v>0.14111498257839722</c:v>
                </c:pt>
                <c:pt idx="5">
                  <c:v>0.15156794425087108</c:v>
                </c:pt>
                <c:pt idx="6">
                  <c:v>0</c:v>
                </c:pt>
              </c:numCache>
            </c:numRef>
          </c:val>
        </c:ser>
        <c:dLbls>
          <c:showLegendKey val="0"/>
          <c:showVal val="0"/>
          <c:showCatName val="0"/>
          <c:showSerName val="0"/>
          <c:showPercent val="0"/>
          <c:showBubbleSize val="0"/>
        </c:dLbls>
        <c:gapWidth val="150"/>
        <c:axId val="635060688"/>
        <c:axId val="635061080"/>
      </c:barChart>
      <c:catAx>
        <c:axId val="635060688"/>
        <c:scaling>
          <c:orientation val="minMax"/>
        </c:scaling>
        <c:delete val="0"/>
        <c:axPos val="b"/>
        <c:numFmt formatCode="General"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635061080"/>
        <c:crossesAt val="0"/>
        <c:auto val="1"/>
        <c:lblAlgn val="ctr"/>
        <c:lblOffset val="100"/>
        <c:tickLblSkip val="1"/>
        <c:tickMarkSkip val="1"/>
        <c:noMultiLvlLbl val="1"/>
      </c:catAx>
      <c:valAx>
        <c:axId val="635061080"/>
        <c:scaling>
          <c:orientation val="minMax"/>
        </c:scaling>
        <c:delete val="0"/>
        <c:axPos val="l"/>
        <c:majorGridlines>
          <c:spPr>
            <a:ln w="12700">
              <a:solidFill>
                <a:srgbClr val="C0C0C0"/>
              </a:solidFill>
              <a:prstDash val="solid"/>
            </a:ln>
          </c:spPr>
        </c:majorGridlines>
        <c:numFmt formatCode="0%" sourceLinked="0"/>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ahoma"/>
                <a:ea typeface="Tahoma"/>
                <a:cs typeface="Tahoma"/>
              </a:defRPr>
            </a:pPr>
            <a:endParaRPr lang="pl-PL"/>
          </a:p>
        </c:txPr>
        <c:crossAx val="635060688"/>
        <c:crosses val="autoZero"/>
        <c:crossBetween val="between"/>
        <c:majorUnit val="0.1"/>
        <c:minorUnit val="2.5000000000000001E-2"/>
      </c:valAx>
      <c:spPr>
        <a:noFill/>
        <a:ln w="25400">
          <a:noFill/>
        </a:ln>
      </c:spPr>
    </c:plotArea>
    <c:plotVisOnly val="1"/>
    <c:dispBlanksAs val="gap"/>
    <c:showDLblsOverMax val="0"/>
  </c:chart>
  <c:spPr>
    <a:solidFill>
      <a:srgbClr val="FFFFFF"/>
    </a:solidFill>
    <a:ln w="3175">
      <a:noFill/>
      <a:prstDash val="solid"/>
    </a:ln>
  </c:spPr>
  <c:txPr>
    <a:bodyPr/>
    <a:lstStyle/>
    <a:p>
      <a:pPr>
        <a:defRPr sz="925" b="0" i="0" u="none" strike="noStrike" baseline="0">
          <a:solidFill>
            <a:srgbClr val="000000"/>
          </a:solidFill>
          <a:latin typeface="Arial"/>
          <a:ea typeface="Arial"/>
          <a:cs typeface="Arial"/>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7539434821884828"/>
          <c:y val="0"/>
          <c:w val="0.62362610151804132"/>
          <c:h val="0.8833333333333333"/>
        </c:manualLayout>
      </c:layout>
      <c:pie3DChart>
        <c:varyColors val="1"/>
        <c:ser>
          <c:idx val="0"/>
          <c:order val="0"/>
          <c:explosion val="25"/>
          <c:dLbls>
            <c:numFmt formatCode="0.0%" sourceLinked="0"/>
            <c:spPr>
              <a:noFill/>
              <a:ln>
                <a:noFill/>
              </a:ln>
              <a:effectLst/>
            </c:spPr>
            <c:dLblPos val="outEnd"/>
            <c:showLegendKey val="1"/>
            <c:showVal val="0"/>
            <c:showCatName val="0"/>
            <c:showSerName val="0"/>
            <c:showPercent val="1"/>
            <c:showBubbleSize val="0"/>
            <c:showLeaderLines val="1"/>
            <c:extLst>
              <c:ext xmlns:c15="http://schemas.microsoft.com/office/drawing/2012/chart" uri="{CE6537A1-D6FC-4f65-9D91-7224C49458BB}"/>
            </c:extLst>
          </c:dLbls>
          <c:cat>
            <c:strRef>
              <c:f>wykresy!$B$30:$B$34</c:f>
              <c:strCache>
                <c:ptCount val="4"/>
                <c:pt idx="0">
                  <c:v>Gospodarstwa domowe i rolne</c:v>
                </c:pt>
                <c:pt idx="1">
                  <c:v>Użyteczność publiczna</c:v>
                </c:pt>
                <c:pt idx="2">
                  <c:v>Handel, usługi, przedsiębiorstwa </c:v>
                </c:pt>
                <c:pt idx="3">
                  <c:v>Oświetlenie ulic</c:v>
                </c:pt>
              </c:strCache>
            </c:strRef>
          </c:cat>
          <c:val>
            <c:numRef>
              <c:f>wykresy!$C$30:$C$34</c:f>
              <c:numCache>
                <c:formatCode>#,##0</c:formatCode>
                <c:ptCount val="4"/>
                <c:pt idx="0">
                  <c:v>38704.932967841843</c:v>
                </c:pt>
                <c:pt idx="1">
                  <c:v>1444.5411696262972</c:v>
                </c:pt>
                <c:pt idx="2">
                  <c:v>7508.3570017332222</c:v>
                </c:pt>
                <c:pt idx="3">
                  <c:v>387.36599999999999</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12126059879654484"/>
          <c:y val="0.84688024934383199"/>
          <c:w val="0.75747861008179773"/>
          <c:h val="0.12811975065616796"/>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7539434821884828"/>
          <c:y val="0"/>
          <c:w val="0.62362610151804132"/>
          <c:h val="0.8833333333333333"/>
        </c:manualLayout>
      </c:layout>
      <c:pie3DChart>
        <c:varyColors val="1"/>
        <c:ser>
          <c:idx val="0"/>
          <c:order val="0"/>
          <c:explosion val="25"/>
          <c:dLbls>
            <c:numFmt formatCode="0.0%" sourceLinked="0"/>
            <c:spPr>
              <a:noFill/>
              <a:ln>
                <a:noFill/>
              </a:ln>
              <a:effectLst/>
            </c:spPr>
            <c:dLblPos val="outEnd"/>
            <c:showLegendKey val="1"/>
            <c:showVal val="0"/>
            <c:showCatName val="0"/>
            <c:showSerName val="0"/>
            <c:showPercent val="1"/>
            <c:showBubbleSize val="0"/>
            <c:showLeaderLines val="1"/>
            <c:extLst>
              <c:ext xmlns:c15="http://schemas.microsoft.com/office/drawing/2012/chart" uri="{CE6537A1-D6FC-4f65-9D91-7224C49458BB}"/>
            </c:extLst>
          </c:dLbls>
          <c:cat>
            <c:strRef>
              <c:f>wykresy!$B$5:$B$8</c:f>
              <c:strCache>
                <c:ptCount val="3"/>
                <c:pt idx="0">
                  <c:v>Mieszkalnictwo</c:v>
                </c:pt>
                <c:pt idx="1">
                  <c:v>Użyteczność publiczna</c:v>
                </c:pt>
                <c:pt idx="2">
                  <c:v>Handel, usługi, przedsiębiorstwa </c:v>
                </c:pt>
              </c:strCache>
            </c:strRef>
          </c:cat>
          <c:val>
            <c:numRef>
              <c:f>wykresy!$C$5:$C$8</c:f>
              <c:numCache>
                <c:formatCode>0.0</c:formatCode>
                <c:ptCount val="3"/>
                <c:pt idx="0">
                  <c:v>28.138314999999999</c:v>
                </c:pt>
                <c:pt idx="1">
                  <c:v>0.86560676000000003</c:v>
                </c:pt>
                <c:pt idx="2">
                  <c:v>4.3464791992002656</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12126059879654484"/>
          <c:y val="0.84688024934383199"/>
          <c:w val="0.75747861008179773"/>
          <c:h val="0.12811975065616796"/>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7539434821884828"/>
          <c:y val="0"/>
          <c:w val="0.62362610151804132"/>
          <c:h val="0.8833333333333333"/>
        </c:manualLayout>
      </c:layout>
      <c:pie3DChart>
        <c:varyColors val="1"/>
        <c:ser>
          <c:idx val="0"/>
          <c:order val="0"/>
          <c:explosion val="25"/>
          <c:dLbls>
            <c:numFmt formatCode="0.0%" sourceLinked="0"/>
            <c:spPr>
              <a:noFill/>
              <a:ln>
                <a:noFill/>
              </a:ln>
              <a:effectLst/>
            </c:spPr>
            <c:dLblPos val="outEnd"/>
            <c:showLegendKey val="1"/>
            <c:showVal val="0"/>
            <c:showCatName val="0"/>
            <c:showSerName val="0"/>
            <c:showPercent val="1"/>
            <c:showBubbleSize val="0"/>
            <c:showLeaderLines val="1"/>
            <c:extLst>
              <c:ext xmlns:c15="http://schemas.microsoft.com/office/drawing/2012/chart" uri="{CE6537A1-D6FC-4f65-9D91-7224C49458BB}"/>
            </c:extLst>
          </c:dLbls>
          <c:cat>
            <c:strRef>
              <c:f>wykresy!$B$13:$B$16</c:f>
              <c:strCache>
                <c:ptCount val="3"/>
                <c:pt idx="0">
                  <c:v>Mieszkalnictwo</c:v>
                </c:pt>
                <c:pt idx="1">
                  <c:v>Użyteczność publiczna</c:v>
                </c:pt>
                <c:pt idx="2">
                  <c:v>Handel, usługi, przedsiębiorstwa </c:v>
                </c:pt>
              </c:strCache>
            </c:strRef>
          </c:cat>
          <c:val>
            <c:numRef>
              <c:f>wykresy!$C$13:$C$16</c:f>
              <c:numCache>
                <c:formatCode>0</c:formatCode>
                <c:ptCount val="3"/>
                <c:pt idx="0">
                  <c:v>131351.766</c:v>
                </c:pt>
                <c:pt idx="1">
                  <c:v>2773.92148972</c:v>
                </c:pt>
                <c:pt idx="2">
                  <c:v>19317.867000000002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12126059879654484"/>
          <c:y val="0.84688024934383199"/>
          <c:w val="0.75747861008179773"/>
          <c:h val="0.12811975065616796"/>
        </c:manualLayout>
      </c:layout>
      <c:overlay val="0"/>
      <c:txPr>
        <a:bodyPr/>
        <a:lstStyle/>
        <a:p>
          <a:pPr rtl="0">
            <a:defRPr/>
          </a:pPr>
          <a:endParaRPr lang="pl-PL"/>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dLbl>
              <c:idx val="0"/>
              <c:layout>
                <c:manualLayout>
                  <c:x val="0.11869767522840739"/>
                  <c:y val="-0.10670511256515471"/>
                </c:manualLayout>
              </c:layout>
              <c:showLegendKey val="1"/>
              <c:showVal val="0"/>
              <c:showCatName val="0"/>
              <c:showSerName val="0"/>
              <c:showPercent val="1"/>
              <c:showBubbleSize val="0"/>
              <c:extLst>
                <c:ext xmlns:c15="http://schemas.microsoft.com/office/drawing/2012/chart" uri="{CE6537A1-D6FC-4f65-9D91-7224C49458BB}"/>
              </c:extLst>
            </c:dLbl>
            <c:dLbl>
              <c:idx val="1"/>
              <c:layout>
                <c:manualLayout>
                  <c:x val="-0.10148975159199627"/>
                  <c:y val="8.6192155558020039E-2"/>
                </c:manualLayout>
              </c:layout>
              <c:showLegendKey val="1"/>
              <c:showVal val="0"/>
              <c:showCatName val="0"/>
              <c:showSerName val="0"/>
              <c:showPercent val="1"/>
              <c:showBubbleSize val="0"/>
              <c:extLst>
                <c:ext xmlns:c15="http://schemas.microsoft.com/office/drawing/2012/chart" uri="{CE6537A1-D6FC-4f65-9D91-7224C49458BB}"/>
              </c:extLst>
            </c:dLbl>
            <c:dLbl>
              <c:idx val="2"/>
              <c:layout>
                <c:manualLayout>
                  <c:x val="-0.11829270097456722"/>
                  <c:y val="-1.1219400391852426E-2"/>
                </c:manualLayout>
              </c:layout>
              <c:showLegendKey val="1"/>
              <c:showVal val="0"/>
              <c:showCatName val="0"/>
              <c:showSerName val="0"/>
              <c:showPercent val="1"/>
              <c:showBubbleSize val="0"/>
              <c:extLst>
                <c:ext xmlns:c15="http://schemas.microsoft.com/office/drawing/2012/chart" uri="{CE6537A1-D6FC-4f65-9D91-7224C49458BB}"/>
              </c:extLst>
            </c:dLbl>
            <c:dLbl>
              <c:idx val="3"/>
              <c:layout>
                <c:manualLayout>
                  <c:x val="-0.10021963672451391"/>
                  <c:y val="-0.11282776976821561"/>
                </c:manualLayout>
              </c:layout>
              <c:showLegendKey val="1"/>
              <c:showVal val="0"/>
              <c:showCatName val="0"/>
              <c:showSerName val="0"/>
              <c:showPercent val="1"/>
              <c:showBubbleSize val="0"/>
              <c:extLst>
                <c:ext xmlns:c15="http://schemas.microsoft.com/office/drawing/2012/chart" uri="{CE6537A1-D6FC-4f65-9D91-7224C49458BB}"/>
              </c:extLst>
            </c:dLbl>
            <c:dLbl>
              <c:idx val="4"/>
              <c:layout>
                <c:manualLayout>
                  <c:x val="-6.5362949034355786E-2"/>
                  <c:y val="-0.15755395364311855"/>
                </c:manualLayout>
              </c:layout>
              <c:showLegendKey val="1"/>
              <c:showVal val="0"/>
              <c:showCatName val="0"/>
              <c:showSerName val="0"/>
              <c:showPercent val="1"/>
              <c:showBubbleSize val="0"/>
              <c:extLst>
                <c:ext xmlns:c15="http://schemas.microsoft.com/office/drawing/2012/chart" uri="{CE6537A1-D6FC-4f65-9D91-7224C49458BB}"/>
              </c:extLst>
            </c:dLbl>
            <c:dLbl>
              <c:idx val="5"/>
              <c:layout>
                <c:manualLayout>
                  <c:x val="-5.8851847499162106E-3"/>
                  <c:y val="-0.16121341170381873"/>
                </c:manualLayout>
              </c:layout>
              <c:showLegendKey val="1"/>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5.0856826976229959E-2"/>
                  <c:y val="-0.1514386898820746"/>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1"/>
            <c:extLst>
              <c:ext xmlns:c15="http://schemas.microsoft.com/office/drawing/2012/chart" uri="{CE6537A1-D6FC-4f65-9D91-7224C49458BB}"/>
            </c:extLst>
          </c:dLbls>
          <c:cat>
            <c:strRef>
              <c:f>wykresy!$F$48:$F$55</c:f>
              <c:strCache>
                <c:ptCount val="8"/>
                <c:pt idx="0">
                  <c:v>węgiel</c:v>
                </c:pt>
                <c:pt idx="1">
                  <c:v>drewno</c:v>
                </c:pt>
                <c:pt idx="2">
                  <c:v>olej opałowy</c:v>
                </c:pt>
                <c:pt idx="3">
                  <c:v>energia elektryczna</c:v>
                </c:pt>
                <c:pt idx="4">
                  <c:v>Gaz LPG</c:v>
                </c:pt>
                <c:pt idx="5">
                  <c:v>gaz ziemny</c:v>
                </c:pt>
                <c:pt idx="6">
                  <c:v>ciepło sieciowe</c:v>
                </c:pt>
                <c:pt idx="7">
                  <c:v>OZE</c:v>
                </c:pt>
              </c:strCache>
            </c:strRef>
          </c:cat>
          <c:val>
            <c:numRef>
              <c:f>wykresy!$G$48:$G$55</c:f>
              <c:numCache>
                <c:formatCode>0</c:formatCode>
                <c:ptCount val="8"/>
                <c:pt idx="0">
                  <c:v>146157.00688792736</c:v>
                </c:pt>
                <c:pt idx="1">
                  <c:v>18938.153862436011</c:v>
                </c:pt>
                <c:pt idx="2">
                  <c:v>23299.850331992351</c:v>
                </c:pt>
                <c:pt idx="3">
                  <c:v>40324.697999999997</c:v>
                </c:pt>
                <c:pt idx="4">
                  <c:v>3248.2143688244423</c:v>
                </c:pt>
                <c:pt idx="5">
                  <c:v>4453.3872668851</c:v>
                </c:pt>
                <c:pt idx="6">
                  <c:v>0</c:v>
                </c:pt>
                <c:pt idx="7" formatCode="_-* #,##0\ _z_ł_-;\-* #,##0\ _z_ł_-;_-* &quot;-&quot;??\ _z_ł_-;_-@_-">
                  <c:v>1538.28</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6"/>
        <c:delete val="1"/>
      </c:legendEntry>
      <c:layout>
        <c:manualLayout>
          <c:xMode val="edge"/>
          <c:yMode val="edge"/>
          <c:x val="0.75842724993232569"/>
          <c:y val="0.26551503766304452"/>
          <c:w val="0.22737650618514696"/>
          <c:h val="0.49352752529964622"/>
        </c:manualLayout>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0.82913</cdr:x>
      <cdr:y>0.55647</cdr:y>
    </cdr:from>
    <cdr:to>
      <cdr:x>0.90116</cdr:x>
      <cdr:y>0.86994</cdr:y>
    </cdr:to>
    <cdr:sp macro="" textlink="">
      <cdr:nvSpPr>
        <cdr:cNvPr id="2" name="Prostokąt 1"/>
        <cdr:cNvSpPr/>
      </cdr:nvSpPr>
      <cdr:spPr>
        <a:xfrm xmlns:a="http://schemas.openxmlformats.org/drawingml/2006/main">
          <a:off x="4118775" y="1820848"/>
          <a:ext cx="357808" cy="102571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l-PL"/>
        </a:p>
      </cdr:txBody>
    </cdr:sp>
  </cdr:relSizeAnchor>
</c:userShapes>
</file>

<file path=word/drawings/drawing2.xml><?xml version="1.0" encoding="utf-8"?>
<c:userShapes xmlns:c="http://schemas.openxmlformats.org/drawingml/2006/chart">
  <cdr:relSizeAnchor xmlns:cdr="http://schemas.openxmlformats.org/drawingml/2006/chartDrawing">
    <cdr:from>
      <cdr:x>0.85242</cdr:x>
      <cdr:y>0.51745</cdr:y>
    </cdr:from>
    <cdr:to>
      <cdr:x>0.92212</cdr:x>
      <cdr:y>0.86991</cdr:y>
    </cdr:to>
    <cdr:sp macro="" textlink="">
      <cdr:nvSpPr>
        <cdr:cNvPr id="2" name="Prostokąt 1"/>
        <cdr:cNvSpPr/>
      </cdr:nvSpPr>
      <cdr:spPr>
        <a:xfrm xmlns:a="http://schemas.openxmlformats.org/drawingml/2006/main">
          <a:off x="4376309" y="1505888"/>
          <a:ext cx="357808" cy="102571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3.xml><?xml version="1.0" encoding="utf-8"?>
<c:userShapes xmlns:c="http://schemas.openxmlformats.org/drawingml/2006/chart">
  <cdr:relSizeAnchor xmlns:cdr="http://schemas.openxmlformats.org/drawingml/2006/chartDrawing">
    <cdr:from>
      <cdr:x>0.48623</cdr:x>
      <cdr:y>0.51365</cdr:y>
    </cdr:from>
    <cdr:to>
      <cdr:x>0.51401</cdr:x>
      <cdr:y>0.60179</cdr:y>
    </cdr:to>
    <cdr:sp macro="" textlink="">
      <cdr:nvSpPr>
        <cdr:cNvPr id="25601" name="Text Box 1"/>
        <cdr:cNvSpPr txBox="1">
          <a:spLocks xmlns:a="http://schemas.openxmlformats.org/drawingml/2006/main" noChangeArrowheads="1"/>
        </cdr:cNvSpPr>
      </cdr:nvSpPr>
      <cdr:spPr bwMode="auto">
        <a:xfrm xmlns:a="http://schemas.openxmlformats.org/drawingml/2006/main">
          <a:off x="1412194" y="869950"/>
          <a:ext cx="75595" cy="16219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pl-PL" sz="800" b="0" i="0" u="none" strike="noStrike" baseline="0">
              <a:solidFill>
                <a:srgbClr val="000000"/>
              </a:solidFill>
              <a:latin typeface="Arial CE"/>
              <a:cs typeface="Arial CE"/>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0.48937</cdr:x>
      <cdr:y>0.51294</cdr:y>
    </cdr:from>
    <cdr:to>
      <cdr:x>0.51691</cdr:x>
      <cdr:y>0.60038</cdr:y>
    </cdr:to>
    <cdr:sp macro="" textlink="">
      <cdr:nvSpPr>
        <cdr:cNvPr id="25601" name="Text Box 1"/>
        <cdr:cNvSpPr txBox="1">
          <a:spLocks xmlns:a="http://schemas.openxmlformats.org/drawingml/2006/main" noChangeArrowheads="1"/>
        </cdr:cNvSpPr>
      </cdr:nvSpPr>
      <cdr:spPr bwMode="auto">
        <a:xfrm xmlns:a="http://schemas.openxmlformats.org/drawingml/2006/main">
          <a:off x="1412194" y="869950"/>
          <a:ext cx="75595" cy="16219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pl-PL" sz="800" b="0" i="0" u="none" strike="noStrike" baseline="0">
              <a:solidFill>
                <a:srgbClr val="000000"/>
              </a:solidFill>
              <a:latin typeface="Arial CE"/>
              <a:cs typeface="Arial CE"/>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0.11802</cdr:x>
      <cdr:y>0.79788</cdr:y>
    </cdr:from>
    <cdr:to>
      <cdr:x>0.14112</cdr:x>
      <cdr:y>0.83263</cdr:y>
    </cdr:to>
    <cdr:sp macro="" textlink="">
      <cdr:nvSpPr>
        <cdr:cNvPr id="82948" name="Rectangle 1028"/>
        <cdr:cNvSpPr>
          <a:spLocks xmlns:a="http://schemas.openxmlformats.org/drawingml/2006/main" noChangeArrowheads="1"/>
        </cdr:cNvSpPr>
      </cdr:nvSpPr>
      <cdr:spPr bwMode="auto">
        <a:xfrm xmlns:a="http://schemas.openxmlformats.org/drawingml/2006/main">
          <a:off x="762277" y="3625875"/>
          <a:ext cx="129995" cy="1571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0.63299</cdr:x>
      <cdr:y>0.25387</cdr:y>
    </cdr:from>
    <cdr:to>
      <cdr:x>0.69666</cdr:x>
      <cdr:y>0.31457</cdr:y>
    </cdr:to>
    <cdr:sp macro="" textlink="">
      <cdr:nvSpPr>
        <cdr:cNvPr id="82950" name="Text Box 1030"/>
        <cdr:cNvSpPr txBox="1">
          <a:spLocks xmlns:a="http://schemas.openxmlformats.org/drawingml/2006/main" noChangeArrowheads="1"/>
        </cdr:cNvSpPr>
      </cdr:nvSpPr>
      <cdr:spPr bwMode="auto">
        <a:xfrm xmlns:a="http://schemas.openxmlformats.org/drawingml/2006/main">
          <a:off x="3852695" y="1153425"/>
          <a:ext cx="387526" cy="27578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1">
            <a:defRPr sz="1000"/>
          </a:pPr>
          <a:r>
            <a:rPr lang="pl-PL" sz="1200" b="1" i="0" strike="noStrike">
              <a:solidFill>
                <a:srgbClr val="000000"/>
              </a:solidFill>
              <a:latin typeface="Arial"/>
              <a:cs typeface="Arial"/>
            </a:rPr>
            <a:t>G1</a:t>
          </a:r>
        </a:p>
      </cdr:txBody>
    </cdr:sp>
  </cdr:relSizeAnchor>
  <cdr:relSizeAnchor xmlns:cdr="http://schemas.openxmlformats.org/drawingml/2006/chartDrawing">
    <cdr:from>
      <cdr:x>0.22703</cdr:x>
      <cdr:y>0.23185</cdr:y>
    </cdr:from>
    <cdr:to>
      <cdr:x>0.27914</cdr:x>
      <cdr:y>0.28276</cdr:y>
    </cdr:to>
    <cdr:sp macro="" textlink="">
      <cdr:nvSpPr>
        <cdr:cNvPr id="82951" name="Text Box 1031"/>
        <cdr:cNvSpPr txBox="1">
          <a:spLocks xmlns:a="http://schemas.openxmlformats.org/drawingml/2006/main" noChangeArrowheads="1"/>
        </cdr:cNvSpPr>
      </cdr:nvSpPr>
      <cdr:spPr bwMode="auto">
        <a:xfrm xmlns:a="http://schemas.openxmlformats.org/drawingml/2006/main">
          <a:off x="1381797" y="1053380"/>
          <a:ext cx="317166" cy="2313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1">
            <a:defRPr sz="1000"/>
          </a:pPr>
          <a:r>
            <a:rPr lang="pl-PL" sz="1200" b="1" i="0" strike="noStrike">
              <a:solidFill>
                <a:srgbClr val="000000"/>
              </a:solidFill>
              <a:latin typeface="Arial"/>
              <a:cs typeface="Arial"/>
            </a:rPr>
            <a:t>G2</a:t>
          </a:r>
        </a:p>
      </cdr:txBody>
    </cdr:sp>
  </cdr:relSizeAnchor>
  <cdr:relSizeAnchor xmlns:cdr="http://schemas.openxmlformats.org/drawingml/2006/chartDrawing">
    <cdr:from>
      <cdr:x>0.63118</cdr:x>
      <cdr:y>0.58344</cdr:y>
    </cdr:from>
    <cdr:to>
      <cdr:x>0.68723</cdr:x>
      <cdr:y>0.64317</cdr:y>
    </cdr:to>
    <cdr:sp macro="" textlink="">
      <cdr:nvSpPr>
        <cdr:cNvPr id="82952" name="Text Box 1032"/>
        <cdr:cNvSpPr txBox="1">
          <a:spLocks xmlns:a="http://schemas.openxmlformats.org/drawingml/2006/main" noChangeArrowheads="1"/>
        </cdr:cNvSpPr>
      </cdr:nvSpPr>
      <cdr:spPr bwMode="auto">
        <a:xfrm xmlns:a="http://schemas.openxmlformats.org/drawingml/2006/main">
          <a:off x="3841663" y="2650796"/>
          <a:ext cx="341147" cy="27137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1">
            <a:defRPr sz="1000"/>
          </a:pPr>
          <a:r>
            <a:rPr lang="pl-PL" sz="1200" b="1" i="0" strike="noStrike">
              <a:solidFill>
                <a:srgbClr val="000000"/>
              </a:solidFill>
              <a:latin typeface="Arial"/>
              <a:cs typeface="Arial"/>
            </a:rPr>
            <a:t>G3</a:t>
          </a:r>
        </a:p>
      </cdr:txBody>
    </cdr:sp>
  </cdr:relSizeAnchor>
  <cdr:relSizeAnchor xmlns:cdr="http://schemas.openxmlformats.org/drawingml/2006/chartDrawing">
    <cdr:from>
      <cdr:x>0.23198</cdr:x>
      <cdr:y>0.5976</cdr:y>
    </cdr:from>
    <cdr:to>
      <cdr:x>0.30131</cdr:x>
      <cdr:y>0.65067</cdr:y>
    </cdr:to>
    <cdr:sp macro="" textlink="">
      <cdr:nvSpPr>
        <cdr:cNvPr id="82953" name="Text Box 1033"/>
        <cdr:cNvSpPr txBox="1">
          <a:spLocks xmlns:a="http://schemas.openxmlformats.org/drawingml/2006/main" noChangeArrowheads="1"/>
        </cdr:cNvSpPr>
      </cdr:nvSpPr>
      <cdr:spPr bwMode="auto">
        <a:xfrm xmlns:a="http://schemas.openxmlformats.org/drawingml/2006/main">
          <a:off x="1411934" y="2715138"/>
          <a:ext cx="421975" cy="2411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1">
            <a:defRPr sz="1000"/>
          </a:pPr>
          <a:r>
            <a:rPr lang="pl-PL" sz="1200" b="1" i="0" strike="noStrike">
              <a:solidFill>
                <a:srgbClr val="000000"/>
              </a:solidFill>
              <a:latin typeface="Arial"/>
              <a:cs typeface="Arial"/>
            </a:rPr>
            <a:t>G4</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28587-5D89-4DDF-B44C-F82718347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32835</Words>
  <Characters>197015</Characters>
  <Application>Microsoft Office Word</Application>
  <DocSecurity>0</DocSecurity>
  <Lines>1641</Lines>
  <Paragraphs>458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229392</CharactersWithSpaces>
  <SharedDoc>false</SharedDoc>
  <HLinks>
    <vt:vector size="1074" baseType="variant">
      <vt:variant>
        <vt:i4>6553696</vt:i4>
      </vt:variant>
      <vt:variant>
        <vt:i4>1521</vt:i4>
      </vt:variant>
      <vt:variant>
        <vt:i4>0</vt:i4>
      </vt:variant>
      <vt:variant>
        <vt:i4>5</vt:i4>
      </vt:variant>
      <vt:variant>
        <vt:lpwstr>http://www.ure.pl/</vt:lpwstr>
      </vt:variant>
      <vt:variant>
        <vt:lpwstr/>
      </vt:variant>
      <vt:variant>
        <vt:i4>6357089</vt:i4>
      </vt:variant>
      <vt:variant>
        <vt:i4>1512</vt:i4>
      </vt:variant>
      <vt:variant>
        <vt:i4>0</vt:i4>
      </vt:variant>
      <vt:variant>
        <vt:i4>5</vt:i4>
      </vt:variant>
      <vt:variant>
        <vt:lpwstr>http://www.pse.pl/</vt:lpwstr>
      </vt:variant>
      <vt:variant>
        <vt:lpwstr/>
      </vt:variant>
      <vt:variant>
        <vt:i4>1966143</vt:i4>
      </vt:variant>
      <vt:variant>
        <vt:i4>1064</vt:i4>
      </vt:variant>
      <vt:variant>
        <vt:i4>0</vt:i4>
      </vt:variant>
      <vt:variant>
        <vt:i4>5</vt:i4>
      </vt:variant>
      <vt:variant>
        <vt:lpwstr/>
      </vt:variant>
      <vt:variant>
        <vt:lpwstr>_Toc14442881</vt:lpwstr>
      </vt:variant>
      <vt:variant>
        <vt:i4>2031679</vt:i4>
      </vt:variant>
      <vt:variant>
        <vt:i4>1058</vt:i4>
      </vt:variant>
      <vt:variant>
        <vt:i4>0</vt:i4>
      </vt:variant>
      <vt:variant>
        <vt:i4>5</vt:i4>
      </vt:variant>
      <vt:variant>
        <vt:lpwstr/>
      </vt:variant>
      <vt:variant>
        <vt:lpwstr>_Toc14442880</vt:lpwstr>
      </vt:variant>
      <vt:variant>
        <vt:i4>1441840</vt:i4>
      </vt:variant>
      <vt:variant>
        <vt:i4>1052</vt:i4>
      </vt:variant>
      <vt:variant>
        <vt:i4>0</vt:i4>
      </vt:variant>
      <vt:variant>
        <vt:i4>5</vt:i4>
      </vt:variant>
      <vt:variant>
        <vt:lpwstr/>
      </vt:variant>
      <vt:variant>
        <vt:lpwstr>_Toc14442879</vt:lpwstr>
      </vt:variant>
      <vt:variant>
        <vt:i4>1507376</vt:i4>
      </vt:variant>
      <vt:variant>
        <vt:i4>1046</vt:i4>
      </vt:variant>
      <vt:variant>
        <vt:i4>0</vt:i4>
      </vt:variant>
      <vt:variant>
        <vt:i4>5</vt:i4>
      </vt:variant>
      <vt:variant>
        <vt:lpwstr/>
      </vt:variant>
      <vt:variant>
        <vt:lpwstr>_Toc14442878</vt:lpwstr>
      </vt:variant>
      <vt:variant>
        <vt:i4>1572912</vt:i4>
      </vt:variant>
      <vt:variant>
        <vt:i4>1040</vt:i4>
      </vt:variant>
      <vt:variant>
        <vt:i4>0</vt:i4>
      </vt:variant>
      <vt:variant>
        <vt:i4>5</vt:i4>
      </vt:variant>
      <vt:variant>
        <vt:lpwstr/>
      </vt:variant>
      <vt:variant>
        <vt:lpwstr>_Toc14442877</vt:lpwstr>
      </vt:variant>
      <vt:variant>
        <vt:i4>1638448</vt:i4>
      </vt:variant>
      <vt:variant>
        <vt:i4>1034</vt:i4>
      </vt:variant>
      <vt:variant>
        <vt:i4>0</vt:i4>
      </vt:variant>
      <vt:variant>
        <vt:i4>5</vt:i4>
      </vt:variant>
      <vt:variant>
        <vt:lpwstr/>
      </vt:variant>
      <vt:variant>
        <vt:lpwstr>_Toc14442876</vt:lpwstr>
      </vt:variant>
      <vt:variant>
        <vt:i4>1703984</vt:i4>
      </vt:variant>
      <vt:variant>
        <vt:i4>1028</vt:i4>
      </vt:variant>
      <vt:variant>
        <vt:i4>0</vt:i4>
      </vt:variant>
      <vt:variant>
        <vt:i4>5</vt:i4>
      </vt:variant>
      <vt:variant>
        <vt:lpwstr/>
      </vt:variant>
      <vt:variant>
        <vt:lpwstr>_Toc14442875</vt:lpwstr>
      </vt:variant>
      <vt:variant>
        <vt:i4>1769520</vt:i4>
      </vt:variant>
      <vt:variant>
        <vt:i4>1022</vt:i4>
      </vt:variant>
      <vt:variant>
        <vt:i4>0</vt:i4>
      </vt:variant>
      <vt:variant>
        <vt:i4>5</vt:i4>
      </vt:variant>
      <vt:variant>
        <vt:lpwstr/>
      </vt:variant>
      <vt:variant>
        <vt:lpwstr>_Toc14442874</vt:lpwstr>
      </vt:variant>
      <vt:variant>
        <vt:i4>1835056</vt:i4>
      </vt:variant>
      <vt:variant>
        <vt:i4>1016</vt:i4>
      </vt:variant>
      <vt:variant>
        <vt:i4>0</vt:i4>
      </vt:variant>
      <vt:variant>
        <vt:i4>5</vt:i4>
      </vt:variant>
      <vt:variant>
        <vt:lpwstr/>
      </vt:variant>
      <vt:variant>
        <vt:lpwstr>_Toc14442873</vt:lpwstr>
      </vt:variant>
      <vt:variant>
        <vt:i4>1900592</vt:i4>
      </vt:variant>
      <vt:variant>
        <vt:i4>1010</vt:i4>
      </vt:variant>
      <vt:variant>
        <vt:i4>0</vt:i4>
      </vt:variant>
      <vt:variant>
        <vt:i4>5</vt:i4>
      </vt:variant>
      <vt:variant>
        <vt:lpwstr/>
      </vt:variant>
      <vt:variant>
        <vt:lpwstr>_Toc14442872</vt:lpwstr>
      </vt:variant>
      <vt:variant>
        <vt:i4>1966128</vt:i4>
      </vt:variant>
      <vt:variant>
        <vt:i4>1004</vt:i4>
      </vt:variant>
      <vt:variant>
        <vt:i4>0</vt:i4>
      </vt:variant>
      <vt:variant>
        <vt:i4>5</vt:i4>
      </vt:variant>
      <vt:variant>
        <vt:lpwstr/>
      </vt:variant>
      <vt:variant>
        <vt:lpwstr>_Toc14442871</vt:lpwstr>
      </vt:variant>
      <vt:variant>
        <vt:i4>2031664</vt:i4>
      </vt:variant>
      <vt:variant>
        <vt:i4>998</vt:i4>
      </vt:variant>
      <vt:variant>
        <vt:i4>0</vt:i4>
      </vt:variant>
      <vt:variant>
        <vt:i4>5</vt:i4>
      </vt:variant>
      <vt:variant>
        <vt:lpwstr/>
      </vt:variant>
      <vt:variant>
        <vt:lpwstr>_Toc14442870</vt:lpwstr>
      </vt:variant>
      <vt:variant>
        <vt:i4>1441841</vt:i4>
      </vt:variant>
      <vt:variant>
        <vt:i4>992</vt:i4>
      </vt:variant>
      <vt:variant>
        <vt:i4>0</vt:i4>
      </vt:variant>
      <vt:variant>
        <vt:i4>5</vt:i4>
      </vt:variant>
      <vt:variant>
        <vt:lpwstr/>
      </vt:variant>
      <vt:variant>
        <vt:lpwstr>_Toc14442869</vt:lpwstr>
      </vt:variant>
      <vt:variant>
        <vt:i4>1507377</vt:i4>
      </vt:variant>
      <vt:variant>
        <vt:i4>986</vt:i4>
      </vt:variant>
      <vt:variant>
        <vt:i4>0</vt:i4>
      </vt:variant>
      <vt:variant>
        <vt:i4>5</vt:i4>
      </vt:variant>
      <vt:variant>
        <vt:lpwstr/>
      </vt:variant>
      <vt:variant>
        <vt:lpwstr>_Toc14442868</vt:lpwstr>
      </vt:variant>
      <vt:variant>
        <vt:i4>1572913</vt:i4>
      </vt:variant>
      <vt:variant>
        <vt:i4>980</vt:i4>
      </vt:variant>
      <vt:variant>
        <vt:i4>0</vt:i4>
      </vt:variant>
      <vt:variant>
        <vt:i4>5</vt:i4>
      </vt:variant>
      <vt:variant>
        <vt:lpwstr/>
      </vt:variant>
      <vt:variant>
        <vt:lpwstr>_Toc14442867</vt:lpwstr>
      </vt:variant>
      <vt:variant>
        <vt:i4>1638449</vt:i4>
      </vt:variant>
      <vt:variant>
        <vt:i4>974</vt:i4>
      </vt:variant>
      <vt:variant>
        <vt:i4>0</vt:i4>
      </vt:variant>
      <vt:variant>
        <vt:i4>5</vt:i4>
      </vt:variant>
      <vt:variant>
        <vt:lpwstr/>
      </vt:variant>
      <vt:variant>
        <vt:lpwstr>_Toc14442866</vt:lpwstr>
      </vt:variant>
      <vt:variant>
        <vt:i4>1703985</vt:i4>
      </vt:variant>
      <vt:variant>
        <vt:i4>968</vt:i4>
      </vt:variant>
      <vt:variant>
        <vt:i4>0</vt:i4>
      </vt:variant>
      <vt:variant>
        <vt:i4>5</vt:i4>
      </vt:variant>
      <vt:variant>
        <vt:lpwstr/>
      </vt:variant>
      <vt:variant>
        <vt:lpwstr>_Toc14442865</vt:lpwstr>
      </vt:variant>
      <vt:variant>
        <vt:i4>1769521</vt:i4>
      </vt:variant>
      <vt:variant>
        <vt:i4>962</vt:i4>
      </vt:variant>
      <vt:variant>
        <vt:i4>0</vt:i4>
      </vt:variant>
      <vt:variant>
        <vt:i4>5</vt:i4>
      </vt:variant>
      <vt:variant>
        <vt:lpwstr/>
      </vt:variant>
      <vt:variant>
        <vt:lpwstr>_Toc14442864</vt:lpwstr>
      </vt:variant>
      <vt:variant>
        <vt:i4>1835057</vt:i4>
      </vt:variant>
      <vt:variant>
        <vt:i4>956</vt:i4>
      </vt:variant>
      <vt:variant>
        <vt:i4>0</vt:i4>
      </vt:variant>
      <vt:variant>
        <vt:i4>5</vt:i4>
      </vt:variant>
      <vt:variant>
        <vt:lpwstr/>
      </vt:variant>
      <vt:variant>
        <vt:lpwstr>_Toc14442863</vt:lpwstr>
      </vt:variant>
      <vt:variant>
        <vt:i4>1900593</vt:i4>
      </vt:variant>
      <vt:variant>
        <vt:i4>950</vt:i4>
      </vt:variant>
      <vt:variant>
        <vt:i4>0</vt:i4>
      </vt:variant>
      <vt:variant>
        <vt:i4>5</vt:i4>
      </vt:variant>
      <vt:variant>
        <vt:lpwstr/>
      </vt:variant>
      <vt:variant>
        <vt:lpwstr>_Toc14442862</vt:lpwstr>
      </vt:variant>
      <vt:variant>
        <vt:i4>1966129</vt:i4>
      </vt:variant>
      <vt:variant>
        <vt:i4>944</vt:i4>
      </vt:variant>
      <vt:variant>
        <vt:i4>0</vt:i4>
      </vt:variant>
      <vt:variant>
        <vt:i4>5</vt:i4>
      </vt:variant>
      <vt:variant>
        <vt:lpwstr/>
      </vt:variant>
      <vt:variant>
        <vt:lpwstr>_Toc14442861</vt:lpwstr>
      </vt:variant>
      <vt:variant>
        <vt:i4>2031665</vt:i4>
      </vt:variant>
      <vt:variant>
        <vt:i4>938</vt:i4>
      </vt:variant>
      <vt:variant>
        <vt:i4>0</vt:i4>
      </vt:variant>
      <vt:variant>
        <vt:i4>5</vt:i4>
      </vt:variant>
      <vt:variant>
        <vt:lpwstr/>
      </vt:variant>
      <vt:variant>
        <vt:lpwstr>_Toc14442860</vt:lpwstr>
      </vt:variant>
      <vt:variant>
        <vt:i4>1441842</vt:i4>
      </vt:variant>
      <vt:variant>
        <vt:i4>932</vt:i4>
      </vt:variant>
      <vt:variant>
        <vt:i4>0</vt:i4>
      </vt:variant>
      <vt:variant>
        <vt:i4>5</vt:i4>
      </vt:variant>
      <vt:variant>
        <vt:lpwstr/>
      </vt:variant>
      <vt:variant>
        <vt:lpwstr>_Toc14442859</vt:lpwstr>
      </vt:variant>
      <vt:variant>
        <vt:i4>1507378</vt:i4>
      </vt:variant>
      <vt:variant>
        <vt:i4>926</vt:i4>
      </vt:variant>
      <vt:variant>
        <vt:i4>0</vt:i4>
      </vt:variant>
      <vt:variant>
        <vt:i4>5</vt:i4>
      </vt:variant>
      <vt:variant>
        <vt:lpwstr/>
      </vt:variant>
      <vt:variant>
        <vt:lpwstr>_Toc14442858</vt:lpwstr>
      </vt:variant>
      <vt:variant>
        <vt:i4>1572914</vt:i4>
      </vt:variant>
      <vt:variant>
        <vt:i4>920</vt:i4>
      </vt:variant>
      <vt:variant>
        <vt:i4>0</vt:i4>
      </vt:variant>
      <vt:variant>
        <vt:i4>5</vt:i4>
      </vt:variant>
      <vt:variant>
        <vt:lpwstr/>
      </vt:variant>
      <vt:variant>
        <vt:lpwstr>_Toc14442857</vt:lpwstr>
      </vt:variant>
      <vt:variant>
        <vt:i4>1638450</vt:i4>
      </vt:variant>
      <vt:variant>
        <vt:i4>914</vt:i4>
      </vt:variant>
      <vt:variant>
        <vt:i4>0</vt:i4>
      </vt:variant>
      <vt:variant>
        <vt:i4>5</vt:i4>
      </vt:variant>
      <vt:variant>
        <vt:lpwstr/>
      </vt:variant>
      <vt:variant>
        <vt:lpwstr>_Toc14442856</vt:lpwstr>
      </vt:variant>
      <vt:variant>
        <vt:i4>1703986</vt:i4>
      </vt:variant>
      <vt:variant>
        <vt:i4>908</vt:i4>
      </vt:variant>
      <vt:variant>
        <vt:i4>0</vt:i4>
      </vt:variant>
      <vt:variant>
        <vt:i4>5</vt:i4>
      </vt:variant>
      <vt:variant>
        <vt:lpwstr/>
      </vt:variant>
      <vt:variant>
        <vt:lpwstr>_Toc14442855</vt:lpwstr>
      </vt:variant>
      <vt:variant>
        <vt:i4>1769522</vt:i4>
      </vt:variant>
      <vt:variant>
        <vt:i4>902</vt:i4>
      </vt:variant>
      <vt:variant>
        <vt:i4>0</vt:i4>
      </vt:variant>
      <vt:variant>
        <vt:i4>5</vt:i4>
      </vt:variant>
      <vt:variant>
        <vt:lpwstr/>
      </vt:variant>
      <vt:variant>
        <vt:lpwstr>_Toc14442854</vt:lpwstr>
      </vt:variant>
      <vt:variant>
        <vt:i4>1835058</vt:i4>
      </vt:variant>
      <vt:variant>
        <vt:i4>896</vt:i4>
      </vt:variant>
      <vt:variant>
        <vt:i4>0</vt:i4>
      </vt:variant>
      <vt:variant>
        <vt:i4>5</vt:i4>
      </vt:variant>
      <vt:variant>
        <vt:lpwstr/>
      </vt:variant>
      <vt:variant>
        <vt:lpwstr>_Toc14442853</vt:lpwstr>
      </vt:variant>
      <vt:variant>
        <vt:i4>1900594</vt:i4>
      </vt:variant>
      <vt:variant>
        <vt:i4>890</vt:i4>
      </vt:variant>
      <vt:variant>
        <vt:i4>0</vt:i4>
      </vt:variant>
      <vt:variant>
        <vt:i4>5</vt:i4>
      </vt:variant>
      <vt:variant>
        <vt:lpwstr/>
      </vt:variant>
      <vt:variant>
        <vt:lpwstr>_Toc14442852</vt:lpwstr>
      </vt:variant>
      <vt:variant>
        <vt:i4>1966130</vt:i4>
      </vt:variant>
      <vt:variant>
        <vt:i4>884</vt:i4>
      </vt:variant>
      <vt:variant>
        <vt:i4>0</vt:i4>
      </vt:variant>
      <vt:variant>
        <vt:i4>5</vt:i4>
      </vt:variant>
      <vt:variant>
        <vt:lpwstr/>
      </vt:variant>
      <vt:variant>
        <vt:lpwstr>_Toc14442851</vt:lpwstr>
      </vt:variant>
      <vt:variant>
        <vt:i4>2031666</vt:i4>
      </vt:variant>
      <vt:variant>
        <vt:i4>878</vt:i4>
      </vt:variant>
      <vt:variant>
        <vt:i4>0</vt:i4>
      </vt:variant>
      <vt:variant>
        <vt:i4>5</vt:i4>
      </vt:variant>
      <vt:variant>
        <vt:lpwstr/>
      </vt:variant>
      <vt:variant>
        <vt:lpwstr>_Toc14442850</vt:lpwstr>
      </vt:variant>
      <vt:variant>
        <vt:i4>1441843</vt:i4>
      </vt:variant>
      <vt:variant>
        <vt:i4>872</vt:i4>
      </vt:variant>
      <vt:variant>
        <vt:i4>0</vt:i4>
      </vt:variant>
      <vt:variant>
        <vt:i4>5</vt:i4>
      </vt:variant>
      <vt:variant>
        <vt:lpwstr/>
      </vt:variant>
      <vt:variant>
        <vt:lpwstr>_Toc14442849</vt:lpwstr>
      </vt:variant>
      <vt:variant>
        <vt:i4>1507379</vt:i4>
      </vt:variant>
      <vt:variant>
        <vt:i4>866</vt:i4>
      </vt:variant>
      <vt:variant>
        <vt:i4>0</vt:i4>
      </vt:variant>
      <vt:variant>
        <vt:i4>5</vt:i4>
      </vt:variant>
      <vt:variant>
        <vt:lpwstr/>
      </vt:variant>
      <vt:variant>
        <vt:lpwstr>_Toc14442848</vt:lpwstr>
      </vt:variant>
      <vt:variant>
        <vt:i4>1572915</vt:i4>
      </vt:variant>
      <vt:variant>
        <vt:i4>860</vt:i4>
      </vt:variant>
      <vt:variant>
        <vt:i4>0</vt:i4>
      </vt:variant>
      <vt:variant>
        <vt:i4>5</vt:i4>
      </vt:variant>
      <vt:variant>
        <vt:lpwstr/>
      </vt:variant>
      <vt:variant>
        <vt:lpwstr>_Toc14442847</vt:lpwstr>
      </vt:variant>
      <vt:variant>
        <vt:i4>1638451</vt:i4>
      </vt:variant>
      <vt:variant>
        <vt:i4>854</vt:i4>
      </vt:variant>
      <vt:variant>
        <vt:i4>0</vt:i4>
      </vt:variant>
      <vt:variant>
        <vt:i4>5</vt:i4>
      </vt:variant>
      <vt:variant>
        <vt:lpwstr/>
      </vt:variant>
      <vt:variant>
        <vt:lpwstr>_Toc14442846</vt:lpwstr>
      </vt:variant>
      <vt:variant>
        <vt:i4>1703987</vt:i4>
      </vt:variant>
      <vt:variant>
        <vt:i4>848</vt:i4>
      </vt:variant>
      <vt:variant>
        <vt:i4>0</vt:i4>
      </vt:variant>
      <vt:variant>
        <vt:i4>5</vt:i4>
      </vt:variant>
      <vt:variant>
        <vt:lpwstr/>
      </vt:variant>
      <vt:variant>
        <vt:lpwstr>_Toc14442845</vt:lpwstr>
      </vt:variant>
      <vt:variant>
        <vt:i4>1769523</vt:i4>
      </vt:variant>
      <vt:variant>
        <vt:i4>842</vt:i4>
      </vt:variant>
      <vt:variant>
        <vt:i4>0</vt:i4>
      </vt:variant>
      <vt:variant>
        <vt:i4>5</vt:i4>
      </vt:variant>
      <vt:variant>
        <vt:lpwstr/>
      </vt:variant>
      <vt:variant>
        <vt:lpwstr>_Toc14442844</vt:lpwstr>
      </vt:variant>
      <vt:variant>
        <vt:i4>1835059</vt:i4>
      </vt:variant>
      <vt:variant>
        <vt:i4>836</vt:i4>
      </vt:variant>
      <vt:variant>
        <vt:i4>0</vt:i4>
      </vt:variant>
      <vt:variant>
        <vt:i4>5</vt:i4>
      </vt:variant>
      <vt:variant>
        <vt:lpwstr/>
      </vt:variant>
      <vt:variant>
        <vt:lpwstr>_Toc14442843</vt:lpwstr>
      </vt:variant>
      <vt:variant>
        <vt:i4>1900595</vt:i4>
      </vt:variant>
      <vt:variant>
        <vt:i4>830</vt:i4>
      </vt:variant>
      <vt:variant>
        <vt:i4>0</vt:i4>
      </vt:variant>
      <vt:variant>
        <vt:i4>5</vt:i4>
      </vt:variant>
      <vt:variant>
        <vt:lpwstr/>
      </vt:variant>
      <vt:variant>
        <vt:lpwstr>_Toc14442842</vt:lpwstr>
      </vt:variant>
      <vt:variant>
        <vt:i4>1966131</vt:i4>
      </vt:variant>
      <vt:variant>
        <vt:i4>824</vt:i4>
      </vt:variant>
      <vt:variant>
        <vt:i4>0</vt:i4>
      </vt:variant>
      <vt:variant>
        <vt:i4>5</vt:i4>
      </vt:variant>
      <vt:variant>
        <vt:lpwstr/>
      </vt:variant>
      <vt:variant>
        <vt:lpwstr>_Toc14442841</vt:lpwstr>
      </vt:variant>
      <vt:variant>
        <vt:i4>2031667</vt:i4>
      </vt:variant>
      <vt:variant>
        <vt:i4>818</vt:i4>
      </vt:variant>
      <vt:variant>
        <vt:i4>0</vt:i4>
      </vt:variant>
      <vt:variant>
        <vt:i4>5</vt:i4>
      </vt:variant>
      <vt:variant>
        <vt:lpwstr/>
      </vt:variant>
      <vt:variant>
        <vt:lpwstr>_Toc14442840</vt:lpwstr>
      </vt:variant>
      <vt:variant>
        <vt:i4>1441844</vt:i4>
      </vt:variant>
      <vt:variant>
        <vt:i4>812</vt:i4>
      </vt:variant>
      <vt:variant>
        <vt:i4>0</vt:i4>
      </vt:variant>
      <vt:variant>
        <vt:i4>5</vt:i4>
      </vt:variant>
      <vt:variant>
        <vt:lpwstr/>
      </vt:variant>
      <vt:variant>
        <vt:lpwstr>_Toc14442839</vt:lpwstr>
      </vt:variant>
      <vt:variant>
        <vt:i4>1507380</vt:i4>
      </vt:variant>
      <vt:variant>
        <vt:i4>806</vt:i4>
      </vt:variant>
      <vt:variant>
        <vt:i4>0</vt:i4>
      </vt:variant>
      <vt:variant>
        <vt:i4>5</vt:i4>
      </vt:variant>
      <vt:variant>
        <vt:lpwstr/>
      </vt:variant>
      <vt:variant>
        <vt:lpwstr>_Toc14442838</vt:lpwstr>
      </vt:variant>
      <vt:variant>
        <vt:i4>1572916</vt:i4>
      </vt:variant>
      <vt:variant>
        <vt:i4>800</vt:i4>
      </vt:variant>
      <vt:variant>
        <vt:i4>0</vt:i4>
      </vt:variant>
      <vt:variant>
        <vt:i4>5</vt:i4>
      </vt:variant>
      <vt:variant>
        <vt:lpwstr/>
      </vt:variant>
      <vt:variant>
        <vt:lpwstr>_Toc14442837</vt:lpwstr>
      </vt:variant>
      <vt:variant>
        <vt:i4>1638452</vt:i4>
      </vt:variant>
      <vt:variant>
        <vt:i4>794</vt:i4>
      </vt:variant>
      <vt:variant>
        <vt:i4>0</vt:i4>
      </vt:variant>
      <vt:variant>
        <vt:i4>5</vt:i4>
      </vt:variant>
      <vt:variant>
        <vt:lpwstr/>
      </vt:variant>
      <vt:variant>
        <vt:lpwstr>_Toc14442836</vt:lpwstr>
      </vt:variant>
      <vt:variant>
        <vt:i4>1703988</vt:i4>
      </vt:variant>
      <vt:variant>
        <vt:i4>788</vt:i4>
      </vt:variant>
      <vt:variant>
        <vt:i4>0</vt:i4>
      </vt:variant>
      <vt:variant>
        <vt:i4>5</vt:i4>
      </vt:variant>
      <vt:variant>
        <vt:lpwstr/>
      </vt:variant>
      <vt:variant>
        <vt:lpwstr>_Toc14442835</vt:lpwstr>
      </vt:variant>
      <vt:variant>
        <vt:i4>1769524</vt:i4>
      </vt:variant>
      <vt:variant>
        <vt:i4>782</vt:i4>
      </vt:variant>
      <vt:variant>
        <vt:i4>0</vt:i4>
      </vt:variant>
      <vt:variant>
        <vt:i4>5</vt:i4>
      </vt:variant>
      <vt:variant>
        <vt:lpwstr/>
      </vt:variant>
      <vt:variant>
        <vt:lpwstr>_Toc14442834</vt:lpwstr>
      </vt:variant>
      <vt:variant>
        <vt:i4>1835060</vt:i4>
      </vt:variant>
      <vt:variant>
        <vt:i4>776</vt:i4>
      </vt:variant>
      <vt:variant>
        <vt:i4>0</vt:i4>
      </vt:variant>
      <vt:variant>
        <vt:i4>5</vt:i4>
      </vt:variant>
      <vt:variant>
        <vt:lpwstr/>
      </vt:variant>
      <vt:variant>
        <vt:lpwstr>_Toc14442833</vt:lpwstr>
      </vt:variant>
      <vt:variant>
        <vt:i4>1900596</vt:i4>
      </vt:variant>
      <vt:variant>
        <vt:i4>770</vt:i4>
      </vt:variant>
      <vt:variant>
        <vt:i4>0</vt:i4>
      </vt:variant>
      <vt:variant>
        <vt:i4>5</vt:i4>
      </vt:variant>
      <vt:variant>
        <vt:lpwstr/>
      </vt:variant>
      <vt:variant>
        <vt:lpwstr>_Toc14442832</vt:lpwstr>
      </vt:variant>
      <vt:variant>
        <vt:i4>1966132</vt:i4>
      </vt:variant>
      <vt:variant>
        <vt:i4>764</vt:i4>
      </vt:variant>
      <vt:variant>
        <vt:i4>0</vt:i4>
      </vt:variant>
      <vt:variant>
        <vt:i4>5</vt:i4>
      </vt:variant>
      <vt:variant>
        <vt:lpwstr/>
      </vt:variant>
      <vt:variant>
        <vt:lpwstr>_Toc14442831</vt:lpwstr>
      </vt:variant>
      <vt:variant>
        <vt:i4>2031668</vt:i4>
      </vt:variant>
      <vt:variant>
        <vt:i4>758</vt:i4>
      </vt:variant>
      <vt:variant>
        <vt:i4>0</vt:i4>
      </vt:variant>
      <vt:variant>
        <vt:i4>5</vt:i4>
      </vt:variant>
      <vt:variant>
        <vt:lpwstr/>
      </vt:variant>
      <vt:variant>
        <vt:lpwstr>_Toc14442830</vt:lpwstr>
      </vt:variant>
      <vt:variant>
        <vt:i4>1441845</vt:i4>
      </vt:variant>
      <vt:variant>
        <vt:i4>752</vt:i4>
      </vt:variant>
      <vt:variant>
        <vt:i4>0</vt:i4>
      </vt:variant>
      <vt:variant>
        <vt:i4>5</vt:i4>
      </vt:variant>
      <vt:variant>
        <vt:lpwstr/>
      </vt:variant>
      <vt:variant>
        <vt:lpwstr>_Toc14442829</vt:lpwstr>
      </vt:variant>
      <vt:variant>
        <vt:i4>1507381</vt:i4>
      </vt:variant>
      <vt:variant>
        <vt:i4>746</vt:i4>
      </vt:variant>
      <vt:variant>
        <vt:i4>0</vt:i4>
      </vt:variant>
      <vt:variant>
        <vt:i4>5</vt:i4>
      </vt:variant>
      <vt:variant>
        <vt:lpwstr/>
      </vt:variant>
      <vt:variant>
        <vt:lpwstr>_Toc14442828</vt:lpwstr>
      </vt:variant>
      <vt:variant>
        <vt:i4>1572917</vt:i4>
      </vt:variant>
      <vt:variant>
        <vt:i4>740</vt:i4>
      </vt:variant>
      <vt:variant>
        <vt:i4>0</vt:i4>
      </vt:variant>
      <vt:variant>
        <vt:i4>5</vt:i4>
      </vt:variant>
      <vt:variant>
        <vt:lpwstr/>
      </vt:variant>
      <vt:variant>
        <vt:lpwstr>_Toc14442827</vt:lpwstr>
      </vt:variant>
      <vt:variant>
        <vt:i4>1638453</vt:i4>
      </vt:variant>
      <vt:variant>
        <vt:i4>734</vt:i4>
      </vt:variant>
      <vt:variant>
        <vt:i4>0</vt:i4>
      </vt:variant>
      <vt:variant>
        <vt:i4>5</vt:i4>
      </vt:variant>
      <vt:variant>
        <vt:lpwstr/>
      </vt:variant>
      <vt:variant>
        <vt:lpwstr>_Toc14442826</vt:lpwstr>
      </vt:variant>
      <vt:variant>
        <vt:i4>1703989</vt:i4>
      </vt:variant>
      <vt:variant>
        <vt:i4>728</vt:i4>
      </vt:variant>
      <vt:variant>
        <vt:i4>0</vt:i4>
      </vt:variant>
      <vt:variant>
        <vt:i4>5</vt:i4>
      </vt:variant>
      <vt:variant>
        <vt:lpwstr/>
      </vt:variant>
      <vt:variant>
        <vt:lpwstr>_Toc14442825</vt:lpwstr>
      </vt:variant>
      <vt:variant>
        <vt:i4>1769525</vt:i4>
      </vt:variant>
      <vt:variant>
        <vt:i4>722</vt:i4>
      </vt:variant>
      <vt:variant>
        <vt:i4>0</vt:i4>
      </vt:variant>
      <vt:variant>
        <vt:i4>5</vt:i4>
      </vt:variant>
      <vt:variant>
        <vt:lpwstr/>
      </vt:variant>
      <vt:variant>
        <vt:lpwstr>_Toc14442824</vt:lpwstr>
      </vt:variant>
      <vt:variant>
        <vt:i4>1835061</vt:i4>
      </vt:variant>
      <vt:variant>
        <vt:i4>716</vt:i4>
      </vt:variant>
      <vt:variant>
        <vt:i4>0</vt:i4>
      </vt:variant>
      <vt:variant>
        <vt:i4>5</vt:i4>
      </vt:variant>
      <vt:variant>
        <vt:lpwstr/>
      </vt:variant>
      <vt:variant>
        <vt:lpwstr>_Toc14442823</vt:lpwstr>
      </vt:variant>
      <vt:variant>
        <vt:i4>1900597</vt:i4>
      </vt:variant>
      <vt:variant>
        <vt:i4>710</vt:i4>
      </vt:variant>
      <vt:variant>
        <vt:i4>0</vt:i4>
      </vt:variant>
      <vt:variant>
        <vt:i4>5</vt:i4>
      </vt:variant>
      <vt:variant>
        <vt:lpwstr/>
      </vt:variant>
      <vt:variant>
        <vt:lpwstr>_Toc14442822</vt:lpwstr>
      </vt:variant>
      <vt:variant>
        <vt:i4>1966133</vt:i4>
      </vt:variant>
      <vt:variant>
        <vt:i4>704</vt:i4>
      </vt:variant>
      <vt:variant>
        <vt:i4>0</vt:i4>
      </vt:variant>
      <vt:variant>
        <vt:i4>5</vt:i4>
      </vt:variant>
      <vt:variant>
        <vt:lpwstr/>
      </vt:variant>
      <vt:variant>
        <vt:lpwstr>_Toc14442821</vt:lpwstr>
      </vt:variant>
      <vt:variant>
        <vt:i4>2031669</vt:i4>
      </vt:variant>
      <vt:variant>
        <vt:i4>698</vt:i4>
      </vt:variant>
      <vt:variant>
        <vt:i4>0</vt:i4>
      </vt:variant>
      <vt:variant>
        <vt:i4>5</vt:i4>
      </vt:variant>
      <vt:variant>
        <vt:lpwstr/>
      </vt:variant>
      <vt:variant>
        <vt:lpwstr>_Toc14442820</vt:lpwstr>
      </vt:variant>
      <vt:variant>
        <vt:i4>1441846</vt:i4>
      </vt:variant>
      <vt:variant>
        <vt:i4>692</vt:i4>
      </vt:variant>
      <vt:variant>
        <vt:i4>0</vt:i4>
      </vt:variant>
      <vt:variant>
        <vt:i4>5</vt:i4>
      </vt:variant>
      <vt:variant>
        <vt:lpwstr/>
      </vt:variant>
      <vt:variant>
        <vt:lpwstr>_Toc14442819</vt:lpwstr>
      </vt:variant>
      <vt:variant>
        <vt:i4>1507382</vt:i4>
      </vt:variant>
      <vt:variant>
        <vt:i4>686</vt:i4>
      </vt:variant>
      <vt:variant>
        <vt:i4>0</vt:i4>
      </vt:variant>
      <vt:variant>
        <vt:i4>5</vt:i4>
      </vt:variant>
      <vt:variant>
        <vt:lpwstr/>
      </vt:variant>
      <vt:variant>
        <vt:lpwstr>_Toc14442818</vt:lpwstr>
      </vt:variant>
      <vt:variant>
        <vt:i4>1572918</vt:i4>
      </vt:variant>
      <vt:variant>
        <vt:i4>680</vt:i4>
      </vt:variant>
      <vt:variant>
        <vt:i4>0</vt:i4>
      </vt:variant>
      <vt:variant>
        <vt:i4>5</vt:i4>
      </vt:variant>
      <vt:variant>
        <vt:lpwstr/>
      </vt:variant>
      <vt:variant>
        <vt:lpwstr>_Toc14442817</vt:lpwstr>
      </vt:variant>
      <vt:variant>
        <vt:i4>1638454</vt:i4>
      </vt:variant>
      <vt:variant>
        <vt:i4>674</vt:i4>
      </vt:variant>
      <vt:variant>
        <vt:i4>0</vt:i4>
      </vt:variant>
      <vt:variant>
        <vt:i4>5</vt:i4>
      </vt:variant>
      <vt:variant>
        <vt:lpwstr/>
      </vt:variant>
      <vt:variant>
        <vt:lpwstr>_Toc14442816</vt:lpwstr>
      </vt:variant>
      <vt:variant>
        <vt:i4>1703990</vt:i4>
      </vt:variant>
      <vt:variant>
        <vt:i4>668</vt:i4>
      </vt:variant>
      <vt:variant>
        <vt:i4>0</vt:i4>
      </vt:variant>
      <vt:variant>
        <vt:i4>5</vt:i4>
      </vt:variant>
      <vt:variant>
        <vt:lpwstr/>
      </vt:variant>
      <vt:variant>
        <vt:lpwstr>_Toc14442815</vt:lpwstr>
      </vt:variant>
      <vt:variant>
        <vt:i4>1769526</vt:i4>
      </vt:variant>
      <vt:variant>
        <vt:i4>662</vt:i4>
      </vt:variant>
      <vt:variant>
        <vt:i4>0</vt:i4>
      </vt:variant>
      <vt:variant>
        <vt:i4>5</vt:i4>
      </vt:variant>
      <vt:variant>
        <vt:lpwstr/>
      </vt:variant>
      <vt:variant>
        <vt:lpwstr>_Toc14442814</vt:lpwstr>
      </vt:variant>
      <vt:variant>
        <vt:i4>1835062</vt:i4>
      </vt:variant>
      <vt:variant>
        <vt:i4>656</vt:i4>
      </vt:variant>
      <vt:variant>
        <vt:i4>0</vt:i4>
      </vt:variant>
      <vt:variant>
        <vt:i4>5</vt:i4>
      </vt:variant>
      <vt:variant>
        <vt:lpwstr/>
      </vt:variant>
      <vt:variant>
        <vt:lpwstr>_Toc14442813</vt:lpwstr>
      </vt:variant>
      <vt:variant>
        <vt:i4>1900598</vt:i4>
      </vt:variant>
      <vt:variant>
        <vt:i4>650</vt:i4>
      </vt:variant>
      <vt:variant>
        <vt:i4>0</vt:i4>
      </vt:variant>
      <vt:variant>
        <vt:i4>5</vt:i4>
      </vt:variant>
      <vt:variant>
        <vt:lpwstr/>
      </vt:variant>
      <vt:variant>
        <vt:lpwstr>_Toc14442812</vt:lpwstr>
      </vt:variant>
      <vt:variant>
        <vt:i4>1966134</vt:i4>
      </vt:variant>
      <vt:variant>
        <vt:i4>644</vt:i4>
      </vt:variant>
      <vt:variant>
        <vt:i4>0</vt:i4>
      </vt:variant>
      <vt:variant>
        <vt:i4>5</vt:i4>
      </vt:variant>
      <vt:variant>
        <vt:lpwstr/>
      </vt:variant>
      <vt:variant>
        <vt:lpwstr>_Toc14442811</vt:lpwstr>
      </vt:variant>
      <vt:variant>
        <vt:i4>2031670</vt:i4>
      </vt:variant>
      <vt:variant>
        <vt:i4>638</vt:i4>
      </vt:variant>
      <vt:variant>
        <vt:i4>0</vt:i4>
      </vt:variant>
      <vt:variant>
        <vt:i4>5</vt:i4>
      </vt:variant>
      <vt:variant>
        <vt:lpwstr/>
      </vt:variant>
      <vt:variant>
        <vt:lpwstr>_Toc14442810</vt:lpwstr>
      </vt:variant>
      <vt:variant>
        <vt:i4>1441847</vt:i4>
      </vt:variant>
      <vt:variant>
        <vt:i4>632</vt:i4>
      </vt:variant>
      <vt:variant>
        <vt:i4>0</vt:i4>
      </vt:variant>
      <vt:variant>
        <vt:i4>5</vt:i4>
      </vt:variant>
      <vt:variant>
        <vt:lpwstr/>
      </vt:variant>
      <vt:variant>
        <vt:lpwstr>_Toc14442809</vt:lpwstr>
      </vt:variant>
      <vt:variant>
        <vt:i4>1376308</vt:i4>
      </vt:variant>
      <vt:variant>
        <vt:i4>623</vt:i4>
      </vt:variant>
      <vt:variant>
        <vt:i4>0</vt:i4>
      </vt:variant>
      <vt:variant>
        <vt:i4>5</vt:i4>
      </vt:variant>
      <vt:variant>
        <vt:lpwstr/>
      </vt:variant>
      <vt:variant>
        <vt:lpwstr>_Toc14442735</vt:lpwstr>
      </vt:variant>
      <vt:variant>
        <vt:i4>1310772</vt:i4>
      </vt:variant>
      <vt:variant>
        <vt:i4>617</vt:i4>
      </vt:variant>
      <vt:variant>
        <vt:i4>0</vt:i4>
      </vt:variant>
      <vt:variant>
        <vt:i4>5</vt:i4>
      </vt:variant>
      <vt:variant>
        <vt:lpwstr/>
      </vt:variant>
      <vt:variant>
        <vt:lpwstr>_Toc14442734</vt:lpwstr>
      </vt:variant>
      <vt:variant>
        <vt:i4>1245236</vt:i4>
      </vt:variant>
      <vt:variant>
        <vt:i4>611</vt:i4>
      </vt:variant>
      <vt:variant>
        <vt:i4>0</vt:i4>
      </vt:variant>
      <vt:variant>
        <vt:i4>5</vt:i4>
      </vt:variant>
      <vt:variant>
        <vt:lpwstr/>
      </vt:variant>
      <vt:variant>
        <vt:lpwstr>_Toc14442733</vt:lpwstr>
      </vt:variant>
      <vt:variant>
        <vt:i4>1179700</vt:i4>
      </vt:variant>
      <vt:variant>
        <vt:i4>605</vt:i4>
      </vt:variant>
      <vt:variant>
        <vt:i4>0</vt:i4>
      </vt:variant>
      <vt:variant>
        <vt:i4>5</vt:i4>
      </vt:variant>
      <vt:variant>
        <vt:lpwstr/>
      </vt:variant>
      <vt:variant>
        <vt:lpwstr>_Toc14442732</vt:lpwstr>
      </vt:variant>
      <vt:variant>
        <vt:i4>1114164</vt:i4>
      </vt:variant>
      <vt:variant>
        <vt:i4>599</vt:i4>
      </vt:variant>
      <vt:variant>
        <vt:i4>0</vt:i4>
      </vt:variant>
      <vt:variant>
        <vt:i4>5</vt:i4>
      </vt:variant>
      <vt:variant>
        <vt:lpwstr/>
      </vt:variant>
      <vt:variant>
        <vt:lpwstr>_Toc14442731</vt:lpwstr>
      </vt:variant>
      <vt:variant>
        <vt:i4>1048628</vt:i4>
      </vt:variant>
      <vt:variant>
        <vt:i4>593</vt:i4>
      </vt:variant>
      <vt:variant>
        <vt:i4>0</vt:i4>
      </vt:variant>
      <vt:variant>
        <vt:i4>5</vt:i4>
      </vt:variant>
      <vt:variant>
        <vt:lpwstr/>
      </vt:variant>
      <vt:variant>
        <vt:lpwstr>_Toc14442730</vt:lpwstr>
      </vt:variant>
      <vt:variant>
        <vt:i4>1638453</vt:i4>
      </vt:variant>
      <vt:variant>
        <vt:i4>587</vt:i4>
      </vt:variant>
      <vt:variant>
        <vt:i4>0</vt:i4>
      </vt:variant>
      <vt:variant>
        <vt:i4>5</vt:i4>
      </vt:variant>
      <vt:variant>
        <vt:lpwstr/>
      </vt:variant>
      <vt:variant>
        <vt:lpwstr>_Toc14442729</vt:lpwstr>
      </vt:variant>
      <vt:variant>
        <vt:i4>1572917</vt:i4>
      </vt:variant>
      <vt:variant>
        <vt:i4>581</vt:i4>
      </vt:variant>
      <vt:variant>
        <vt:i4>0</vt:i4>
      </vt:variant>
      <vt:variant>
        <vt:i4>5</vt:i4>
      </vt:variant>
      <vt:variant>
        <vt:lpwstr/>
      </vt:variant>
      <vt:variant>
        <vt:lpwstr>_Toc14442728</vt:lpwstr>
      </vt:variant>
      <vt:variant>
        <vt:i4>1507381</vt:i4>
      </vt:variant>
      <vt:variant>
        <vt:i4>575</vt:i4>
      </vt:variant>
      <vt:variant>
        <vt:i4>0</vt:i4>
      </vt:variant>
      <vt:variant>
        <vt:i4>5</vt:i4>
      </vt:variant>
      <vt:variant>
        <vt:lpwstr/>
      </vt:variant>
      <vt:variant>
        <vt:lpwstr>_Toc14442727</vt:lpwstr>
      </vt:variant>
      <vt:variant>
        <vt:i4>1441845</vt:i4>
      </vt:variant>
      <vt:variant>
        <vt:i4>569</vt:i4>
      </vt:variant>
      <vt:variant>
        <vt:i4>0</vt:i4>
      </vt:variant>
      <vt:variant>
        <vt:i4>5</vt:i4>
      </vt:variant>
      <vt:variant>
        <vt:lpwstr/>
      </vt:variant>
      <vt:variant>
        <vt:lpwstr>_Toc14442726</vt:lpwstr>
      </vt:variant>
      <vt:variant>
        <vt:i4>1376309</vt:i4>
      </vt:variant>
      <vt:variant>
        <vt:i4>563</vt:i4>
      </vt:variant>
      <vt:variant>
        <vt:i4>0</vt:i4>
      </vt:variant>
      <vt:variant>
        <vt:i4>5</vt:i4>
      </vt:variant>
      <vt:variant>
        <vt:lpwstr/>
      </vt:variant>
      <vt:variant>
        <vt:lpwstr>_Toc14442725</vt:lpwstr>
      </vt:variant>
      <vt:variant>
        <vt:i4>1310773</vt:i4>
      </vt:variant>
      <vt:variant>
        <vt:i4>557</vt:i4>
      </vt:variant>
      <vt:variant>
        <vt:i4>0</vt:i4>
      </vt:variant>
      <vt:variant>
        <vt:i4>5</vt:i4>
      </vt:variant>
      <vt:variant>
        <vt:lpwstr/>
      </vt:variant>
      <vt:variant>
        <vt:lpwstr>_Toc14442724</vt:lpwstr>
      </vt:variant>
      <vt:variant>
        <vt:i4>1245237</vt:i4>
      </vt:variant>
      <vt:variant>
        <vt:i4>551</vt:i4>
      </vt:variant>
      <vt:variant>
        <vt:i4>0</vt:i4>
      </vt:variant>
      <vt:variant>
        <vt:i4>5</vt:i4>
      </vt:variant>
      <vt:variant>
        <vt:lpwstr/>
      </vt:variant>
      <vt:variant>
        <vt:lpwstr>_Toc14442723</vt:lpwstr>
      </vt:variant>
      <vt:variant>
        <vt:i4>1179701</vt:i4>
      </vt:variant>
      <vt:variant>
        <vt:i4>545</vt:i4>
      </vt:variant>
      <vt:variant>
        <vt:i4>0</vt:i4>
      </vt:variant>
      <vt:variant>
        <vt:i4>5</vt:i4>
      </vt:variant>
      <vt:variant>
        <vt:lpwstr/>
      </vt:variant>
      <vt:variant>
        <vt:lpwstr>_Toc14442722</vt:lpwstr>
      </vt:variant>
      <vt:variant>
        <vt:i4>1114165</vt:i4>
      </vt:variant>
      <vt:variant>
        <vt:i4>539</vt:i4>
      </vt:variant>
      <vt:variant>
        <vt:i4>0</vt:i4>
      </vt:variant>
      <vt:variant>
        <vt:i4>5</vt:i4>
      </vt:variant>
      <vt:variant>
        <vt:lpwstr/>
      </vt:variant>
      <vt:variant>
        <vt:lpwstr>_Toc14442721</vt:lpwstr>
      </vt:variant>
      <vt:variant>
        <vt:i4>1048629</vt:i4>
      </vt:variant>
      <vt:variant>
        <vt:i4>533</vt:i4>
      </vt:variant>
      <vt:variant>
        <vt:i4>0</vt:i4>
      </vt:variant>
      <vt:variant>
        <vt:i4>5</vt:i4>
      </vt:variant>
      <vt:variant>
        <vt:lpwstr/>
      </vt:variant>
      <vt:variant>
        <vt:lpwstr>_Toc14442720</vt:lpwstr>
      </vt:variant>
      <vt:variant>
        <vt:i4>1638454</vt:i4>
      </vt:variant>
      <vt:variant>
        <vt:i4>527</vt:i4>
      </vt:variant>
      <vt:variant>
        <vt:i4>0</vt:i4>
      </vt:variant>
      <vt:variant>
        <vt:i4>5</vt:i4>
      </vt:variant>
      <vt:variant>
        <vt:lpwstr/>
      </vt:variant>
      <vt:variant>
        <vt:lpwstr>_Toc14442719</vt:lpwstr>
      </vt:variant>
      <vt:variant>
        <vt:i4>1572918</vt:i4>
      </vt:variant>
      <vt:variant>
        <vt:i4>521</vt:i4>
      </vt:variant>
      <vt:variant>
        <vt:i4>0</vt:i4>
      </vt:variant>
      <vt:variant>
        <vt:i4>5</vt:i4>
      </vt:variant>
      <vt:variant>
        <vt:lpwstr/>
      </vt:variant>
      <vt:variant>
        <vt:lpwstr>_Toc14442718</vt:lpwstr>
      </vt:variant>
      <vt:variant>
        <vt:i4>1507382</vt:i4>
      </vt:variant>
      <vt:variant>
        <vt:i4>515</vt:i4>
      </vt:variant>
      <vt:variant>
        <vt:i4>0</vt:i4>
      </vt:variant>
      <vt:variant>
        <vt:i4>5</vt:i4>
      </vt:variant>
      <vt:variant>
        <vt:lpwstr/>
      </vt:variant>
      <vt:variant>
        <vt:lpwstr>_Toc14442717</vt:lpwstr>
      </vt:variant>
      <vt:variant>
        <vt:i4>1441846</vt:i4>
      </vt:variant>
      <vt:variant>
        <vt:i4>509</vt:i4>
      </vt:variant>
      <vt:variant>
        <vt:i4>0</vt:i4>
      </vt:variant>
      <vt:variant>
        <vt:i4>5</vt:i4>
      </vt:variant>
      <vt:variant>
        <vt:lpwstr/>
      </vt:variant>
      <vt:variant>
        <vt:lpwstr>_Toc14442716</vt:lpwstr>
      </vt:variant>
      <vt:variant>
        <vt:i4>1376310</vt:i4>
      </vt:variant>
      <vt:variant>
        <vt:i4>503</vt:i4>
      </vt:variant>
      <vt:variant>
        <vt:i4>0</vt:i4>
      </vt:variant>
      <vt:variant>
        <vt:i4>5</vt:i4>
      </vt:variant>
      <vt:variant>
        <vt:lpwstr/>
      </vt:variant>
      <vt:variant>
        <vt:lpwstr>_Toc14442715</vt:lpwstr>
      </vt:variant>
      <vt:variant>
        <vt:i4>1310774</vt:i4>
      </vt:variant>
      <vt:variant>
        <vt:i4>497</vt:i4>
      </vt:variant>
      <vt:variant>
        <vt:i4>0</vt:i4>
      </vt:variant>
      <vt:variant>
        <vt:i4>5</vt:i4>
      </vt:variant>
      <vt:variant>
        <vt:lpwstr/>
      </vt:variant>
      <vt:variant>
        <vt:lpwstr>_Toc14442714</vt:lpwstr>
      </vt:variant>
      <vt:variant>
        <vt:i4>1245238</vt:i4>
      </vt:variant>
      <vt:variant>
        <vt:i4>491</vt:i4>
      </vt:variant>
      <vt:variant>
        <vt:i4>0</vt:i4>
      </vt:variant>
      <vt:variant>
        <vt:i4>5</vt:i4>
      </vt:variant>
      <vt:variant>
        <vt:lpwstr/>
      </vt:variant>
      <vt:variant>
        <vt:lpwstr>_Toc14442713</vt:lpwstr>
      </vt:variant>
      <vt:variant>
        <vt:i4>1179702</vt:i4>
      </vt:variant>
      <vt:variant>
        <vt:i4>485</vt:i4>
      </vt:variant>
      <vt:variant>
        <vt:i4>0</vt:i4>
      </vt:variant>
      <vt:variant>
        <vt:i4>5</vt:i4>
      </vt:variant>
      <vt:variant>
        <vt:lpwstr/>
      </vt:variant>
      <vt:variant>
        <vt:lpwstr>_Toc14442712</vt:lpwstr>
      </vt:variant>
      <vt:variant>
        <vt:i4>1114166</vt:i4>
      </vt:variant>
      <vt:variant>
        <vt:i4>479</vt:i4>
      </vt:variant>
      <vt:variant>
        <vt:i4>0</vt:i4>
      </vt:variant>
      <vt:variant>
        <vt:i4>5</vt:i4>
      </vt:variant>
      <vt:variant>
        <vt:lpwstr/>
      </vt:variant>
      <vt:variant>
        <vt:lpwstr>_Toc14442711</vt:lpwstr>
      </vt:variant>
      <vt:variant>
        <vt:i4>1048630</vt:i4>
      </vt:variant>
      <vt:variant>
        <vt:i4>473</vt:i4>
      </vt:variant>
      <vt:variant>
        <vt:i4>0</vt:i4>
      </vt:variant>
      <vt:variant>
        <vt:i4>5</vt:i4>
      </vt:variant>
      <vt:variant>
        <vt:lpwstr/>
      </vt:variant>
      <vt:variant>
        <vt:lpwstr>_Toc14442710</vt:lpwstr>
      </vt:variant>
      <vt:variant>
        <vt:i4>1638455</vt:i4>
      </vt:variant>
      <vt:variant>
        <vt:i4>467</vt:i4>
      </vt:variant>
      <vt:variant>
        <vt:i4>0</vt:i4>
      </vt:variant>
      <vt:variant>
        <vt:i4>5</vt:i4>
      </vt:variant>
      <vt:variant>
        <vt:lpwstr/>
      </vt:variant>
      <vt:variant>
        <vt:lpwstr>_Toc14442709</vt:lpwstr>
      </vt:variant>
      <vt:variant>
        <vt:i4>1572919</vt:i4>
      </vt:variant>
      <vt:variant>
        <vt:i4>461</vt:i4>
      </vt:variant>
      <vt:variant>
        <vt:i4>0</vt:i4>
      </vt:variant>
      <vt:variant>
        <vt:i4>5</vt:i4>
      </vt:variant>
      <vt:variant>
        <vt:lpwstr/>
      </vt:variant>
      <vt:variant>
        <vt:lpwstr>_Toc14442708</vt:lpwstr>
      </vt:variant>
      <vt:variant>
        <vt:i4>1507383</vt:i4>
      </vt:variant>
      <vt:variant>
        <vt:i4>455</vt:i4>
      </vt:variant>
      <vt:variant>
        <vt:i4>0</vt:i4>
      </vt:variant>
      <vt:variant>
        <vt:i4>5</vt:i4>
      </vt:variant>
      <vt:variant>
        <vt:lpwstr/>
      </vt:variant>
      <vt:variant>
        <vt:lpwstr>_Toc14442707</vt:lpwstr>
      </vt:variant>
      <vt:variant>
        <vt:i4>1441847</vt:i4>
      </vt:variant>
      <vt:variant>
        <vt:i4>449</vt:i4>
      </vt:variant>
      <vt:variant>
        <vt:i4>0</vt:i4>
      </vt:variant>
      <vt:variant>
        <vt:i4>5</vt:i4>
      </vt:variant>
      <vt:variant>
        <vt:lpwstr/>
      </vt:variant>
      <vt:variant>
        <vt:lpwstr>_Toc14442706</vt:lpwstr>
      </vt:variant>
      <vt:variant>
        <vt:i4>1376311</vt:i4>
      </vt:variant>
      <vt:variant>
        <vt:i4>443</vt:i4>
      </vt:variant>
      <vt:variant>
        <vt:i4>0</vt:i4>
      </vt:variant>
      <vt:variant>
        <vt:i4>5</vt:i4>
      </vt:variant>
      <vt:variant>
        <vt:lpwstr/>
      </vt:variant>
      <vt:variant>
        <vt:lpwstr>_Toc14442705</vt:lpwstr>
      </vt:variant>
      <vt:variant>
        <vt:i4>1310775</vt:i4>
      </vt:variant>
      <vt:variant>
        <vt:i4>437</vt:i4>
      </vt:variant>
      <vt:variant>
        <vt:i4>0</vt:i4>
      </vt:variant>
      <vt:variant>
        <vt:i4>5</vt:i4>
      </vt:variant>
      <vt:variant>
        <vt:lpwstr/>
      </vt:variant>
      <vt:variant>
        <vt:lpwstr>_Toc14442704</vt:lpwstr>
      </vt:variant>
      <vt:variant>
        <vt:i4>1245239</vt:i4>
      </vt:variant>
      <vt:variant>
        <vt:i4>431</vt:i4>
      </vt:variant>
      <vt:variant>
        <vt:i4>0</vt:i4>
      </vt:variant>
      <vt:variant>
        <vt:i4>5</vt:i4>
      </vt:variant>
      <vt:variant>
        <vt:lpwstr/>
      </vt:variant>
      <vt:variant>
        <vt:lpwstr>_Toc14442703</vt:lpwstr>
      </vt:variant>
      <vt:variant>
        <vt:i4>1179703</vt:i4>
      </vt:variant>
      <vt:variant>
        <vt:i4>425</vt:i4>
      </vt:variant>
      <vt:variant>
        <vt:i4>0</vt:i4>
      </vt:variant>
      <vt:variant>
        <vt:i4>5</vt:i4>
      </vt:variant>
      <vt:variant>
        <vt:lpwstr/>
      </vt:variant>
      <vt:variant>
        <vt:lpwstr>_Toc14442702</vt:lpwstr>
      </vt:variant>
      <vt:variant>
        <vt:i4>1114167</vt:i4>
      </vt:variant>
      <vt:variant>
        <vt:i4>419</vt:i4>
      </vt:variant>
      <vt:variant>
        <vt:i4>0</vt:i4>
      </vt:variant>
      <vt:variant>
        <vt:i4>5</vt:i4>
      </vt:variant>
      <vt:variant>
        <vt:lpwstr/>
      </vt:variant>
      <vt:variant>
        <vt:lpwstr>_Toc14442701</vt:lpwstr>
      </vt:variant>
      <vt:variant>
        <vt:i4>1048631</vt:i4>
      </vt:variant>
      <vt:variant>
        <vt:i4>413</vt:i4>
      </vt:variant>
      <vt:variant>
        <vt:i4>0</vt:i4>
      </vt:variant>
      <vt:variant>
        <vt:i4>5</vt:i4>
      </vt:variant>
      <vt:variant>
        <vt:lpwstr/>
      </vt:variant>
      <vt:variant>
        <vt:lpwstr>_Toc14442700</vt:lpwstr>
      </vt:variant>
      <vt:variant>
        <vt:i4>1572926</vt:i4>
      </vt:variant>
      <vt:variant>
        <vt:i4>407</vt:i4>
      </vt:variant>
      <vt:variant>
        <vt:i4>0</vt:i4>
      </vt:variant>
      <vt:variant>
        <vt:i4>5</vt:i4>
      </vt:variant>
      <vt:variant>
        <vt:lpwstr/>
      </vt:variant>
      <vt:variant>
        <vt:lpwstr>_Toc14442699</vt:lpwstr>
      </vt:variant>
      <vt:variant>
        <vt:i4>1638462</vt:i4>
      </vt:variant>
      <vt:variant>
        <vt:i4>401</vt:i4>
      </vt:variant>
      <vt:variant>
        <vt:i4>0</vt:i4>
      </vt:variant>
      <vt:variant>
        <vt:i4>5</vt:i4>
      </vt:variant>
      <vt:variant>
        <vt:lpwstr/>
      </vt:variant>
      <vt:variant>
        <vt:lpwstr>_Toc14442698</vt:lpwstr>
      </vt:variant>
      <vt:variant>
        <vt:i4>1441854</vt:i4>
      </vt:variant>
      <vt:variant>
        <vt:i4>395</vt:i4>
      </vt:variant>
      <vt:variant>
        <vt:i4>0</vt:i4>
      </vt:variant>
      <vt:variant>
        <vt:i4>5</vt:i4>
      </vt:variant>
      <vt:variant>
        <vt:lpwstr/>
      </vt:variant>
      <vt:variant>
        <vt:lpwstr>_Toc14442697</vt:lpwstr>
      </vt:variant>
      <vt:variant>
        <vt:i4>1507390</vt:i4>
      </vt:variant>
      <vt:variant>
        <vt:i4>389</vt:i4>
      </vt:variant>
      <vt:variant>
        <vt:i4>0</vt:i4>
      </vt:variant>
      <vt:variant>
        <vt:i4>5</vt:i4>
      </vt:variant>
      <vt:variant>
        <vt:lpwstr/>
      </vt:variant>
      <vt:variant>
        <vt:lpwstr>_Toc14442696</vt:lpwstr>
      </vt:variant>
      <vt:variant>
        <vt:i4>1310782</vt:i4>
      </vt:variant>
      <vt:variant>
        <vt:i4>383</vt:i4>
      </vt:variant>
      <vt:variant>
        <vt:i4>0</vt:i4>
      </vt:variant>
      <vt:variant>
        <vt:i4>5</vt:i4>
      </vt:variant>
      <vt:variant>
        <vt:lpwstr/>
      </vt:variant>
      <vt:variant>
        <vt:lpwstr>_Toc14442695</vt:lpwstr>
      </vt:variant>
      <vt:variant>
        <vt:i4>1376318</vt:i4>
      </vt:variant>
      <vt:variant>
        <vt:i4>377</vt:i4>
      </vt:variant>
      <vt:variant>
        <vt:i4>0</vt:i4>
      </vt:variant>
      <vt:variant>
        <vt:i4>5</vt:i4>
      </vt:variant>
      <vt:variant>
        <vt:lpwstr/>
      </vt:variant>
      <vt:variant>
        <vt:lpwstr>_Toc14442694</vt:lpwstr>
      </vt:variant>
      <vt:variant>
        <vt:i4>1179710</vt:i4>
      </vt:variant>
      <vt:variant>
        <vt:i4>371</vt:i4>
      </vt:variant>
      <vt:variant>
        <vt:i4>0</vt:i4>
      </vt:variant>
      <vt:variant>
        <vt:i4>5</vt:i4>
      </vt:variant>
      <vt:variant>
        <vt:lpwstr/>
      </vt:variant>
      <vt:variant>
        <vt:lpwstr>_Toc14442693</vt:lpwstr>
      </vt:variant>
      <vt:variant>
        <vt:i4>1245246</vt:i4>
      </vt:variant>
      <vt:variant>
        <vt:i4>365</vt:i4>
      </vt:variant>
      <vt:variant>
        <vt:i4>0</vt:i4>
      </vt:variant>
      <vt:variant>
        <vt:i4>5</vt:i4>
      </vt:variant>
      <vt:variant>
        <vt:lpwstr/>
      </vt:variant>
      <vt:variant>
        <vt:lpwstr>_Toc14442692</vt:lpwstr>
      </vt:variant>
      <vt:variant>
        <vt:i4>1048638</vt:i4>
      </vt:variant>
      <vt:variant>
        <vt:i4>359</vt:i4>
      </vt:variant>
      <vt:variant>
        <vt:i4>0</vt:i4>
      </vt:variant>
      <vt:variant>
        <vt:i4>5</vt:i4>
      </vt:variant>
      <vt:variant>
        <vt:lpwstr/>
      </vt:variant>
      <vt:variant>
        <vt:lpwstr>_Toc14442691</vt:lpwstr>
      </vt:variant>
      <vt:variant>
        <vt:i4>1114174</vt:i4>
      </vt:variant>
      <vt:variant>
        <vt:i4>353</vt:i4>
      </vt:variant>
      <vt:variant>
        <vt:i4>0</vt:i4>
      </vt:variant>
      <vt:variant>
        <vt:i4>5</vt:i4>
      </vt:variant>
      <vt:variant>
        <vt:lpwstr/>
      </vt:variant>
      <vt:variant>
        <vt:lpwstr>_Toc14442690</vt:lpwstr>
      </vt:variant>
      <vt:variant>
        <vt:i4>1572927</vt:i4>
      </vt:variant>
      <vt:variant>
        <vt:i4>347</vt:i4>
      </vt:variant>
      <vt:variant>
        <vt:i4>0</vt:i4>
      </vt:variant>
      <vt:variant>
        <vt:i4>5</vt:i4>
      </vt:variant>
      <vt:variant>
        <vt:lpwstr/>
      </vt:variant>
      <vt:variant>
        <vt:lpwstr>_Toc14442689</vt:lpwstr>
      </vt:variant>
      <vt:variant>
        <vt:i4>1638463</vt:i4>
      </vt:variant>
      <vt:variant>
        <vt:i4>341</vt:i4>
      </vt:variant>
      <vt:variant>
        <vt:i4>0</vt:i4>
      </vt:variant>
      <vt:variant>
        <vt:i4>5</vt:i4>
      </vt:variant>
      <vt:variant>
        <vt:lpwstr/>
      </vt:variant>
      <vt:variant>
        <vt:lpwstr>_Toc14442688</vt:lpwstr>
      </vt:variant>
      <vt:variant>
        <vt:i4>1441855</vt:i4>
      </vt:variant>
      <vt:variant>
        <vt:i4>335</vt:i4>
      </vt:variant>
      <vt:variant>
        <vt:i4>0</vt:i4>
      </vt:variant>
      <vt:variant>
        <vt:i4>5</vt:i4>
      </vt:variant>
      <vt:variant>
        <vt:lpwstr/>
      </vt:variant>
      <vt:variant>
        <vt:lpwstr>_Toc14442687</vt:lpwstr>
      </vt:variant>
      <vt:variant>
        <vt:i4>1507391</vt:i4>
      </vt:variant>
      <vt:variant>
        <vt:i4>329</vt:i4>
      </vt:variant>
      <vt:variant>
        <vt:i4>0</vt:i4>
      </vt:variant>
      <vt:variant>
        <vt:i4>5</vt:i4>
      </vt:variant>
      <vt:variant>
        <vt:lpwstr/>
      </vt:variant>
      <vt:variant>
        <vt:lpwstr>_Toc14442686</vt:lpwstr>
      </vt:variant>
      <vt:variant>
        <vt:i4>1310783</vt:i4>
      </vt:variant>
      <vt:variant>
        <vt:i4>323</vt:i4>
      </vt:variant>
      <vt:variant>
        <vt:i4>0</vt:i4>
      </vt:variant>
      <vt:variant>
        <vt:i4>5</vt:i4>
      </vt:variant>
      <vt:variant>
        <vt:lpwstr/>
      </vt:variant>
      <vt:variant>
        <vt:lpwstr>_Toc14442685</vt:lpwstr>
      </vt:variant>
      <vt:variant>
        <vt:i4>1376319</vt:i4>
      </vt:variant>
      <vt:variant>
        <vt:i4>317</vt:i4>
      </vt:variant>
      <vt:variant>
        <vt:i4>0</vt:i4>
      </vt:variant>
      <vt:variant>
        <vt:i4>5</vt:i4>
      </vt:variant>
      <vt:variant>
        <vt:lpwstr/>
      </vt:variant>
      <vt:variant>
        <vt:lpwstr>_Toc14442684</vt:lpwstr>
      </vt:variant>
      <vt:variant>
        <vt:i4>1179711</vt:i4>
      </vt:variant>
      <vt:variant>
        <vt:i4>311</vt:i4>
      </vt:variant>
      <vt:variant>
        <vt:i4>0</vt:i4>
      </vt:variant>
      <vt:variant>
        <vt:i4>5</vt:i4>
      </vt:variant>
      <vt:variant>
        <vt:lpwstr/>
      </vt:variant>
      <vt:variant>
        <vt:lpwstr>_Toc14442683</vt:lpwstr>
      </vt:variant>
      <vt:variant>
        <vt:i4>1441843</vt:i4>
      </vt:variant>
      <vt:variant>
        <vt:i4>302</vt:i4>
      </vt:variant>
      <vt:variant>
        <vt:i4>0</vt:i4>
      </vt:variant>
      <vt:variant>
        <vt:i4>5</vt:i4>
      </vt:variant>
      <vt:variant>
        <vt:lpwstr/>
      </vt:variant>
      <vt:variant>
        <vt:lpwstr>_Toc14442948</vt:lpwstr>
      </vt:variant>
      <vt:variant>
        <vt:i4>1638451</vt:i4>
      </vt:variant>
      <vt:variant>
        <vt:i4>296</vt:i4>
      </vt:variant>
      <vt:variant>
        <vt:i4>0</vt:i4>
      </vt:variant>
      <vt:variant>
        <vt:i4>5</vt:i4>
      </vt:variant>
      <vt:variant>
        <vt:lpwstr/>
      </vt:variant>
      <vt:variant>
        <vt:lpwstr>_Toc14442947</vt:lpwstr>
      </vt:variant>
      <vt:variant>
        <vt:i4>1572915</vt:i4>
      </vt:variant>
      <vt:variant>
        <vt:i4>290</vt:i4>
      </vt:variant>
      <vt:variant>
        <vt:i4>0</vt:i4>
      </vt:variant>
      <vt:variant>
        <vt:i4>5</vt:i4>
      </vt:variant>
      <vt:variant>
        <vt:lpwstr/>
      </vt:variant>
      <vt:variant>
        <vt:lpwstr>_Toc14442946</vt:lpwstr>
      </vt:variant>
      <vt:variant>
        <vt:i4>1769523</vt:i4>
      </vt:variant>
      <vt:variant>
        <vt:i4>284</vt:i4>
      </vt:variant>
      <vt:variant>
        <vt:i4>0</vt:i4>
      </vt:variant>
      <vt:variant>
        <vt:i4>5</vt:i4>
      </vt:variant>
      <vt:variant>
        <vt:lpwstr/>
      </vt:variant>
      <vt:variant>
        <vt:lpwstr>_Toc14442945</vt:lpwstr>
      </vt:variant>
      <vt:variant>
        <vt:i4>1703987</vt:i4>
      </vt:variant>
      <vt:variant>
        <vt:i4>278</vt:i4>
      </vt:variant>
      <vt:variant>
        <vt:i4>0</vt:i4>
      </vt:variant>
      <vt:variant>
        <vt:i4>5</vt:i4>
      </vt:variant>
      <vt:variant>
        <vt:lpwstr/>
      </vt:variant>
      <vt:variant>
        <vt:lpwstr>_Toc14442944</vt:lpwstr>
      </vt:variant>
      <vt:variant>
        <vt:i4>1900595</vt:i4>
      </vt:variant>
      <vt:variant>
        <vt:i4>272</vt:i4>
      </vt:variant>
      <vt:variant>
        <vt:i4>0</vt:i4>
      </vt:variant>
      <vt:variant>
        <vt:i4>5</vt:i4>
      </vt:variant>
      <vt:variant>
        <vt:lpwstr/>
      </vt:variant>
      <vt:variant>
        <vt:lpwstr>_Toc14442943</vt:lpwstr>
      </vt:variant>
      <vt:variant>
        <vt:i4>1835059</vt:i4>
      </vt:variant>
      <vt:variant>
        <vt:i4>266</vt:i4>
      </vt:variant>
      <vt:variant>
        <vt:i4>0</vt:i4>
      </vt:variant>
      <vt:variant>
        <vt:i4>5</vt:i4>
      </vt:variant>
      <vt:variant>
        <vt:lpwstr/>
      </vt:variant>
      <vt:variant>
        <vt:lpwstr>_Toc14442942</vt:lpwstr>
      </vt:variant>
      <vt:variant>
        <vt:i4>2031667</vt:i4>
      </vt:variant>
      <vt:variant>
        <vt:i4>260</vt:i4>
      </vt:variant>
      <vt:variant>
        <vt:i4>0</vt:i4>
      </vt:variant>
      <vt:variant>
        <vt:i4>5</vt:i4>
      </vt:variant>
      <vt:variant>
        <vt:lpwstr/>
      </vt:variant>
      <vt:variant>
        <vt:lpwstr>_Toc14442941</vt:lpwstr>
      </vt:variant>
      <vt:variant>
        <vt:i4>1966131</vt:i4>
      </vt:variant>
      <vt:variant>
        <vt:i4>254</vt:i4>
      </vt:variant>
      <vt:variant>
        <vt:i4>0</vt:i4>
      </vt:variant>
      <vt:variant>
        <vt:i4>5</vt:i4>
      </vt:variant>
      <vt:variant>
        <vt:lpwstr/>
      </vt:variant>
      <vt:variant>
        <vt:lpwstr>_Toc14442940</vt:lpwstr>
      </vt:variant>
      <vt:variant>
        <vt:i4>1507380</vt:i4>
      </vt:variant>
      <vt:variant>
        <vt:i4>248</vt:i4>
      </vt:variant>
      <vt:variant>
        <vt:i4>0</vt:i4>
      </vt:variant>
      <vt:variant>
        <vt:i4>5</vt:i4>
      </vt:variant>
      <vt:variant>
        <vt:lpwstr/>
      </vt:variant>
      <vt:variant>
        <vt:lpwstr>_Toc14442939</vt:lpwstr>
      </vt:variant>
      <vt:variant>
        <vt:i4>1441844</vt:i4>
      </vt:variant>
      <vt:variant>
        <vt:i4>242</vt:i4>
      </vt:variant>
      <vt:variant>
        <vt:i4>0</vt:i4>
      </vt:variant>
      <vt:variant>
        <vt:i4>5</vt:i4>
      </vt:variant>
      <vt:variant>
        <vt:lpwstr/>
      </vt:variant>
      <vt:variant>
        <vt:lpwstr>_Toc14442938</vt:lpwstr>
      </vt:variant>
      <vt:variant>
        <vt:i4>1638452</vt:i4>
      </vt:variant>
      <vt:variant>
        <vt:i4>236</vt:i4>
      </vt:variant>
      <vt:variant>
        <vt:i4>0</vt:i4>
      </vt:variant>
      <vt:variant>
        <vt:i4>5</vt:i4>
      </vt:variant>
      <vt:variant>
        <vt:lpwstr/>
      </vt:variant>
      <vt:variant>
        <vt:lpwstr>_Toc14442937</vt:lpwstr>
      </vt:variant>
      <vt:variant>
        <vt:i4>1572916</vt:i4>
      </vt:variant>
      <vt:variant>
        <vt:i4>230</vt:i4>
      </vt:variant>
      <vt:variant>
        <vt:i4>0</vt:i4>
      </vt:variant>
      <vt:variant>
        <vt:i4>5</vt:i4>
      </vt:variant>
      <vt:variant>
        <vt:lpwstr/>
      </vt:variant>
      <vt:variant>
        <vt:lpwstr>_Toc14442936</vt:lpwstr>
      </vt:variant>
      <vt:variant>
        <vt:i4>1769524</vt:i4>
      </vt:variant>
      <vt:variant>
        <vt:i4>224</vt:i4>
      </vt:variant>
      <vt:variant>
        <vt:i4>0</vt:i4>
      </vt:variant>
      <vt:variant>
        <vt:i4>5</vt:i4>
      </vt:variant>
      <vt:variant>
        <vt:lpwstr/>
      </vt:variant>
      <vt:variant>
        <vt:lpwstr>_Toc14442935</vt:lpwstr>
      </vt:variant>
      <vt:variant>
        <vt:i4>1703988</vt:i4>
      </vt:variant>
      <vt:variant>
        <vt:i4>218</vt:i4>
      </vt:variant>
      <vt:variant>
        <vt:i4>0</vt:i4>
      </vt:variant>
      <vt:variant>
        <vt:i4>5</vt:i4>
      </vt:variant>
      <vt:variant>
        <vt:lpwstr/>
      </vt:variant>
      <vt:variant>
        <vt:lpwstr>_Toc14442934</vt:lpwstr>
      </vt:variant>
      <vt:variant>
        <vt:i4>1900596</vt:i4>
      </vt:variant>
      <vt:variant>
        <vt:i4>212</vt:i4>
      </vt:variant>
      <vt:variant>
        <vt:i4>0</vt:i4>
      </vt:variant>
      <vt:variant>
        <vt:i4>5</vt:i4>
      </vt:variant>
      <vt:variant>
        <vt:lpwstr/>
      </vt:variant>
      <vt:variant>
        <vt:lpwstr>_Toc14442933</vt:lpwstr>
      </vt:variant>
      <vt:variant>
        <vt:i4>1835060</vt:i4>
      </vt:variant>
      <vt:variant>
        <vt:i4>206</vt:i4>
      </vt:variant>
      <vt:variant>
        <vt:i4>0</vt:i4>
      </vt:variant>
      <vt:variant>
        <vt:i4>5</vt:i4>
      </vt:variant>
      <vt:variant>
        <vt:lpwstr/>
      </vt:variant>
      <vt:variant>
        <vt:lpwstr>_Toc14442932</vt:lpwstr>
      </vt:variant>
      <vt:variant>
        <vt:i4>2031668</vt:i4>
      </vt:variant>
      <vt:variant>
        <vt:i4>200</vt:i4>
      </vt:variant>
      <vt:variant>
        <vt:i4>0</vt:i4>
      </vt:variant>
      <vt:variant>
        <vt:i4>5</vt:i4>
      </vt:variant>
      <vt:variant>
        <vt:lpwstr/>
      </vt:variant>
      <vt:variant>
        <vt:lpwstr>_Toc14442931</vt:lpwstr>
      </vt:variant>
      <vt:variant>
        <vt:i4>1966132</vt:i4>
      </vt:variant>
      <vt:variant>
        <vt:i4>194</vt:i4>
      </vt:variant>
      <vt:variant>
        <vt:i4>0</vt:i4>
      </vt:variant>
      <vt:variant>
        <vt:i4>5</vt:i4>
      </vt:variant>
      <vt:variant>
        <vt:lpwstr/>
      </vt:variant>
      <vt:variant>
        <vt:lpwstr>_Toc14442930</vt:lpwstr>
      </vt:variant>
      <vt:variant>
        <vt:i4>1507381</vt:i4>
      </vt:variant>
      <vt:variant>
        <vt:i4>188</vt:i4>
      </vt:variant>
      <vt:variant>
        <vt:i4>0</vt:i4>
      </vt:variant>
      <vt:variant>
        <vt:i4>5</vt:i4>
      </vt:variant>
      <vt:variant>
        <vt:lpwstr/>
      </vt:variant>
      <vt:variant>
        <vt:lpwstr>_Toc14442929</vt:lpwstr>
      </vt:variant>
      <vt:variant>
        <vt:i4>1441845</vt:i4>
      </vt:variant>
      <vt:variant>
        <vt:i4>182</vt:i4>
      </vt:variant>
      <vt:variant>
        <vt:i4>0</vt:i4>
      </vt:variant>
      <vt:variant>
        <vt:i4>5</vt:i4>
      </vt:variant>
      <vt:variant>
        <vt:lpwstr/>
      </vt:variant>
      <vt:variant>
        <vt:lpwstr>_Toc14442928</vt:lpwstr>
      </vt:variant>
      <vt:variant>
        <vt:i4>1638453</vt:i4>
      </vt:variant>
      <vt:variant>
        <vt:i4>176</vt:i4>
      </vt:variant>
      <vt:variant>
        <vt:i4>0</vt:i4>
      </vt:variant>
      <vt:variant>
        <vt:i4>5</vt:i4>
      </vt:variant>
      <vt:variant>
        <vt:lpwstr/>
      </vt:variant>
      <vt:variant>
        <vt:lpwstr>_Toc14442927</vt:lpwstr>
      </vt:variant>
      <vt:variant>
        <vt:i4>1572917</vt:i4>
      </vt:variant>
      <vt:variant>
        <vt:i4>170</vt:i4>
      </vt:variant>
      <vt:variant>
        <vt:i4>0</vt:i4>
      </vt:variant>
      <vt:variant>
        <vt:i4>5</vt:i4>
      </vt:variant>
      <vt:variant>
        <vt:lpwstr/>
      </vt:variant>
      <vt:variant>
        <vt:lpwstr>_Toc14442926</vt:lpwstr>
      </vt:variant>
      <vt:variant>
        <vt:i4>1769525</vt:i4>
      </vt:variant>
      <vt:variant>
        <vt:i4>164</vt:i4>
      </vt:variant>
      <vt:variant>
        <vt:i4>0</vt:i4>
      </vt:variant>
      <vt:variant>
        <vt:i4>5</vt:i4>
      </vt:variant>
      <vt:variant>
        <vt:lpwstr/>
      </vt:variant>
      <vt:variant>
        <vt:lpwstr>_Toc14442925</vt:lpwstr>
      </vt:variant>
      <vt:variant>
        <vt:i4>1703989</vt:i4>
      </vt:variant>
      <vt:variant>
        <vt:i4>158</vt:i4>
      </vt:variant>
      <vt:variant>
        <vt:i4>0</vt:i4>
      </vt:variant>
      <vt:variant>
        <vt:i4>5</vt:i4>
      </vt:variant>
      <vt:variant>
        <vt:lpwstr/>
      </vt:variant>
      <vt:variant>
        <vt:lpwstr>_Toc14442924</vt:lpwstr>
      </vt:variant>
      <vt:variant>
        <vt:i4>1900597</vt:i4>
      </vt:variant>
      <vt:variant>
        <vt:i4>152</vt:i4>
      </vt:variant>
      <vt:variant>
        <vt:i4>0</vt:i4>
      </vt:variant>
      <vt:variant>
        <vt:i4>5</vt:i4>
      </vt:variant>
      <vt:variant>
        <vt:lpwstr/>
      </vt:variant>
      <vt:variant>
        <vt:lpwstr>_Toc14442923</vt:lpwstr>
      </vt:variant>
      <vt:variant>
        <vt:i4>1835061</vt:i4>
      </vt:variant>
      <vt:variant>
        <vt:i4>146</vt:i4>
      </vt:variant>
      <vt:variant>
        <vt:i4>0</vt:i4>
      </vt:variant>
      <vt:variant>
        <vt:i4>5</vt:i4>
      </vt:variant>
      <vt:variant>
        <vt:lpwstr/>
      </vt:variant>
      <vt:variant>
        <vt:lpwstr>_Toc14442922</vt:lpwstr>
      </vt:variant>
      <vt:variant>
        <vt:i4>2031669</vt:i4>
      </vt:variant>
      <vt:variant>
        <vt:i4>140</vt:i4>
      </vt:variant>
      <vt:variant>
        <vt:i4>0</vt:i4>
      </vt:variant>
      <vt:variant>
        <vt:i4>5</vt:i4>
      </vt:variant>
      <vt:variant>
        <vt:lpwstr/>
      </vt:variant>
      <vt:variant>
        <vt:lpwstr>_Toc14442921</vt:lpwstr>
      </vt:variant>
      <vt:variant>
        <vt:i4>1966133</vt:i4>
      </vt:variant>
      <vt:variant>
        <vt:i4>134</vt:i4>
      </vt:variant>
      <vt:variant>
        <vt:i4>0</vt:i4>
      </vt:variant>
      <vt:variant>
        <vt:i4>5</vt:i4>
      </vt:variant>
      <vt:variant>
        <vt:lpwstr/>
      </vt:variant>
      <vt:variant>
        <vt:lpwstr>_Toc14442920</vt:lpwstr>
      </vt:variant>
      <vt:variant>
        <vt:i4>1507382</vt:i4>
      </vt:variant>
      <vt:variant>
        <vt:i4>128</vt:i4>
      </vt:variant>
      <vt:variant>
        <vt:i4>0</vt:i4>
      </vt:variant>
      <vt:variant>
        <vt:i4>5</vt:i4>
      </vt:variant>
      <vt:variant>
        <vt:lpwstr/>
      </vt:variant>
      <vt:variant>
        <vt:lpwstr>_Toc14442919</vt:lpwstr>
      </vt:variant>
      <vt:variant>
        <vt:i4>1441846</vt:i4>
      </vt:variant>
      <vt:variant>
        <vt:i4>122</vt:i4>
      </vt:variant>
      <vt:variant>
        <vt:i4>0</vt:i4>
      </vt:variant>
      <vt:variant>
        <vt:i4>5</vt:i4>
      </vt:variant>
      <vt:variant>
        <vt:lpwstr/>
      </vt:variant>
      <vt:variant>
        <vt:lpwstr>_Toc14442918</vt:lpwstr>
      </vt:variant>
      <vt:variant>
        <vt:i4>1638454</vt:i4>
      </vt:variant>
      <vt:variant>
        <vt:i4>116</vt:i4>
      </vt:variant>
      <vt:variant>
        <vt:i4>0</vt:i4>
      </vt:variant>
      <vt:variant>
        <vt:i4>5</vt:i4>
      </vt:variant>
      <vt:variant>
        <vt:lpwstr/>
      </vt:variant>
      <vt:variant>
        <vt:lpwstr>_Toc14442917</vt:lpwstr>
      </vt:variant>
      <vt:variant>
        <vt:i4>1572918</vt:i4>
      </vt:variant>
      <vt:variant>
        <vt:i4>110</vt:i4>
      </vt:variant>
      <vt:variant>
        <vt:i4>0</vt:i4>
      </vt:variant>
      <vt:variant>
        <vt:i4>5</vt:i4>
      </vt:variant>
      <vt:variant>
        <vt:lpwstr/>
      </vt:variant>
      <vt:variant>
        <vt:lpwstr>_Toc14442916</vt:lpwstr>
      </vt:variant>
      <vt:variant>
        <vt:i4>1769526</vt:i4>
      </vt:variant>
      <vt:variant>
        <vt:i4>104</vt:i4>
      </vt:variant>
      <vt:variant>
        <vt:i4>0</vt:i4>
      </vt:variant>
      <vt:variant>
        <vt:i4>5</vt:i4>
      </vt:variant>
      <vt:variant>
        <vt:lpwstr/>
      </vt:variant>
      <vt:variant>
        <vt:lpwstr>_Toc14442915</vt:lpwstr>
      </vt:variant>
      <vt:variant>
        <vt:i4>1703990</vt:i4>
      </vt:variant>
      <vt:variant>
        <vt:i4>98</vt:i4>
      </vt:variant>
      <vt:variant>
        <vt:i4>0</vt:i4>
      </vt:variant>
      <vt:variant>
        <vt:i4>5</vt:i4>
      </vt:variant>
      <vt:variant>
        <vt:lpwstr/>
      </vt:variant>
      <vt:variant>
        <vt:lpwstr>_Toc14442914</vt:lpwstr>
      </vt:variant>
      <vt:variant>
        <vt:i4>1900598</vt:i4>
      </vt:variant>
      <vt:variant>
        <vt:i4>92</vt:i4>
      </vt:variant>
      <vt:variant>
        <vt:i4>0</vt:i4>
      </vt:variant>
      <vt:variant>
        <vt:i4>5</vt:i4>
      </vt:variant>
      <vt:variant>
        <vt:lpwstr/>
      </vt:variant>
      <vt:variant>
        <vt:lpwstr>_Toc14442913</vt:lpwstr>
      </vt:variant>
      <vt:variant>
        <vt:i4>1835062</vt:i4>
      </vt:variant>
      <vt:variant>
        <vt:i4>86</vt:i4>
      </vt:variant>
      <vt:variant>
        <vt:i4>0</vt:i4>
      </vt:variant>
      <vt:variant>
        <vt:i4>5</vt:i4>
      </vt:variant>
      <vt:variant>
        <vt:lpwstr/>
      </vt:variant>
      <vt:variant>
        <vt:lpwstr>_Toc14442912</vt:lpwstr>
      </vt:variant>
      <vt:variant>
        <vt:i4>2031670</vt:i4>
      </vt:variant>
      <vt:variant>
        <vt:i4>80</vt:i4>
      </vt:variant>
      <vt:variant>
        <vt:i4>0</vt:i4>
      </vt:variant>
      <vt:variant>
        <vt:i4>5</vt:i4>
      </vt:variant>
      <vt:variant>
        <vt:lpwstr/>
      </vt:variant>
      <vt:variant>
        <vt:lpwstr>_Toc14442911</vt:lpwstr>
      </vt:variant>
      <vt:variant>
        <vt:i4>1966134</vt:i4>
      </vt:variant>
      <vt:variant>
        <vt:i4>74</vt:i4>
      </vt:variant>
      <vt:variant>
        <vt:i4>0</vt:i4>
      </vt:variant>
      <vt:variant>
        <vt:i4>5</vt:i4>
      </vt:variant>
      <vt:variant>
        <vt:lpwstr/>
      </vt:variant>
      <vt:variant>
        <vt:lpwstr>_Toc14442910</vt:lpwstr>
      </vt:variant>
      <vt:variant>
        <vt:i4>1507383</vt:i4>
      </vt:variant>
      <vt:variant>
        <vt:i4>68</vt:i4>
      </vt:variant>
      <vt:variant>
        <vt:i4>0</vt:i4>
      </vt:variant>
      <vt:variant>
        <vt:i4>5</vt:i4>
      </vt:variant>
      <vt:variant>
        <vt:lpwstr/>
      </vt:variant>
      <vt:variant>
        <vt:lpwstr>_Toc14442909</vt:lpwstr>
      </vt:variant>
      <vt:variant>
        <vt:i4>1441847</vt:i4>
      </vt:variant>
      <vt:variant>
        <vt:i4>62</vt:i4>
      </vt:variant>
      <vt:variant>
        <vt:i4>0</vt:i4>
      </vt:variant>
      <vt:variant>
        <vt:i4>5</vt:i4>
      </vt:variant>
      <vt:variant>
        <vt:lpwstr/>
      </vt:variant>
      <vt:variant>
        <vt:lpwstr>_Toc14442908</vt:lpwstr>
      </vt:variant>
      <vt:variant>
        <vt:i4>1638455</vt:i4>
      </vt:variant>
      <vt:variant>
        <vt:i4>56</vt:i4>
      </vt:variant>
      <vt:variant>
        <vt:i4>0</vt:i4>
      </vt:variant>
      <vt:variant>
        <vt:i4>5</vt:i4>
      </vt:variant>
      <vt:variant>
        <vt:lpwstr/>
      </vt:variant>
      <vt:variant>
        <vt:lpwstr>_Toc14442907</vt:lpwstr>
      </vt:variant>
      <vt:variant>
        <vt:i4>1572919</vt:i4>
      </vt:variant>
      <vt:variant>
        <vt:i4>50</vt:i4>
      </vt:variant>
      <vt:variant>
        <vt:i4>0</vt:i4>
      </vt:variant>
      <vt:variant>
        <vt:i4>5</vt:i4>
      </vt:variant>
      <vt:variant>
        <vt:lpwstr/>
      </vt:variant>
      <vt:variant>
        <vt:lpwstr>_Toc14442906</vt:lpwstr>
      </vt:variant>
      <vt:variant>
        <vt:i4>1769527</vt:i4>
      </vt:variant>
      <vt:variant>
        <vt:i4>44</vt:i4>
      </vt:variant>
      <vt:variant>
        <vt:i4>0</vt:i4>
      </vt:variant>
      <vt:variant>
        <vt:i4>5</vt:i4>
      </vt:variant>
      <vt:variant>
        <vt:lpwstr/>
      </vt:variant>
      <vt:variant>
        <vt:lpwstr>_Toc14442905</vt:lpwstr>
      </vt:variant>
      <vt:variant>
        <vt:i4>1703991</vt:i4>
      </vt:variant>
      <vt:variant>
        <vt:i4>38</vt:i4>
      </vt:variant>
      <vt:variant>
        <vt:i4>0</vt:i4>
      </vt:variant>
      <vt:variant>
        <vt:i4>5</vt:i4>
      </vt:variant>
      <vt:variant>
        <vt:lpwstr/>
      </vt:variant>
      <vt:variant>
        <vt:lpwstr>_Toc14442904</vt:lpwstr>
      </vt:variant>
      <vt:variant>
        <vt:i4>1900599</vt:i4>
      </vt:variant>
      <vt:variant>
        <vt:i4>32</vt:i4>
      </vt:variant>
      <vt:variant>
        <vt:i4>0</vt:i4>
      </vt:variant>
      <vt:variant>
        <vt:i4>5</vt:i4>
      </vt:variant>
      <vt:variant>
        <vt:lpwstr/>
      </vt:variant>
      <vt:variant>
        <vt:lpwstr>_Toc14442903</vt:lpwstr>
      </vt:variant>
      <vt:variant>
        <vt:i4>1835063</vt:i4>
      </vt:variant>
      <vt:variant>
        <vt:i4>26</vt:i4>
      </vt:variant>
      <vt:variant>
        <vt:i4>0</vt:i4>
      </vt:variant>
      <vt:variant>
        <vt:i4>5</vt:i4>
      </vt:variant>
      <vt:variant>
        <vt:lpwstr/>
      </vt:variant>
      <vt:variant>
        <vt:lpwstr>_Toc14442902</vt:lpwstr>
      </vt:variant>
      <vt:variant>
        <vt:i4>2031671</vt:i4>
      </vt:variant>
      <vt:variant>
        <vt:i4>20</vt:i4>
      </vt:variant>
      <vt:variant>
        <vt:i4>0</vt:i4>
      </vt:variant>
      <vt:variant>
        <vt:i4>5</vt:i4>
      </vt:variant>
      <vt:variant>
        <vt:lpwstr/>
      </vt:variant>
      <vt:variant>
        <vt:lpwstr>_Toc14442901</vt:lpwstr>
      </vt:variant>
      <vt:variant>
        <vt:i4>1966135</vt:i4>
      </vt:variant>
      <vt:variant>
        <vt:i4>14</vt:i4>
      </vt:variant>
      <vt:variant>
        <vt:i4>0</vt:i4>
      </vt:variant>
      <vt:variant>
        <vt:i4>5</vt:i4>
      </vt:variant>
      <vt:variant>
        <vt:lpwstr/>
      </vt:variant>
      <vt:variant>
        <vt:lpwstr>_Toc14442900</vt:lpwstr>
      </vt:variant>
      <vt:variant>
        <vt:i4>1441854</vt:i4>
      </vt:variant>
      <vt:variant>
        <vt:i4>8</vt:i4>
      </vt:variant>
      <vt:variant>
        <vt:i4>0</vt:i4>
      </vt:variant>
      <vt:variant>
        <vt:i4>5</vt:i4>
      </vt:variant>
      <vt:variant>
        <vt:lpwstr/>
      </vt:variant>
      <vt:variant>
        <vt:lpwstr>_Toc14442899</vt:lpwstr>
      </vt:variant>
      <vt:variant>
        <vt:i4>1507390</vt:i4>
      </vt:variant>
      <vt:variant>
        <vt:i4>2</vt:i4>
      </vt:variant>
      <vt:variant>
        <vt:i4>0</vt:i4>
      </vt:variant>
      <vt:variant>
        <vt:i4>5</vt:i4>
      </vt:variant>
      <vt:variant>
        <vt:lpwstr/>
      </vt:variant>
      <vt:variant>
        <vt:lpwstr>_Toc14442898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FEWE</dc:creator>
  <cp:lastModifiedBy>Mariusz Rzepkowski - std</cp:lastModifiedBy>
  <cp:revision>8</cp:revision>
  <cp:lastPrinted>2019-05-29T08:06:00Z</cp:lastPrinted>
  <dcterms:created xsi:type="dcterms:W3CDTF">2019-10-07T11:21:00Z</dcterms:created>
  <dcterms:modified xsi:type="dcterms:W3CDTF">2019-10-10T07:02:00Z</dcterms:modified>
</cp:coreProperties>
</file>